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542473">
      <w:pPr>
        <w:pStyle w:val="49"/>
        <w:keepNext w:val="0"/>
        <w:keepLines w:val="0"/>
        <w:pageBreakBefore w:val="0"/>
        <w:wordWrap/>
        <w:overflowPunct/>
        <w:topLinePunct w:val="0"/>
        <w:bidi w:val="0"/>
        <w:adjustRightInd w:val="0"/>
        <w:snapToGrid w:val="0"/>
        <w:spacing w:line="360" w:lineRule="auto"/>
        <w:rPr>
          <w:rFonts w:hint="eastAsia" w:ascii="黑体" w:hAnsi="黑体" w:eastAsia="黑体" w:cs="黑体"/>
          <w:b w:val="0"/>
          <w:bCs/>
          <w:color w:val="000000" w:themeColor="text1"/>
          <w14:textFill>
            <w14:solidFill>
              <w14:schemeClr w14:val="tx1"/>
            </w14:solidFill>
          </w14:textFill>
        </w:rPr>
      </w:pPr>
      <w:r>
        <w:rPr>
          <w:rFonts w:hint="eastAsia" w:ascii="黑体" w:hAnsi="黑体" w:eastAsia="黑体" w:cs="黑体"/>
          <w:bCs/>
          <w:color w:val="000000" w:themeColor="text1"/>
          <w:kern w:val="2"/>
          <w:lang w:val="zh-CN"/>
          <w14:textFill>
            <w14:solidFill>
              <w14:schemeClr w14:val="tx1"/>
            </w14:solidFill>
          </w14:textFill>
        </w:rPr>
        <w:drawing>
          <wp:anchor distT="0" distB="0" distL="114300" distR="114300" simplePos="0" relativeHeight="251659264" behindDoc="0" locked="0" layoutInCell="1" allowOverlap="1">
            <wp:simplePos x="0" y="0"/>
            <wp:positionH relativeFrom="column">
              <wp:posOffset>-633730</wp:posOffset>
            </wp:positionH>
            <wp:positionV relativeFrom="paragraph">
              <wp:posOffset>-628650</wp:posOffset>
            </wp:positionV>
            <wp:extent cx="7554595" cy="10685780"/>
            <wp:effectExtent l="0" t="0" r="14605" b="7620"/>
            <wp:wrapNone/>
            <wp:docPr id="1" name="图片 1" descr="高邮农商银行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高邮农商银行 拷贝"/>
                    <pic:cNvPicPr>
                      <a:picLocks noChangeAspect="1"/>
                    </pic:cNvPicPr>
                  </pic:nvPicPr>
                  <pic:blipFill>
                    <a:blip r:embed="rId27"/>
                    <a:stretch>
                      <a:fillRect/>
                    </a:stretch>
                  </pic:blipFill>
                  <pic:spPr>
                    <a:xfrm>
                      <a:off x="0" y="0"/>
                      <a:ext cx="7554595" cy="10685780"/>
                    </a:xfrm>
                    <a:prstGeom prst="rect">
                      <a:avLst/>
                    </a:prstGeom>
                  </pic:spPr>
                </pic:pic>
              </a:graphicData>
            </a:graphic>
          </wp:anchor>
        </w:drawing>
      </w:r>
    </w:p>
    <w:p w14:paraId="4760CA7B">
      <w:pPr>
        <w:pStyle w:val="49"/>
        <w:keepNext w:val="0"/>
        <w:keepLines w:val="0"/>
        <w:pageBreakBefore w:val="0"/>
        <w:wordWrap/>
        <w:overflowPunct/>
        <w:topLinePunct w:val="0"/>
        <w:bidi w:val="0"/>
        <w:adjustRightInd w:val="0"/>
        <w:snapToGrid w:val="0"/>
        <w:spacing w:line="360" w:lineRule="auto"/>
        <w:rPr>
          <w:rFonts w:hint="eastAsia" w:ascii="黑体" w:hAnsi="黑体" w:eastAsia="黑体" w:cs="黑体"/>
          <w:b w:val="0"/>
          <w:bCs/>
          <w:color w:val="000000" w:themeColor="text1"/>
          <w14:textFill>
            <w14:solidFill>
              <w14:schemeClr w14:val="tx1"/>
            </w14:solidFill>
          </w14:textFill>
        </w:rPr>
      </w:pPr>
    </w:p>
    <w:p w14:paraId="7D988EF4">
      <w:pPr>
        <w:pStyle w:val="49"/>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b w:val="0"/>
          <w:bCs/>
          <w:snapToGrid w:val="0"/>
          <w:color w:val="000000" w:themeColor="text1"/>
          <w:kern w:val="0"/>
          <w:sz w:val="48"/>
          <w:szCs w:val="48"/>
          <w14:textFill>
            <w14:solidFill>
              <w14:schemeClr w14:val="tx1"/>
            </w14:solidFill>
          </w14:textFill>
        </w:rPr>
      </w:pPr>
    </w:p>
    <w:p w14:paraId="360F7A6A">
      <w:pPr>
        <w:pStyle w:val="49"/>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b w:val="0"/>
          <w:bCs/>
          <w:snapToGrid w:val="0"/>
          <w:color w:val="000000" w:themeColor="text1"/>
          <w:kern w:val="0"/>
          <w:sz w:val="52"/>
          <w:szCs w:val="52"/>
          <w:lang w:eastAsia="zh-CN"/>
          <w14:textFill>
            <w14:solidFill>
              <w14:schemeClr w14:val="tx1"/>
            </w14:solidFill>
          </w14:textFill>
        </w:rPr>
      </w:pPr>
      <w:r>
        <w:rPr>
          <w:rFonts w:hint="eastAsia" w:ascii="黑体" w:hAnsi="黑体" w:eastAsia="黑体" w:cs="黑体"/>
          <w:b w:val="0"/>
          <w:bCs/>
          <w:snapToGrid w:val="0"/>
          <w:color w:val="000000" w:themeColor="text1"/>
          <w:kern w:val="0"/>
          <w:sz w:val="48"/>
          <w:szCs w:val="48"/>
          <w:lang w:eastAsia="zh-CN"/>
          <w14:textFill>
            <w14:solidFill>
              <w14:schemeClr w14:val="tx1"/>
            </w14:solidFill>
          </w14:textFill>
        </w:rPr>
        <w:t>江苏高邮农村商业银行股份有限公司</w:t>
      </w:r>
    </w:p>
    <w:p w14:paraId="4C1EF526">
      <w:pPr>
        <w:pStyle w:val="49"/>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b w:val="0"/>
          <w:bCs/>
          <w:snapToGrid w:val="0"/>
          <w:color w:val="00B050"/>
          <w:kern w:val="0"/>
          <w:sz w:val="72"/>
          <w:szCs w:val="72"/>
        </w:rPr>
      </w:pPr>
      <w:r>
        <w:rPr>
          <w:rFonts w:hint="eastAsia" w:ascii="黑体" w:hAnsi="黑体" w:eastAsia="黑体" w:cs="黑体"/>
          <w:b w:val="0"/>
          <w:bCs/>
          <w:snapToGrid w:val="0"/>
          <w:color w:val="00B050"/>
          <w:kern w:val="0"/>
          <w:sz w:val="72"/>
          <w:szCs w:val="72"/>
        </w:rPr>
        <w:t>202</w:t>
      </w:r>
      <w:r>
        <w:rPr>
          <w:rFonts w:hint="eastAsia" w:ascii="黑体" w:hAnsi="黑体" w:eastAsia="黑体" w:cs="黑体"/>
          <w:b w:val="0"/>
          <w:bCs/>
          <w:snapToGrid w:val="0"/>
          <w:color w:val="00B050"/>
          <w:kern w:val="0"/>
          <w:sz w:val="72"/>
          <w:szCs w:val="72"/>
          <w:lang w:val="en-US" w:eastAsia="zh-CN"/>
        </w:rPr>
        <w:t>4</w:t>
      </w:r>
      <w:r>
        <w:rPr>
          <w:rFonts w:hint="eastAsia" w:ascii="黑体" w:hAnsi="黑体" w:eastAsia="黑体" w:cs="黑体"/>
          <w:b w:val="0"/>
          <w:bCs/>
          <w:snapToGrid w:val="0"/>
          <w:color w:val="00B050"/>
          <w:kern w:val="0"/>
          <w:sz w:val="72"/>
          <w:szCs w:val="72"/>
        </w:rPr>
        <w:t>年度环境信息披露报告</w:t>
      </w:r>
    </w:p>
    <w:p w14:paraId="1752E1EB">
      <w:pPr>
        <w:pStyle w:val="49"/>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pPr>
    </w:p>
    <w:p w14:paraId="02DBB96F">
      <w:pPr>
        <w:pStyle w:val="49"/>
        <w:keepNext w:val="0"/>
        <w:keepLines w:val="0"/>
        <w:pageBreakBefore w:val="0"/>
        <w:wordWrap/>
        <w:overflowPunct/>
        <w:topLinePunct w:val="0"/>
        <w:bidi w:val="0"/>
        <w:adjustRightInd w:val="0"/>
        <w:snapToGrid w:val="0"/>
        <w:spacing w:line="360" w:lineRule="auto"/>
        <w:jc w:val="both"/>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pPr>
    </w:p>
    <w:p w14:paraId="4D399E5D">
      <w:pPr>
        <w:pStyle w:val="49"/>
        <w:keepNext w:val="0"/>
        <w:keepLines w:val="0"/>
        <w:pageBreakBefore w:val="0"/>
        <w:wordWrap/>
        <w:overflowPunct/>
        <w:topLinePunct w:val="0"/>
        <w:bidi w:val="0"/>
        <w:adjustRightInd w:val="0"/>
        <w:snapToGrid w:val="0"/>
        <w:spacing w:line="360" w:lineRule="auto"/>
        <w:jc w:val="both"/>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pPr>
    </w:p>
    <w:p w14:paraId="57FEAF2C">
      <w:pPr>
        <w:pStyle w:val="49"/>
        <w:keepNext w:val="0"/>
        <w:keepLines w:val="0"/>
        <w:pageBreakBefore w:val="0"/>
        <w:wordWrap/>
        <w:overflowPunct/>
        <w:topLinePunct w:val="0"/>
        <w:bidi w:val="0"/>
        <w:adjustRightInd w:val="0"/>
        <w:snapToGrid w:val="0"/>
        <w:spacing w:line="360" w:lineRule="auto"/>
        <w:jc w:val="both"/>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pPr>
    </w:p>
    <w:p w14:paraId="34911134">
      <w:pPr>
        <w:pStyle w:val="49"/>
        <w:keepNext w:val="0"/>
        <w:keepLines w:val="0"/>
        <w:pageBreakBefore w:val="0"/>
        <w:wordWrap/>
        <w:overflowPunct/>
        <w:topLinePunct w:val="0"/>
        <w:bidi w:val="0"/>
        <w:adjustRightInd w:val="0"/>
        <w:snapToGrid w:val="0"/>
        <w:spacing w:line="360" w:lineRule="auto"/>
        <w:jc w:val="both"/>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pPr>
    </w:p>
    <w:p w14:paraId="402B08DD">
      <w:pPr>
        <w:pStyle w:val="49"/>
        <w:keepNext w:val="0"/>
        <w:keepLines w:val="0"/>
        <w:pageBreakBefore w:val="0"/>
        <w:wordWrap/>
        <w:overflowPunct/>
        <w:topLinePunct w:val="0"/>
        <w:bidi w:val="0"/>
        <w:adjustRightInd w:val="0"/>
        <w:snapToGrid w:val="0"/>
        <w:spacing w:line="360" w:lineRule="auto"/>
        <w:jc w:val="both"/>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pPr>
    </w:p>
    <w:p w14:paraId="6E7E2888">
      <w:pPr>
        <w:pStyle w:val="49"/>
        <w:keepNext w:val="0"/>
        <w:keepLines w:val="0"/>
        <w:pageBreakBefore w:val="0"/>
        <w:wordWrap/>
        <w:overflowPunct/>
        <w:topLinePunct w:val="0"/>
        <w:bidi w:val="0"/>
        <w:adjustRightInd w:val="0"/>
        <w:snapToGrid w:val="0"/>
        <w:spacing w:line="360" w:lineRule="auto"/>
        <w:jc w:val="both"/>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pPr>
    </w:p>
    <w:p w14:paraId="5D6F1925">
      <w:pPr>
        <w:pStyle w:val="49"/>
        <w:keepNext w:val="0"/>
        <w:keepLines w:val="0"/>
        <w:pageBreakBefore w:val="0"/>
        <w:wordWrap/>
        <w:overflowPunct/>
        <w:topLinePunct w:val="0"/>
        <w:bidi w:val="0"/>
        <w:adjustRightInd w:val="0"/>
        <w:snapToGrid w:val="0"/>
        <w:spacing w:line="360" w:lineRule="auto"/>
        <w:jc w:val="both"/>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pPr>
    </w:p>
    <w:p w14:paraId="7A1DBC36">
      <w:pPr>
        <w:pStyle w:val="49"/>
        <w:keepNext w:val="0"/>
        <w:keepLines w:val="0"/>
        <w:pageBreakBefore w:val="0"/>
        <w:wordWrap/>
        <w:overflowPunct/>
        <w:topLinePunct w:val="0"/>
        <w:bidi w:val="0"/>
        <w:adjustRightInd w:val="0"/>
        <w:snapToGrid w:val="0"/>
        <w:spacing w:line="360" w:lineRule="auto"/>
        <w:jc w:val="both"/>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pPr>
    </w:p>
    <w:p w14:paraId="38BC0AEB">
      <w:pPr>
        <w:pStyle w:val="49"/>
        <w:keepNext w:val="0"/>
        <w:keepLines w:val="0"/>
        <w:pageBreakBefore w:val="0"/>
        <w:wordWrap/>
        <w:overflowPunct/>
        <w:topLinePunct w:val="0"/>
        <w:bidi w:val="0"/>
        <w:adjustRightInd w:val="0"/>
        <w:snapToGrid w:val="0"/>
        <w:spacing w:line="360" w:lineRule="auto"/>
        <w:jc w:val="both"/>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pPr>
    </w:p>
    <w:p w14:paraId="11FEDE02">
      <w:pPr>
        <w:pStyle w:val="49"/>
        <w:keepNext w:val="0"/>
        <w:keepLines w:val="0"/>
        <w:pageBreakBefore w:val="0"/>
        <w:wordWrap/>
        <w:overflowPunct/>
        <w:topLinePunct w:val="0"/>
        <w:bidi w:val="0"/>
        <w:adjustRightInd w:val="0"/>
        <w:snapToGrid w:val="0"/>
        <w:spacing w:line="360" w:lineRule="auto"/>
        <w:jc w:val="both"/>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pPr>
    </w:p>
    <w:p w14:paraId="504D4348">
      <w:pPr>
        <w:pStyle w:val="51"/>
        <w:keepNext w:val="0"/>
        <w:keepLines w:val="0"/>
        <w:pageBreakBefore w:val="0"/>
        <w:wordWrap/>
        <w:overflowPunct/>
        <w:topLinePunct w:val="0"/>
        <w:bidi w:val="0"/>
        <w:adjustRightInd w:val="0"/>
        <w:snapToGrid w:val="0"/>
        <w:spacing w:line="360" w:lineRule="auto"/>
        <w:ind w:firstLine="0" w:firstLineChars="0"/>
        <w:jc w:val="center"/>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pPr>
      <w:r>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t>报告主体：江苏高邮农村商业银行股份有限公司</w:t>
      </w:r>
    </w:p>
    <w:p w14:paraId="470CB1DB">
      <w:pPr>
        <w:pStyle w:val="51"/>
        <w:keepNext w:val="0"/>
        <w:keepLines w:val="0"/>
        <w:pageBreakBefore w:val="0"/>
        <w:wordWrap/>
        <w:overflowPunct/>
        <w:topLinePunct w:val="0"/>
        <w:bidi w:val="0"/>
        <w:adjustRightInd w:val="0"/>
        <w:snapToGrid w:val="0"/>
        <w:spacing w:line="360" w:lineRule="auto"/>
        <w:ind w:firstLine="0" w:firstLineChars="0"/>
        <w:jc w:val="center"/>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998" w:right="998" w:bottom="1451" w:left="998" w:header="0" w:footer="992" w:gutter="0"/>
          <w:cols w:space="425" w:num="1"/>
          <w:titlePg/>
          <w:docGrid w:type="lines" w:linePitch="435" w:charSpace="0"/>
        </w:sectPr>
      </w:pPr>
      <w:r>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t>编制日期：2025年07月30日</w:t>
      </w:r>
    </w:p>
    <w:p w14:paraId="74127CEB">
      <w:pPr>
        <w:pStyle w:val="53"/>
        <w:adjustRightInd w:val="0"/>
        <w:snapToGrid w:val="0"/>
        <w:spacing w:before="0" w:line="240" w:lineRule="auto"/>
        <w:jc w:val="center"/>
        <w:rPr>
          <w:rFonts w:hint="eastAsia" w:ascii="黑体" w:hAnsi="黑体" w:eastAsia="黑体" w:cs="黑体"/>
          <w:b w:val="0"/>
          <w:bCs/>
          <w:color w:val="000000" w:themeColor="text1"/>
          <w:kern w:val="2"/>
          <w:lang w:val="zh-CN"/>
          <w14:textFill>
            <w14:solidFill>
              <w14:schemeClr w14:val="tx1"/>
            </w14:solidFill>
          </w14:textFill>
        </w:rPr>
      </w:pPr>
    </w:p>
    <w:p w14:paraId="0F533189">
      <w:pPr>
        <w:pStyle w:val="53"/>
        <w:adjustRightInd w:val="0"/>
        <w:snapToGrid w:val="0"/>
        <w:spacing w:before="0" w:line="240" w:lineRule="auto"/>
        <w:jc w:val="center"/>
        <w:rPr>
          <w:rFonts w:hint="eastAsia" w:ascii="黑体" w:hAnsi="黑体" w:eastAsia="黑体" w:cs="黑体"/>
          <w:b w:val="0"/>
          <w:bCs/>
          <w:color w:val="000000" w:themeColor="text1"/>
          <w:kern w:val="2"/>
          <w14:textFill>
            <w14:solidFill>
              <w14:schemeClr w14:val="tx1"/>
            </w14:solidFill>
          </w14:textFill>
        </w:rPr>
      </w:pPr>
      <w:r>
        <w:rPr>
          <w:rFonts w:hint="eastAsia" w:ascii="黑体" w:hAnsi="黑体" w:eastAsia="黑体" w:cs="黑体"/>
          <w:b w:val="0"/>
          <w:bCs/>
          <w:color w:val="000000" w:themeColor="text1"/>
          <w:kern w:val="2"/>
          <w14:textFill>
            <w14:solidFill>
              <w14:schemeClr w14:val="tx1"/>
            </w14:solidFill>
          </w14:textFill>
        </w:rPr>
        <w:t>目  录</w:t>
      </w:r>
    </w:p>
    <w:p w14:paraId="08E82A10">
      <w:pPr>
        <w:ind w:firstLine="640"/>
        <w:rPr>
          <w:rFonts w:hint="eastAsia" w:ascii="黑体" w:hAnsi="黑体" w:eastAsia="黑体" w:cs="黑体"/>
          <w:b w:val="0"/>
          <w:bCs/>
          <w:color w:val="000000" w:themeColor="text1"/>
          <w14:textFill>
            <w14:solidFill>
              <w14:schemeClr w14:val="tx1"/>
            </w14:solidFill>
          </w14:textFill>
        </w:rPr>
      </w:pPr>
    </w:p>
    <w:p w14:paraId="3D01EC0E">
      <w:pPr>
        <w:pStyle w:val="17"/>
        <w:tabs>
          <w:tab w:val="right" w:leader="dot" w:pos="8306"/>
        </w:tabs>
        <w:rPr>
          <w:b w:val="0"/>
          <w:bCs/>
        </w:rPr>
      </w:pPr>
      <w:r>
        <w:rPr>
          <w:rStyle w:val="29"/>
          <w:rFonts w:hint="eastAsia" w:ascii="黑体" w:hAnsi="黑体" w:eastAsia="黑体" w:cs="黑体"/>
          <w:b w:val="0"/>
          <w:bCs/>
          <w:snapToGrid w:val="0"/>
          <w:color w:val="000000" w:themeColor="text1"/>
          <w:spacing w:val="8"/>
          <w:sz w:val="28"/>
          <w:szCs w:val="28"/>
          <w14:textFill>
            <w14:solidFill>
              <w14:schemeClr w14:val="tx1"/>
            </w14:solidFill>
          </w14:textFill>
        </w:rPr>
        <w:fldChar w:fldCharType="begin"/>
      </w:r>
      <w:r>
        <w:rPr>
          <w:rStyle w:val="29"/>
          <w:rFonts w:hint="eastAsia" w:ascii="黑体" w:hAnsi="黑体" w:eastAsia="黑体" w:cs="黑体"/>
          <w:b w:val="0"/>
          <w:bCs/>
          <w:snapToGrid w:val="0"/>
          <w:color w:val="000000" w:themeColor="text1"/>
          <w:spacing w:val="8"/>
          <w:sz w:val="28"/>
          <w:szCs w:val="28"/>
          <w14:textFill>
            <w14:solidFill>
              <w14:schemeClr w14:val="tx1"/>
            </w14:solidFill>
          </w14:textFill>
        </w:rPr>
        <w:instrText xml:space="preserve"> TOC \o "1-3" \h \z \u </w:instrText>
      </w:r>
      <w:r>
        <w:rPr>
          <w:rStyle w:val="29"/>
          <w:rFonts w:hint="eastAsia" w:ascii="黑体" w:hAnsi="黑体" w:eastAsia="黑体" w:cs="黑体"/>
          <w:b w:val="0"/>
          <w:bCs/>
          <w:snapToGrid w:val="0"/>
          <w:color w:val="000000" w:themeColor="text1"/>
          <w:spacing w:val="8"/>
          <w:sz w:val="28"/>
          <w:szCs w:val="28"/>
          <w14:textFill>
            <w14:solidFill>
              <w14:schemeClr w14:val="tx1"/>
            </w14:solidFill>
          </w14:textFill>
        </w:rPr>
        <w:fldChar w:fldCharType="separate"/>
      </w:r>
      <w:r>
        <w:rPr>
          <w:rFonts w:hint="eastAsia" w:ascii="黑体" w:hAnsi="黑体" w:eastAsia="黑体" w:cs="黑体"/>
          <w:b w:val="0"/>
          <w:bCs/>
          <w:snapToGrid w:val="0"/>
          <w:color w:val="000000" w:themeColor="text1"/>
          <w:spacing w:val="8"/>
          <w:szCs w:val="28"/>
          <w14:textFill>
            <w14:solidFill>
              <w14:schemeClr w14:val="tx1"/>
            </w14:solidFill>
          </w14:textFill>
        </w:rPr>
        <w:fldChar w:fldCharType="begin"/>
      </w:r>
      <w:r>
        <w:rPr>
          <w:rFonts w:hint="eastAsia" w:ascii="黑体" w:hAnsi="黑体" w:eastAsia="黑体" w:cs="黑体"/>
          <w:b w:val="0"/>
          <w:bCs/>
          <w:snapToGrid w:val="0"/>
          <w:spacing w:val="8"/>
          <w:szCs w:val="28"/>
        </w:rPr>
        <w:instrText xml:space="preserve"> HYPERLINK \l _Toc7278 </w:instrText>
      </w:r>
      <w:r>
        <w:rPr>
          <w:rFonts w:hint="eastAsia" w:ascii="黑体" w:hAnsi="黑体" w:eastAsia="黑体" w:cs="黑体"/>
          <w:b w:val="0"/>
          <w:bCs/>
          <w:snapToGrid w:val="0"/>
          <w:spacing w:val="8"/>
          <w:szCs w:val="28"/>
        </w:rPr>
        <w:fldChar w:fldCharType="separate"/>
      </w:r>
      <w:r>
        <w:rPr>
          <w:rFonts w:hint="eastAsia" w:ascii="黑体" w:hAnsi="黑体" w:eastAsia="黑体" w:cs="黑体"/>
          <w:b w:val="0"/>
          <w:bCs/>
          <w:kern w:val="2"/>
          <w:szCs w:val="32"/>
          <w:lang w:val="en-US" w:eastAsia="zh-CN"/>
        </w:rPr>
        <w:t xml:space="preserve">第一章 </w:t>
      </w:r>
      <w:r>
        <w:rPr>
          <w:rFonts w:hint="eastAsia" w:ascii="黑体" w:hAnsi="黑体" w:eastAsia="黑体" w:cs="黑体"/>
          <w:b w:val="0"/>
          <w:bCs/>
          <w:kern w:val="2"/>
          <w:szCs w:val="32"/>
        </w:rPr>
        <w:t>披露主体</w:t>
      </w:r>
      <w:r>
        <w:rPr>
          <w:b w:val="0"/>
          <w:bCs/>
        </w:rPr>
        <w:tab/>
      </w:r>
      <w:r>
        <w:rPr>
          <w:b w:val="0"/>
          <w:bCs/>
        </w:rPr>
        <w:fldChar w:fldCharType="begin"/>
      </w:r>
      <w:r>
        <w:rPr>
          <w:b w:val="0"/>
          <w:bCs/>
        </w:rPr>
        <w:instrText xml:space="preserve"> PAGEREF _Toc7278 \h </w:instrText>
      </w:r>
      <w:r>
        <w:rPr>
          <w:b w:val="0"/>
          <w:bCs/>
        </w:rPr>
        <w:fldChar w:fldCharType="separate"/>
      </w:r>
      <w:r>
        <w:rPr>
          <w:b w:val="0"/>
          <w:bCs/>
        </w:rPr>
        <w:t>1</w:t>
      </w:r>
      <w:r>
        <w:rPr>
          <w:b w:val="0"/>
          <w:bCs/>
        </w:rPr>
        <w:fldChar w:fldCharType="end"/>
      </w:r>
      <w:r>
        <w:rPr>
          <w:rFonts w:hint="eastAsia" w:ascii="黑体" w:hAnsi="黑体" w:eastAsia="黑体" w:cs="黑体"/>
          <w:b w:val="0"/>
          <w:bCs/>
          <w:snapToGrid w:val="0"/>
          <w:color w:val="000000" w:themeColor="text1"/>
          <w:spacing w:val="8"/>
          <w:szCs w:val="28"/>
          <w14:textFill>
            <w14:solidFill>
              <w14:schemeClr w14:val="tx1"/>
            </w14:solidFill>
          </w14:textFill>
        </w:rPr>
        <w:fldChar w:fldCharType="end"/>
      </w:r>
    </w:p>
    <w:p w14:paraId="504F57B0">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_Toc3176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1.1 编制说明</w:t>
      </w:r>
      <w:r>
        <w:rPr>
          <w:b w:val="0"/>
          <w:bCs/>
        </w:rPr>
        <w:tab/>
      </w:r>
      <w:r>
        <w:rPr>
          <w:b w:val="0"/>
          <w:bCs/>
        </w:rPr>
        <w:fldChar w:fldCharType="begin"/>
      </w:r>
      <w:r>
        <w:rPr>
          <w:b w:val="0"/>
          <w:bCs/>
        </w:rPr>
        <w:instrText xml:space="preserve"> PAGEREF _Toc3176 \h </w:instrText>
      </w:r>
      <w:r>
        <w:rPr>
          <w:b w:val="0"/>
          <w:bCs/>
        </w:rPr>
        <w:fldChar w:fldCharType="separate"/>
      </w:r>
      <w:r>
        <w:rPr>
          <w:b w:val="0"/>
          <w:bCs/>
        </w:rPr>
        <w:t>1</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54CED192">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_Toc3417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1.2 基本信息</w:t>
      </w:r>
      <w:r>
        <w:rPr>
          <w:b w:val="0"/>
          <w:bCs/>
        </w:rPr>
        <w:tab/>
      </w:r>
      <w:r>
        <w:rPr>
          <w:b w:val="0"/>
          <w:bCs/>
        </w:rPr>
        <w:fldChar w:fldCharType="begin"/>
      </w:r>
      <w:r>
        <w:rPr>
          <w:b w:val="0"/>
          <w:bCs/>
        </w:rPr>
        <w:instrText xml:space="preserve"> PAGEREF _Toc3417 \h </w:instrText>
      </w:r>
      <w:r>
        <w:rPr>
          <w:b w:val="0"/>
          <w:bCs/>
        </w:rPr>
        <w:fldChar w:fldCharType="separate"/>
      </w:r>
      <w:r>
        <w:rPr>
          <w:b w:val="0"/>
          <w:bCs/>
        </w:rPr>
        <w:t>1</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2376DA4F">
      <w:pPr>
        <w:pStyle w:val="17"/>
        <w:tabs>
          <w:tab w:val="right" w:leader="dot" w:pos="8306"/>
        </w:tabs>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_Toc12029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kern w:val="2"/>
          <w:szCs w:val="32"/>
          <w:lang w:val="en-US" w:eastAsia="zh-CN"/>
        </w:rPr>
        <w:t>第二章 年度概况</w:t>
      </w:r>
      <w:r>
        <w:rPr>
          <w:b w:val="0"/>
          <w:bCs/>
        </w:rPr>
        <w:tab/>
      </w:r>
      <w:r>
        <w:rPr>
          <w:b w:val="0"/>
          <w:bCs/>
        </w:rPr>
        <w:fldChar w:fldCharType="begin"/>
      </w:r>
      <w:r>
        <w:rPr>
          <w:b w:val="0"/>
          <w:bCs/>
        </w:rPr>
        <w:instrText xml:space="preserve"> PAGEREF _Toc12029 \h </w:instrText>
      </w:r>
      <w:r>
        <w:rPr>
          <w:b w:val="0"/>
          <w:bCs/>
        </w:rPr>
        <w:fldChar w:fldCharType="separate"/>
      </w:r>
      <w:r>
        <w:rPr>
          <w:b w:val="0"/>
          <w:bCs/>
        </w:rPr>
        <w:t>3</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46C08070">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_Toc4406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2.1 目标愿景</w:t>
      </w:r>
      <w:r>
        <w:rPr>
          <w:b w:val="0"/>
          <w:bCs/>
        </w:rPr>
        <w:tab/>
      </w:r>
      <w:r>
        <w:rPr>
          <w:b w:val="0"/>
          <w:bCs/>
        </w:rPr>
        <w:fldChar w:fldCharType="begin"/>
      </w:r>
      <w:r>
        <w:rPr>
          <w:b w:val="0"/>
          <w:bCs/>
        </w:rPr>
        <w:instrText xml:space="preserve"> PAGEREF _Toc4406 \h </w:instrText>
      </w:r>
      <w:r>
        <w:rPr>
          <w:b w:val="0"/>
          <w:bCs/>
        </w:rPr>
        <w:fldChar w:fldCharType="separate"/>
      </w:r>
      <w:r>
        <w:rPr>
          <w:b w:val="0"/>
          <w:bCs/>
        </w:rPr>
        <w:t>3</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71C6DB97">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_Toc11091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2.2 战略规划</w:t>
      </w:r>
      <w:r>
        <w:rPr>
          <w:b w:val="0"/>
          <w:bCs/>
        </w:rPr>
        <w:tab/>
      </w:r>
      <w:r>
        <w:rPr>
          <w:b w:val="0"/>
          <w:bCs/>
        </w:rPr>
        <w:fldChar w:fldCharType="begin"/>
      </w:r>
      <w:r>
        <w:rPr>
          <w:b w:val="0"/>
          <w:bCs/>
        </w:rPr>
        <w:instrText xml:space="preserve"> PAGEREF _Toc11091 \h </w:instrText>
      </w:r>
      <w:r>
        <w:rPr>
          <w:b w:val="0"/>
          <w:bCs/>
        </w:rPr>
        <w:fldChar w:fldCharType="separate"/>
      </w:r>
      <w:r>
        <w:rPr>
          <w:b w:val="0"/>
          <w:bCs/>
        </w:rPr>
        <w:t>4</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18F2EF1C">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_Toc1846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2.3 政策内容</w:t>
      </w:r>
      <w:r>
        <w:rPr>
          <w:b w:val="0"/>
          <w:bCs/>
        </w:rPr>
        <w:tab/>
      </w:r>
      <w:r>
        <w:rPr>
          <w:b w:val="0"/>
          <w:bCs/>
        </w:rPr>
        <w:fldChar w:fldCharType="begin"/>
      </w:r>
      <w:r>
        <w:rPr>
          <w:b w:val="0"/>
          <w:bCs/>
        </w:rPr>
        <w:instrText xml:space="preserve"> PAGEREF _Toc1846 \h </w:instrText>
      </w:r>
      <w:r>
        <w:rPr>
          <w:b w:val="0"/>
          <w:bCs/>
        </w:rPr>
        <w:fldChar w:fldCharType="separate"/>
      </w:r>
      <w:r>
        <w:rPr>
          <w:b w:val="0"/>
          <w:bCs/>
        </w:rPr>
        <w:t>4</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0BE4F4C2">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_Toc9242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2.4 行动措施</w:t>
      </w:r>
      <w:r>
        <w:rPr>
          <w:b w:val="0"/>
          <w:bCs/>
        </w:rPr>
        <w:tab/>
      </w:r>
      <w:r>
        <w:rPr>
          <w:b w:val="0"/>
          <w:bCs/>
        </w:rPr>
        <w:fldChar w:fldCharType="begin"/>
      </w:r>
      <w:r>
        <w:rPr>
          <w:b w:val="0"/>
          <w:bCs/>
        </w:rPr>
        <w:instrText xml:space="preserve"> PAGEREF _Toc9242 \h </w:instrText>
      </w:r>
      <w:r>
        <w:rPr>
          <w:b w:val="0"/>
          <w:bCs/>
        </w:rPr>
        <w:fldChar w:fldCharType="separate"/>
      </w:r>
      <w:r>
        <w:rPr>
          <w:b w:val="0"/>
          <w:bCs/>
        </w:rPr>
        <w:t>5</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789B9039">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_Toc31530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2.5 主要成效</w:t>
      </w:r>
      <w:r>
        <w:rPr>
          <w:b w:val="0"/>
          <w:bCs/>
        </w:rPr>
        <w:tab/>
      </w:r>
      <w:r>
        <w:rPr>
          <w:b w:val="0"/>
          <w:bCs/>
        </w:rPr>
        <w:fldChar w:fldCharType="begin"/>
      </w:r>
      <w:r>
        <w:rPr>
          <w:b w:val="0"/>
          <w:bCs/>
        </w:rPr>
        <w:instrText xml:space="preserve"> PAGEREF _Toc31530 \h </w:instrText>
      </w:r>
      <w:r>
        <w:rPr>
          <w:b w:val="0"/>
          <w:bCs/>
        </w:rPr>
        <w:fldChar w:fldCharType="separate"/>
      </w:r>
      <w:r>
        <w:rPr>
          <w:b w:val="0"/>
          <w:bCs/>
        </w:rPr>
        <w:t>6</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1AF22EA9">
      <w:pPr>
        <w:pStyle w:val="17"/>
        <w:tabs>
          <w:tab w:val="right" w:leader="dot" w:pos="8306"/>
        </w:tabs>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_Toc26869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kern w:val="2"/>
          <w:szCs w:val="32"/>
          <w:lang w:val="en-US" w:eastAsia="zh-CN"/>
        </w:rPr>
        <w:t>第三章 治理结构</w:t>
      </w:r>
      <w:r>
        <w:rPr>
          <w:b w:val="0"/>
          <w:bCs/>
        </w:rPr>
        <w:tab/>
      </w:r>
      <w:r>
        <w:rPr>
          <w:b w:val="0"/>
          <w:bCs/>
        </w:rPr>
        <w:fldChar w:fldCharType="begin"/>
      </w:r>
      <w:r>
        <w:rPr>
          <w:b w:val="0"/>
          <w:bCs/>
        </w:rPr>
        <w:instrText xml:space="preserve"> PAGEREF _Toc26869 \h </w:instrText>
      </w:r>
      <w:r>
        <w:rPr>
          <w:b w:val="0"/>
          <w:bCs/>
        </w:rPr>
        <w:fldChar w:fldCharType="separate"/>
      </w:r>
      <w:r>
        <w:rPr>
          <w:b w:val="0"/>
          <w:bCs/>
        </w:rPr>
        <w:t>7</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5E023A58">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_Toc10639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3.1 董事会层</w:t>
      </w:r>
      <w:r>
        <w:rPr>
          <w:b w:val="0"/>
          <w:bCs/>
        </w:rPr>
        <w:tab/>
      </w:r>
      <w:r>
        <w:rPr>
          <w:b w:val="0"/>
          <w:bCs/>
        </w:rPr>
        <w:fldChar w:fldCharType="begin"/>
      </w:r>
      <w:r>
        <w:rPr>
          <w:b w:val="0"/>
          <w:bCs/>
        </w:rPr>
        <w:instrText xml:space="preserve"> PAGEREF _Toc10639 \h </w:instrText>
      </w:r>
      <w:r>
        <w:rPr>
          <w:b w:val="0"/>
          <w:bCs/>
        </w:rPr>
        <w:fldChar w:fldCharType="separate"/>
      </w:r>
      <w:r>
        <w:rPr>
          <w:b w:val="0"/>
          <w:bCs/>
        </w:rPr>
        <w:t>7</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446316B8">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_Toc13458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3.2 高级管理层</w:t>
      </w:r>
      <w:r>
        <w:rPr>
          <w:b w:val="0"/>
          <w:bCs/>
        </w:rPr>
        <w:tab/>
      </w:r>
      <w:r>
        <w:rPr>
          <w:b w:val="0"/>
          <w:bCs/>
        </w:rPr>
        <w:fldChar w:fldCharType="begin"/>
      </w:r>
      <w:r>
        <w:rPr>
          <w:b w:val="0"/>
          <w:bCs/>
        </w:rPr>
        <w:instrText xml:space="preserve"> PAGEREF _Toc13458 \h </w:instrText>
      </w:r>
      <w:r>
        <w:rPr>
          <w:b w:val="0"/>
          <w:bCs/>
        </w:rPr>
        <w:fldChar w:fldCharType="separate"/>
      </w:r>
      <w:r>
        <w:rPr>
          <w:b w:val="0"/>
          <w:bCs/>
        </w:rPr>
        <w:t>7</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217ABE5C">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_Toc17483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3.3 专业执行层</w:t>
      </w:r>
      <w:r>
        <w:rPr>
          <w:b w:val="0"/>
          <w:bCs/>
        </w:rPr>
        <w:tab/>
      </w:r>
      <w:r>
        <w:rPr>
          <w:b w:val="0"/>
          <w:bCs/>
        </w:rPr>
        <w:fldChar w:fldCharType="begin"/>
      </w:r>
      <w:r>
        <w:rPr>
          <w:b w:val="0"/>
          <w:bCs/>
        </w:rPr>
        <w:instrText xml:space="preserve"> PAGEREF _Toc17483 \h </w:instrText>
      </w:r>
      <w:r>
        <w:rPr>
          <w:b w:val="0"/>
          <w:bCs/>
        </w:rPr>
        <w:fldChar w:fldCharType="separate"/>
      </w:r>
      <w:r>
        <w:rPr>
          <w:b w:val="0"/>
          <w:bCs/>
        </w:rPr>
        <w:t>8</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4DC4754D">
      <w:pPr>
        <w:pStyle w:val="17"/>
        <w:tabs>
          <w:tab w:val="right" w:leader="dot" w:pos="8306"/>
        </w:tabs>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_Toc8742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kern w:val="2"/>
          <w:szCs w:val="32"/>
          <w:lang w:val="en-US" w:eastAsia="zh-CN"/>
        </w:rPr>
        <w:t>第四章 政策制度</w:t>
      </w:r>
      <w:r>
        <w:rPr>
          <w:b w:val="0"/>
          <w:bCs/>
        </w:rPr>
        <w:tab/>
      </w:r>
      <w:r>
        <w:rPr>
          <w:b w:val="0"/>
          <w:bCs/>
        </w:rPr>
        <w:fldChar w:fldCharType="begin"/>
      </w:r>
      <w:r>
        <w:rPr>
          <w:b w:val="0"/>
          <w:bCs/>
        </w:rPr>
        <w:instrText xml:space="preserve"> PAGEREF _Toc8742 \h </w:instrText>
      </w:r>
      <w:r>
        <w:rPr>
          <w:b w:val="0"/>
          <w:bCs/>
        </w:rPr>
        <w:fldChar w:fldCharType="separate"/>
      </w:r>
      <w:r>
        <w:rPr>
          <w:b w:val="0"/>
          <w:bCs/>
        </w:rPr>
        <w:t>9</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3A857252">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_Toc13508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4.1 公司政策</w:t>
      </w:r>
      <w:r>
        <w:rPr>
          <w:b w:val="0"/>
          <w:bCs/>
        </w:rPr>
        <w:tab/>
      </w:r>
      <w:r>
        <w:rPr>
          <w:b w:val="0"/>
          <w:bCs/>
        </w:rPr>
        <w:fldChar w:fldCharType="begin"/>
      </w:r>
      <w:r>
        <w:rPr>
          <w:b w:val="0"/>
          <w:bCs/>
        </w:rPr>
        <w:instrText xml:space="preserve"> PAGEREF _Toc13508 \h </w:instrText>
      </w:r>
      <w:r>
        <w:rPr>
          <w:b w:val="0"/>
          <w:bCs/>
        </w:rPr>
        <w:fldChar w:fldCharType="separate"/>
      </w:r>
      <w:r>
        <w:rPr>
          <w:b w:val="0"/>
          <w:bCs/>
        </w:rPr>
        <w:t>9</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51EBEF6F">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_Toc30771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4.2 国内政策</w:t>
      </w:r>
      <w:r>
        <w:rPr>
          <w:b w:val="0"/>
          <w:bCs/>
        </w:rPr>
        <w:tab/>
      </w:r>
      <w:r>
        <w:rPr>
          <w:b w:val="0"/>
          <w:bCs/>
        </w:rPr>
        <w:fldChar w:fldCharType="begin"/>
      </w:r>
      <w:r>
        <w:rPr>
          <w:b w:val="0"/>
          <w:bCs/>
        </w:rPr>
        <w:instrText xml:space="preserve"> PAGEREF _Toc30771 \h </w:instrText>
      </w:r>
      <w:r>
        <w:rPr>
          <w:b w:val="0"/>
          <w:bCs/>
        </w:rPr>
        <w:fldChar w:fldCharType="separate"/>
      </w:r>
      <w:r>
        <w:rPr>
          <w:b w:val="0"/>
          <w:bCs/>
        </w:rPr>
        <w:t>9</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0294A8EB">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_Toc23704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4.3 国际标准</w:t>
      </w:r>
      <w:r>
        <w:rPr>
          <w:b w:val="0"/>
          <w:bCs/>
        </w:rPr>
        <w:tab/>
      </w:r>
      <w:r>
        <w:rPr>
          <w:b w:val="0"/>
          <w:bCs/>
        </w:rPr>
        <w:fldChar w:fldCharType="begin"/>
      </w:r>
      <w:r>
        <w:rPr>
          <w:b w:val="0"/>
          <w:bCs/>
        </w:rPr>
        <w:instrText xml:space="preserve"> PAGEREF _Toc23704 \h </w:instrText>
      </w:r>
      <w:r>
        <w:rPr>
          <w:b w:val="0"/>
          <w:bCs/>
        </w:rPr>
        <w:fldChar w:fldCharType="separate"/>
      </w:r>
      <w:r>
        <w:rPr>
          <w:b w:val="0"/>
          <w:bCs/>
        </w:rPr>
        <w:t>10</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5A5329E8">
      <w:pPr>
        <w:pStyle w:val="17"/>
        <w:tabs>
          <w:tab w:val="right" w:leader="dot" w:pos="8306"/>
        </w:tabs>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_Toc19591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kern w:val="2"/>
          <w:szCs w:val="32"/>
          <w:lang w:val="en-US" w:eastAsia="zh-CN"/>
        </w:rPr>
        <w:t>第五章 环境管理</w:t>
      </w:r>
      <w:r>
        <w:rPr>
          <w:b w:val="0"/>
          <w:bCs/>
        </w:rPr>
        <w:tab/>
      </w:r>
      <w:r>
        <w:rPr>
          <w:b w:val="0"/>
          <w:bCs/>
        </w:rPr>
        <w:fldChar w:fldCharType="begin"/>
      </w:r>
      <w:r>
        <w:rPr>
          <w:b w:val="0"/>
          <w:bCs/>
        </w:rPr>
        <w:instrText xml:space="preserve"> PAGEREF _Toc19591 \h </w:instrText>
      </w:r>
      <w:r>
        <w:rPr>
          <w:b w:val="0"/>
          <w:bCs/>
        </w:rPr>
        <w:fldChar w:fldCharType="separate"/>
      </w:r>
      <w:r>
        <w:rPr>
          <w:b w:val="0"/>
          <w:bCs/>
        </w:rPr>
        <w:t>12</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3944BBB8">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_Toc22190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5.1 环境风险、机遇及应对措施</w:t>
      </w:r>
      <w:r>
        <w:rPr>
          <w:b w:val="0"/>
          <w:bCs/>
        </w:rPr>
        <w:tab/>
      </w:r>
      <w:r>
        <w:rPr>
          <w:b w:val="0"/>
          <w:bCs/>
        </w:rPr>
        <w:fldChar w:fldCharType="begin"/>
      </w:r>
      <w:r>
        <w:rPr>
          <w:b w:val="0"/>
          <w:bCs/>
        </w:rPr>
        <w:instrText xml:space="preserve"> PAGEREF _Toc22190 \h </w:instrText>
      </w:r>
      <w:r>
        <w:rPr>
          <w:b w:val="0"/>
          <w:bCs/>
        </w:rPr>
        <w:fldChar w:fldCharType="separate"/>
      </w:r>
      <w:r>
        <w:rPr>
          <w:b w:val="0"/>
          <w:bCs/>
        </w:rPr>
        <w:t>12</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2E38ED03">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_Toc24355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5.2 利益相关方环境议题</w:t>
      </w:r>
      <w:r>
        <w:rPr>
          <w:b w:val="0"/>
          <w:bCs/>
        </w:rPr>
        <w:tab/>
      </w:r>
      <w:r>
        <w:rPr>
          <w:b w:val="0"/>
          <w:bCs/>
        </w:rPr>
        <w:fldChar w:fldCharType="begin"/>
      </w:r>
      <w:r>
        <w:rPr>
          <w:b w:val="0"/>
          <w:bCs/>
        </w:rPr>
        <w:instrText xml:space="preserve"> PAGEREF _Toc24355 \h </w:instrText>
      </w:r>
      <w:r>
        <w:rPr>
          <w:b w:val="0"/>
          <w:bCs/>
        </w:rPr>
        <w:fldChar w:fldCharType="separate"/>
      </w:r>
      <w:r>
        <w:rPr>
          <w:b w:val="0"/>
          <w:bCs/>
        </w:rPr>
        <w:t>13</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6105B854">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_Toc28248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5.3 情景分析与压力测试</w:t>
      </w:r>
      <w:r>
        <w:rPr>
          <w:b w:val="0"/>
          <w:bCs/>
        </w:rPr>
        <w:tab/>
      </w:r>
      <w:r>
        <w:rPr>
          <w:b w:val="0"/>
          <w:bCs/>
        </w:rPr>
        <w:fldChar w:fldCharType="begin"/>
      </w:r>
      <w:r>
        <w:rPr>
          <w:b w:val="0"/>
          <w:bCs/>
        </w:rPr>
        <w:instrText xml:space="preserve"> PAGEREF _Toc28248 \h </w:instrText>
      </w:r>
      <w:r>
        <w:rPr>
          <w:b w:val="0"/>
          <w:bCs/>
        </w:rPr>
        <w:fldChar w:fldCharType="separate"/>
      </w:r>
      <w:r>
        <w:rPr>
          <w:b w:val="0"/>
          <w:bCs/>
        </w:rPr>
        <w:t>13</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1DA81D54">
      <w:pPr>
        <w:pStyle w:val="17"/>
        <w:tabs>
          <w:tab w:val="right" w:leader="dot" w:pos="8306"/>
        </w:tabs>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_Toc5307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kern w:val="2"/>
          <w:szCs w:val="32"/>
          <w:highlight w:val="none"/>
          <w:lang w:val="en-US" w:eastAsia="zh-CN"/>
        </w:rPr>
        <w:t>第六章 自身经营的环境影响</w:t>
      </w:r>
      <w:r>
        <w:rPr>
          <w:b w:val="0"/>
          <w:bCs/>
        </w:rPr>
        <w:tab/>
      </w:r>
      <w:r>
        <w:rPr>
          <w:b w:val="0"/>
          <w:bCs/>
        </w:rPr>
        <w:fldChar w:fldCharType="begin"/>
      </w:r>
      <w:r>
        <w:rPr>
          <w:b w:val="0"/>
          <w:bCs/>
        </w:rPr>
        <w:instrText xml:space="preserve"> PAGEREF _Toc5307 \h </w:instrText>
      </w:r>
      <w:r>
        <w:rPr>
          <w:b w:val="0"/>
          <w:bCs/>
        </w:rPr>
        <w:fldChar w:fldCharType="separate"/>
      </w:r>
      <w:r>
        <w:rPr>
          <w:b w:val="0"/>
          <w:bCs/>
        </w:rPr>
        <w:t>16</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14E52955">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_Toc7940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6.1 自身经营的能源和资源消耗</w:t>
      </w:r>
      <w:r>
        <w:rPr>
          <w:b w:val="0"/>
          <w:bCs/>
        </w:rPr>
        <w:tab/>
      </w:r>
      <w:r>
        <w:rPr>
          <w:b w:val="0"/>
          <w:bCs/>
        </w:rPr>
        <w:fldChar w:fldCharType="begin"/>
      </w:r>
      <w:r>
        <w:rPr>
          <w:b w:val="0"/>
          <w:bCs/>
        </w:rPr>
        <w:instrText xml:space="preserve"> PAGEREF _Toc7940 \h </w:instrText>
      </w:r>
      <w:r>
        <w:rPr>
          <w:b w:val="0"/>
          <w:bCs/>
        </w:rPr>
        <w:fldChar w:fldCharType="separate"/>
      </w:r>
      <w:r>
        <w:rPr>
          <w:b w:val="0"/>
          <w:bCs/>
        </w:rPr>
        <w:t>16</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00E7C93A">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_Toc15013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6.2 自身经营的碳排放</w:t>
      </w:r>
      <w:r>
        <w:rPr>
          <w:b w:val="0"/>
          <w:bCs/>
        </w:rPr>
        <w:tab/>
      </w:r>
      <w:r>
        <w:rPr>
          <w:b w:val="0"/>
          <w:bCs/>
        </w:rPr>
        <w:fldChar w:fldCharType="begin"/>
      </w:r>
      <w:r>
        <w:rPr>
          <w:b w:val="0"/>
          <w:bCs/>
        </w:rPr>
        <w:instrText xml:space="preserve"> PAGEREF _Toc15013 \h </w:instrText>
      </w:r>
      <w:r>
        <w:rPr>
          <w:b w:val="0"/>
          <w:bCs/>
        </w:rPr>
        <w:fldChar w:fldCharType="separate"/>
      </w:r>
      <w:r>
        <w:rPr>
          <w:b w:val="0"/>
          <w:bCs/>
        </w:rPr>
        <w:t>17</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58535DA3">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_Toc19451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6.3 自身经营的碳减排</w:t>
      </w:r>
      <w:r>
        <w:rPr>
          <w:b w:val="0"/>
          <w:bCs/>
        </w:rPr>
        <w:tab/>
      </w:r>
      <w:r>
        <w:rPr>
          <w:b w:val="0"/>
          <w:bCs/>
        </w:rPr>
        <w:fldChar w:fldCharType="begin"/>
      </w:r>
      <w:r>
        <w:rPr>
          <w:b w:val="0"/>
          <w:bCs/>
        </w:rPr>
        <w:instrText xml:space="preserve"> PAGEREF _Toc19451 \h </w:instrText>
      </w:r>
      <w:r>
        <w:rPr>
          <w:b w:val="0"/>
          <w:bCs/>
        </w:rPr>
        <w:fldChar w:fldCharType="separate"/>
      </w:r>
      <w:r>
        <w:rPr>
          <w:b w:val="0"/>
          <w:bCs/>
        </w:rPr>
        <w:t>21</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62E5E8E3">
      <w:pPr>
        <w:pStyle w:val="17"/>
        <w:tabs>
          <w:tab w:val="right" w:leader="dot" w:pos="8306"/>
        </w:tabs>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_Toc21386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kern w:val="2"/>
          <w:szCs w:val="32"/>
          <w:lang w:val="en-US" w:eastAsia="zh-CN"/>
        </w:rPr>
        <w:t>第七章 投融资活动的碳排放</w:t>
      </w:r>
      <w:r>
        <w:rPr>
          <w:b w:val="0"/>
          <w:bCs/>
        </w:rPr>
        <w:tab/>
      </w:r>
      <w:r>
        <w:rPr>
          <w:b w:val="0"/>
          <w:bCs/>
        </w:rPr>
        <w:fldChar w:fldCharType="begin"/>
      </w:r>
      <w:r>
        <w:rPr>
          <w:b w:val="0"/>
          <w:bCs/>
        </w:rPr>
        <w:instrText xml:space="preserve"> PAGEREF _Toc21386 \h </w:instrText>
      </w:r>
      <w:r>
        <w:rPr>
          <w:b w:val="0"/>
          <w:bCs/>
        </w:rPr>
        <w:fldChar w:fldCharType="separate"/>
      </w:r>
      <w:r>
        <w:rPr>
          <w:b w:val="0"/>
          <w:bCs/>
        </w:rPr>
        <w:t>22</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684FCB76">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_Toc19402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rPr>
        <w:t>7.1 信贷资产</w:t>
      </w:r>
      <w:r>
        <w:rPr>
          <w:b w:val="0"/>
          <w:bCs/>
        </w:rPr>
        <w:tab/>
      </w:r>
      <w:r>
        <w:rPr>
          <w:b w:val="0"/>
          <w:bCs/>
        </w:rPr>
        <w:fldChar w:fldCharType="begin"/>
      </w:r>
      <w:r>
        <w:rPr>
          <w:b w:val="0"/>
          <w:bCs/>
        </w:rPr>
        <w:instrText xml:space="preserve"> PAGEREF _Toc19402 \h </w:instrText>
      </w:r>
      <w:r>
        <w:rPr>
          <w:b w:val="0"/>
          <w:bCs/>
        </w:rPr>
        <w:fldChar w:fldCharType="separate"/>
      </w:r>
      <w:r>
        <w:rPr>
          <w:b w:val="0"/>
          <w:bCs/>
        </w:rPr>
        <w:t>22</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5864953C">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_Toc25488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lang w:val="en-US" w:eastAsia="zh-CN"/>
        </w:rPr>
        <w:t>7.2 债券资产</w:t>
      </w:r>
      <w:r>
        <w:rPr>
          <w:b w:val="0"/>
          <w:bCs/>
        </w:rPr>
        <w:tab/>
      </w:r>
      <w:r>
        <w:rPr>
          <w:b w:val="0"/>
          <w:bCs/>
        </w:rPr>
        <w:fldChar w:fldCharType="begin"/>
      </w:r>
      <w:r>
        <w:rPr>
          <w:b w:val="0"/>
          <w:bCs/>
        </w:rPr>
        <w:instrText xml:space="preserve"> PAGEREF _Toc25488 \h </w:instrText>
      </w:r>
      <w:r>
        <w:rPr>
          <w:b w:val="0"/>
          <w:bCs/>
        </w:rPr>
        <w:fldChar w:fldCharType="separate"/>
      </w:r>
      <w:r>
        <w:rPr>
          <w:b w:val="0"/>
          <w:bCs/>
        </w:rPr>
        <w:t>22</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3BBDE4D5">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_Toc19566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lang w:val="en-US" w:eastAsia="zh-CN"/>
        </w:rPr>
        <w:t>7.3 投融资（总计）</w:t>
      </w:r>
      <w:r>
        <w:rPr>
          <w:b w:val="0"/>
          <w:bCs/>
        </w:rPr>
        <w:tab/>
      </w:r>
      <w:r>
        <w:rPr>
          <w:b w:val="0"/>
          <w:bCs/>
        </w:rPr>
        <w:fldChar w:fldCharType="begin"/>
      </w:r>
      <w:r>
        <w:rPr>
          <w:b w:val="0"/>
          <w:bCs/>
        </w:rPr>
        <w:instrText xml:space="preserve"> PAGEREF _Toc19566 \h </w:instrText>
      </w:r>
      <w:r>
        <w:rPr>
          <w:b w:val="0"/>
          <w:bCs/>
        </w:rPr>
        <w:fldChar w:fldCharType="separate"/>
      </w:r>
      <w:r>
        <w:rPr>
          <w:b w:val="0"/>
          <w:bCs/>
        </w:rPr>
        <w:t>23</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3DCE25B6">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_Toc16581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lang w:val="en-US" w:eastAsia="zh-CN"/>
        </w:rPr>
        <w:t>7.4 高碳行业</w:t>
      </w:r>
      <w:r>
        <w:rPr>
          <w:b w:val="0"/>
          <w:bCs/>
        </w:rPr>
        <w:tab/>
      </w:r>
      <w:r>
        <w:rPr>
          <w:b w:val="0"/>
          <w:bCs/>
        </w:rPr>
        <w:fldChar w:fldCharType="begin"/>
      </w:r>
      <w:r>
        <w:rPr>
          <w:b w:val="0"/>
          <w:bCs/>
        </w:rPr>
        <w:instrText xml:space="preserve"> PAGEREF _Toc16581 \h </w:instrText>
      </w:r>
      <w:r>
        <w:rPr>
          <w:b w:val="0"/>
          <w:bCs/>
        </w:rPr>
        <w:fldChar w:fldCharType="separate"/>
      </w:r>
      <w:r>
        <w:rPr>
          <w:b w:val="0"/>
          <w:bCs/>
        </w:rPr>
        <w:t>23</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769981A6">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_Toc6983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lang w:val="en-US" w:eastAsia="zh-CN"/>
        </w:rPr>
        <w:t>7.5 行业门类</w:t>
      </w:r>
      <w:r>
        <w:rPr>
          <w:b w:val="0"/>
          <w:bCs/>
        </w:rPr>
        <w:tab/>
      </w:r>
      <w:r>
        <w:rPr>
          <w:b w:val="0"/>
          <w:bCs/>
        </w:rPr>
        <w:fldChar w:fldCharType="begin"/>
      </w:r>
      <w:r>
        <w:rPr>
          <w:b w:val="0"/>
          <w:bCs/>
        </w:rPr>
        <w:instrText xml:space="preserve"> PAGEREF _Toc6983 \h </w:instrText>
      </w:r>
      <w:r>
        <w:rPr>
          <w:b w:val="0"/>
          <w:bCs/>
        </w:rPr>
        <w:fldChar w:fldCharType="separate"/>
      </w:r>
      <w:r>
        <w:rPr>
          <w:b w:val="0"/>
          <w:bCs/>
        </w:rPr>
        <w:t>24</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3AFED70D">
      <w:pPr>
        <w:pStyle w:val="17"/>
        <w:tabs>
          <w:tab w:val="right" w:leader="dot" w:pos="8306"/>
        </w:tabs>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_Toc22359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kern w:val="2"/>
          <w:szCs w:val="32"/>
          <w:lang w:val="en-US" w:eastAsia="zh-CN"/>
        </w:rPr>
        <w:t>第八章 绿色资产的节能减排</w:t>
      </w:r>
      <w:r>
        <w:rPr>
          <w:b w:val="0"/>
          <w:bCs/>
        </w:rPr>
        <w:tab/>
      </w:r>
      <w:r>
        <w:rPr>
          <w:b w:val="0"/>
          <w:bCs/>
        </w:rPr>
        <w:fldChar w:fldCharType="begin"/>
      </w:r>
      <w:r>
        <w:rPr>
          <w:b w:val="0"/>
          <w:bCs/>
        </w:rPr>
        <w:instrText xml:space="preserve"> PAGEREF _Toc22359 \h </w:instrText>
      </w:r>
      <w:r>
        <w:rPr>
          <w:b w:val="0"/>
          <w:bCs/>
        </w:rPr>
        <w:fldChar w:fldCharType="separate"/>
      </w:r>
      <w:r>
        <w:rPr>
          <w:b w:val="0"/>
          <w:bCs/>
        </w:rPr>
        <w:t>26</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108D7FBD">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_Toc28055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lang w:val="en-US" w:eastAsia="zh-CN"/>
        </w:rPr>
        <w:t>8.1 绿色信贷（项目业务）</w:t>
      </w:r>
      <w:r>
        <w:rPr>
          <w:b w:val="0"/>
          <w:bCs/>
        </w:rPr>
        <w:tab/>
      </w:r>
      <w:r>
        <w:rPr>
          <w:b w:val="0"/>
          <w:bCs/>
        </w:rPr>
        <w:fldChar w:fldCharType="begin"/>
      </w:r>
      <w:r>
        <w:rPr>
          <w:b w:val="0"/>
          <w:bCs/>
        </w:rPr>
        <w:instrText xml:space="preserve"> PAGEREF _Toc28055 \h </w:instrText>
      </w:r>
      <w:r>
        <w:rPr>
          <w:b w:val="0"/>
          <w:bCs/>
        </w:rPr>
        <w:fldChar w:fldCharType="separate"/>
      </w:r>
      <w:r>
        <w:rPr>
          <w:b w:val="0"/>
          <w:bCs/>
        </w:rPr>
        <w:t>26</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58C40E79">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_Toc4014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lang w:val="en-US" w:eastAsia="zh-CN"/>
        </w:rPr>
        <w:t>8.2 绿色产业</w:t>
      </w:r>
      <w:r>
        <w:rPr>
          <w:b w:val="0"/>
          <w:bCs/>
        </w:rPr>
        <w:tab/>
      </w:r>
      <w:r>
        <w:rPr>
          <w:b w:val="0"/>
          <w:bCs/>
        </w:rPr>
        <w:fldChar w:fldCharType="begin"/>
      </w:r>
      <w:r>
        <w:rPr>
          <w:b w:val="0"/>
          <w:bCs/>
        </w:rPr>
        <w:instrText xml:space="preserve"> PAGEREF _Toc4014 \h </w:instrText>
      </w:r>
      <w:r>
        <w:rPr>
          <w:b w:val="0"/>
          <w:bCs/>
        </w:rPr>
        <w:fldChar w:fldCharType="separate"/>
      </w:r>
      <w:r>
        <w:rPr>
          <w:b w:val="0"/>
          <w:bCs/>
        </w:rPr>
        <w:t>26</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51F2381F">
      <w:pPr>
        <w:pStyle w:val="17"/>
        <w:tabs>
          <w:tab w:val="right" w:leader="dot" w:pos="8306"/>
        </w:tabs>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_Toc5147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kern w:val="2"/>
          <w:szCs w:val="32"/>
          <w:lang w:val="en-US" w:eastAsia="zh-CN"/>
        </w:rPr>
        <w:t>第九章 创新及研究</w:t>
      </w:r>
      <w:r>
        <w:rPr>
          <w:b w:val="0"/>
          <w:bCs/>
        </w:rPr>
        <w:tab/>
      </w:r>
      <w:r>
        <w:rPr>
          <w:b w:val="0"/>
          <w:bCs/>
        </w:rPr>
        <w:fldChar w:fldCharType="begin"/>
      </w:r>
      <w:r>
        <w:rPr>
          <w:b w:val="0"/>
          <w:bCs/>
        </w:rPr>
        <w:instrText xml:space="preserve"> PAGEREF _Toc5147 \h </w:instrText>
      </w:r>
      <w:r>
        <w:rPr>
          <w:b w:val="0"/>
          <w:bCs/>
        </w:rPr>
        <w:fldChar w:fldCharType="separate"/>
      </w:r>
      <w:r>
        <w:rPr>
          <w:b w:val="0"/>
          <w:bCs/>
        </w:rPr>
        <w:t>27</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6DF38956">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_Toc15147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lang w:val="en-US" w:eastAsia="zh-CN"/>
        </w:rPr>
        <w:t>9.1 绿色金融创新实践案例</w:t>
      </w:r>
      <w:r>
        <w:rPr>
          <w:b w:val="0"/>
          <w:bCs/>
        </w:rPr>
        <w:tab/>
      </w:r>
      <w:r>
        <w:rPr>
          <w:b w:val="0"/>
          <w:bCs/>
        </w:rPr>
        <w:fldChar w:fldCharType="begin"/>
      </w:r>
      <w:r>
        <w:rPr>
          <w:b w:val="0"/>
          <w:bCs/>
        </w:rPr>
        <w:instrText xml:space="preserve"> PAGEREF _Toc15147 \h </w:instrText>
      </w:r>
      <w:r>
        <w:rPr>
          <w:b w:val="0"/>
          <w:bCs/>
        </w:rPr>
        <w:fldChar w:fldCharType="separate"/>
      </w:r>
      <w:r>
        <w:rPr>
          <w:b w:val="0"/>
          <w:bCs/>
        </w:rPr>
        <w:t>27</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00E5BDA1">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_Toc904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lang w:val="en-US" w:eastAsia="zh-CN"/>
        </w:rPr>
        <w:t>9.2 绿色金融研究</w:t>
      </w:r>
      <w:r>
        <w:rPr>
          <w:b w:val="0"/>
          <w:bCs/>
        </w:rPr>
        <w:tab/>
      </w:r>
      <w:r>
        <w:rPr>
          <w:b w:val="0"/>
          <w:bCs/>
        </w:rPr>
        <w:fldChar w:fldCharType="begin"/>
      </w:r>
      <w:r>
        <w:rPr>
          <w:b w:val="0"/>
          <w:bCs/>
        </w:rPr>
        <w:instrText xml:space="preserve"> PAGEREF _Toc904 \h </w:instrText>
      </w:r>
      <w:r>
        <w:rPr>
          <w:b w:val="0"/>
          <w:bCs/>
        </w:rPr>
        <w:fldChar w:fldCharType="separate"/>
      </w:r>
      <w:r>
        <w:rPr>
          <w:b w:val="0"/>
          <w:bCs/>
        </w:rPr>
        <w:t>27</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45965051">
      <w:pPr>
        <w:pStyle w:val="17"/>
        <w:tabs>
          <w:tab w:val="right" w:leader="dot" w:pos="8306"/>
        </w:tabs>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_Toc6108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kern w:val="2"/>
          <w:szCs w:val="32"/>
          <w:lang w:val="en-US" w:eastAsia="zh-CN"/>
        </w:rPr>
        <w:t>第十章 数据质量管理</w:t>
      </w:r>
      <w:r>
        <w:rPr>
          <w:b w:val="0"/>
          <w:bCs/>
        </w:rPr>
        <w:tab/>
      </w:r>
      <w:r>
        <w:rPr>
          <w:b w:val="0"/>
          <w:bCs/>
        </w:rPr>
        <w:fldChar w:fldCharType="begin"/>
      </w:r>
      <w:r>
        <w:rPr>
          <w:b w:val="0"/>
          <w:bCs/>
        </w:rPr>
        <w:instrText xml:space="preserve"> PAGEREF _Toc6108 \h </w:instrText>
      </w:r>
      <w:r>
        <w:rPr>
          <w:b w:val="0"/>
          <w:bCs/>
        </w:rPr>
        <w:fldChar w:fldCharType="separate"/>
      </w:r>
      <w:r>
        <w:rPr>
          <w:b w:val="0"/>
          <w:bCs/>
        </w:rPr>
        <w:t>29</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63838D38">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_Toc16167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lang w:val="en-US" w:eastAsia="zh-CN"/>
        </w:rPr>
        <w:t>10.1 数据梳理、校验及保护</w:t>
      </w:r>
      <w:r>
        <w:rPr>
          <w:b w:val="0"/>
          <w:bCs/>
        </w:rPr>
        <w:tab/>
      </w:r>
      <w:r>
        <w:rPr>
          <w:b w:val="0"/>
          <w:bCs/>
        </w:rPr>
        <w:fldChar w:fldCharType="begin"/>
      </w:r>
      <w:r>
        <w:rPr>
          <w:b w:val="0"/>
          <w:bCs/>
        </w:rPr>
        <w:instrText xml:space="preserve"> PAGEREF _Toc16167 \h </w:instrText>
      </w:r>
      <w:r>
        <w:rPr>
          <w:b w:val="0"/>
          <w:bCs/>
        </w:rPr>
        <w:fldChar w:fldCharType="separate"/>
      </w:r>
      <w:r>
        <w:rPr>
          <w:b w:val="0"/>
          <w:bCs/>
        </w:rPr>
        <w:t>29</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2837E968">
      <w:pPr>
        <w:pStyle w:val="17"/>
        <w:tabs>
          <w:tab w:val="right" w:leader="dot" w:pos="8306"/>
        </w:tabs>
        <w:ind w:firstLine="472" w:firstLineChars="200"/>
        <w:rPr>
          <w:b w:val="0"/>
          <w:bCs/>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begin"/>
      </w:r>
      <w:r>
        <w:rPr>
          <w:rFonts w:hint="eastAsia" w:ascii="黑体" w:hAnsi="黑体" w:eastAsia="黑体" w:cs="黑体"/>
          <w:b w:val="0"/>
          <w:bCs/>
          <w:snapToGrid w:val="0"/>
          <w:spacing w:val="8"/>
          <w:szCs w:val="28"/>
          <w:lang w:val="zh-CN"/>
        </w:rPr>
        <w:instrText xml:space="preserve"> HYPERLINK \l _Toc30444 </w:instrText>
      </w:r>
      <w:r>
        <w:rPr>
          <w:rFonts w:hint="eastAsia" w:ascii="黑体" w:hAnsi="黑体" w:eastAsia="黑体" w:cs="黑体"/>
          <w:b w:val="0"/>
          <w:bCs/>
          <w:snapToGrid w:val="0"/>
          <w:spacing w:val="8"/>
          <w:szCs w:val="28"/>
          <w:lang w:val="zh-CN"/>
        </w:rPr>
        <w:fldChar w:fldCharType="separate"/>
      </w:r>
      <w:r>
        <w:rPr>
          <w:rFonts w:hint="eastAsia" w:ascii="黑体" w:hAnsi="黑体" w:eastAsia="黑体" w:cs="黑体"/>
          <w:b w:val="0"/>
          <w:bCs/>
          <w:szCs w:val="28"/>
          <w:lang w:val="en-US" w:eastAsia="zh-CN"/>
        </w:rPr>
        <w:t>10.2 碳排放数据质量管理</w:t>
      </w:r>
      <w:r>
        <w:rPr>
          <w:b w:val="0"/>
          <w:bCs/>
        </w:rPr>
        <w:tab/>
      </w:r>
      <w:r>
        <w:rPr>
          <w:b w:val="0"/>
          <w:bCs/>
        </w:rPr>
        <w:fldChar w:fldCharType="begin"/>
      </w:r>
      <w:r>
        <w:rPr>
          <w:b w:val="0"/>
          <w:bCs/>
        </w:rPr>
        <w:instrText xml:space="preserve"> PAGEREF _Toc30444 \h </w:instrText>
      </w:r>
      <w:r>
        <w:rPr>
          <w:b w:val="0"/>
          <w:bCs/>
        </w:rPr>
        <w:fldChar w:fldCharType="separate"/>
      </w:r>
      <w:r>
        <w:rPr>
          <w:b w:val="0"/>
          <w:bCs/>
        </w:rPr>
        <w:t>30</w:t>
      </w:r>
      <w:r>
        <w:rPr>
          <w:b w:val="0"/>
          <w:bCs/>
        </w:rPr>
        <w:fldChar w:fldCharType="end"/>
      </w: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p>
    <w:p w14:paraId="0E2ACFDE">
      <w:pPr>
        <w:widowControl/>
        <w:kinsoku w:val="0"/>
        <w:autoSpaceDE w:val="0"/>
        <w:autoSpaceDN w:val="0"/>
        <w:adjustRightInd w:val="0"/>
        <w:snapToGrid w:val="0"/>
        <w:spacing w:before="217" w:beforeLines="50" w:line="240" w:lineRule="auto"/>
        <w:ind w:firstLine="0" w:firstLineChars="0"/>
        <w:textAlignment w:val="baseline"/>
        <w:rPr>
          <w:rStyle w:val="29"/>
          <w:rFonts w:ascii="微软雅黑" w:hAnsi="微软雅黑" w:eastAsia="微软雅黑" w:cs="微软雅黑"/>
          <w:b w:val="0"/>
          <w:bCs/>
          <w:snapToGrid w:val="0"/>
          <w:color w:val="000000" w:themeColor="text1"/>
          <w:spacing w:val="8"/>
          <w:sz w:val="28"/>
          <w:szCs w:val="28"/>
          <w:lang w:val="zh-CN"/>
          <w14:textFill>
            <w14:solidFill>
              <w14:schemeClr w14:val="tx1"/>
            </w14:solidFill>
          </w14:textFill>
        </w:rPr>
      </w:pPr>
      <w:r>
        <w:rPr>
          <w:rFonts w:hint="eastAsia" w:ascii="黑体" w:hAnsi="黑体" w:eastAsia="黑体" w:cs="黑体"/>
          <w:b w:val="0"/>
          <w:bCs/>
          <w:snapToGrid w:val="0"/>
          <w:color w:val="000000" w:themeColor="text1"/>
          <w:spacing w:val="8"/>
          <w:szCs w:val="28"/>
          <w:lang w:val="zh-CN"/>
          <w14:textFill>
            <w14:solidFill>
              <w14:schemeClr w14:val="tx1"/>
            </w14:solidFill>
          </w14:textFill>
        </w:rPr>
        <w:fldChar w:fldCharType="end"/>
      </w:r>
      <w:bookmarkStart w:id="102" w:name="_GoBack"/>
      <w:bookmarkEnd w:id="102"/>
    </w:p>
    <w:p w14:paraId="59FF3FE1">
      <w:pPr>
        <w:pStyle w:val="19"/>
        <w:tabs>
          <w:tab w:val="right" w:leader="dot" w:pos="9897"/>
        </w:tabs>
        <w:adjustRightInd w:val="0"/>
        <w:snapToGrid w:val="0"/>
        <w:spacing w:line="240" w:lineRule="auto"/>
        <w:rPr>
          <w:b w:val="0"/>
          <w:bCs/>
          <w:color w:val="000000" w:themeColor="text1"/>
          <w14:textFill>
            <w14:solidFill>
              <w14:schemeClr w14:val="tx1"/>
            </w14:solidFill>
          </w14:textFill>
        </w:rPr>
      </w:pPr>
      <w:r>
        <w:rPr>
          <w:rFonts w:hint="eastAsia" w:ascii="仿宋" w:hAnsi="仿宋" w:eastAsia="仿宋" w:cs="仿宋"/>
          <w:b w:val="0"/>
          <w:bCs/>
          <w:color w:val="000000" w:themeColor="text1"/>
          <w:sz w:val="28"/>
          <w:szCs w:val="28"/>
          <w:lang w:val="zh-CN"/>
          <w14:textFill>
            <w14:solidFill>
              <w14:schemeClr w14:val="tx1"/>
            </w14:solidFill>
          </w14:textFill>
        </w:rPr>
        <w:br w:type="page"/>
      </w:r>
    </w:p>
    <w:p w14:paraId="393273D7">
      <w:pPr>
        <w:pStyle w:val="19"/>
        <w:numPr>
          <w:ilvl w:val="0"/>
          <w:numId w:val="6"/>
        </w:numPr>
        <w:tabs>
          <w:tab w:val="right" w:leader="dot" w:pos="9897"/>
        </w:tabs>
        <w:adjustRightInd w:val="0"/>
        <w:snapToGrid w:val="0"/>
        <w:spacing w:line="240" w:lineRule="auto"/>
        <w:ind w:left="0"/>
        <w:jc w:val="center"/>
        <w:rPr>
          <w:rFonts w:ascii="微软雅黑" w:hAnsi="微软雅黑" w:eastAsia="微软雅黑" w:cs="微软雅黑"/>
          <w:b w:val="0"/>
          <w:bCs/>
          <w:color w:val="000000" w:themeColor="text1"/>
          <w:kern w:val="2"/>
          <w:sz w:val="32"/>
          <w:szCs w:val="32"/>
          <w14:textFill>
            <w14:solidFill>
              <w14:schemeClr w14:val="tx1"/>
            </w14:solidFill>
          </w14:textFill>
        </w:rPr>
        <w:sectPr>
          <w:headerReference r:id="rId13" w:type="first"/>
          <w:footerReference r:id="rId16" w:type="first"/>
          <w:headerReference r:id="rId11" w:type="default"/>
          <w:footerReference r:id="rId14" w:type="default"/>
          <w:headerReference r:id="rId12" w:type="even"/>
          <w:footerReference r:id="rId15" w:type="even"/>
          <w:pgSz w:w="11906" w:h="16838"/>
          <w:pgMar w:top="1440" w:right="1800" w:bottom="1440" w:left="1800" w:header="851" w:footer="992" w:gutter="0"/>
          <w:pgNumType w:start="0"/>
          <w:cols w:space="720" w:num="1"/>
          <w:titlePg/>
          <w:docGrid w:type="lines" w:linePitch="435" w:charSpace="0"/>
        </w:sectPr>
      </w:pPr>
    </w:p>
    <w:p w14:paraId="58C30CB6">
      <w:pPr>
        <w:pStyle w:val="19"/>
        <w:keepNext w:val="0"/>
        <w:keepLines w:val="0"/>
        <w:pageBreakBefore w:val="0"/>
        <w:widowControl/>
        <w:numPr>
          <w:ilvl w:val="0"/>
          <w:numId w:val="0"/>
        </w:numPr>
        <w:tabs>
          <w:tab w:val="right" w:leader="dot" w:pos="9897"/>
        </w:tabs>
        <w:kinsoku/>
        <w:wordWrap/>
        <w:overflowPunct/>
        <w:topLinePunct w:val="0"/>
        <w:autoSpaceDE/>
        <w:autoSpaceDN/>
        <w:bidi w:val="0"/>
        <w:adjustRightInd w:val="0"/>
        <w:snapToGrid w:val="0"/>
        <w:spacing w:before="437" w:beforeLines="100" w:after="20" w:line="360" w:lineRule="auto"/>
        <w:ind w:left="0" w:leftChars="0" w:firstLine="0" w:firstLineChars="0"/>
        <w:jc w:val="center"/>
        <w:textAlignment w:val="auto"/>
        <w:outlineLvl w:val="0"/>
        <w:rPr>
          <w:rFonts w:hint="eastAsia" w:ascii="黑体" w:hAnsi="黑体" w:eastAsia="黑体" w:cs="黑体"/>
          <w:b w:val="0"/>
          <w:bCs/>
          <w:color w:val="000000" w:themeColor="text1"/>
          <w:kern w:val="2"/>
          <w:sz w:val="32"/>
          <w:szCs w:val="32"/>
          <w14:textFill>
            <w14:solidFill>
              <w14:schemeClr w14:val="tx1"/>
            </w14:solidFill>
          </w14:textFill>
        </w:rPr>
      </w:pPr>
      <w:bookmarkStart w:id="0" w:name="_Toc7278"/>
      <w:r>
        <w:rPr>
          <w:rFonts w:hint="eastAsia" w:ascii="黑体" w:hAnsi="黑体" w:eastAsia="黑体" w:cs="黑体"/>
          <w:b w:val="0"/>
          <w:bCs/>
          <w:color w:val="000000" w:themeColor="text1"/>
          <w:kern w:val="2"/>
          <w:sz w:val="32"/>
          <w:szCs w:val="32"/>
          <w:lang w:val="en-US" w:eastAsia="zh-CN"/>
          <w14:textFill>
            <w14:solidFill>
              <w14:schemeClr w14:val="tx1"/>
            </w14:solidFill>
          </w14:textFill>
        </w:rPr>
        <w:t xml:space="preserve">第一章 </w:t>
      </w:r>
      <w:r>
        <w:rPr>
          <w:rFonts w:hint="eastAsia" w:ascii="黑体" w:hAnsi="黑体" w:eastAsia="黑体" w:cs="黑体"/>
          <w:b w:val="0"/>
          <w:bCs/>
          <w:color w:val="000000" w:themeColor="text1"/>
          <w:kern w:val="2"/>
          <w:sz w:val="32"/>
          <w:szCs w:val="32"/>
          <w14:textFill>
            <w14:solidFill>
              <w14:schemeClr w14:val="tx1"/>
            </w14:solidFill>
          </w14:textFill>
        </w:rPr>
        <w:t>披露主体</w:t>
      </w:r>
      <w:bookmarkEnd w:id="0"/>
    </w:p>
    <w:p w14:paraId="0849BBF0">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1" w:name="_Toc3176"/>
      <w:r>
        <w:rPr>
          <w:rFonts w:hint="eastAsia" w:ascii="黑体" w:hAnsi="黑体" w:eastAsia="黑体" w:cs="黑体"/>
          <w:b w:val="0"/>
          <w:bCs/>
          <w:color w:val="000000" w:themeColor="text1"/>
          <w:sz w:val="28"/>
          <w:szCs w:val="28"/>
          <w14:textFill>
            <w14:solidFill>
              <w14:schemeClr w14:val="tx1"/>
            </w14:solidFill>
          </w14:textFill>
        </w:rPr>
        <w:t>1.1 编制说明</w:t>
      </w:r>
      <w:bookmarkEnd w:id="1"/>
    </w:p>
    <w:p w14:paraId="71EDA020">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snapToGrid w:val="0"/>
          <w:color w:val="000000" w:themeColor="text1"/>
          <w:spacing w:val="6"/>
          <w:kern w:val="0"/>
          <w:sz w:val="24"/>
          <w:szCs w:val="24"/>
          <w14:textFill>
            <w14:solidFill>
              <w14:schemeClr w14:val="tx1"/>
            </w14:solidFill>
          </w14:textFill>
        </w:rPr>
      </w:pPr>
      <w:bookmarkStart w:id="2" w:name="_Toc14632"/>
      <w:r>
        <w:rPr>
          <w:rFonts w:hint="eastAsia" w:ascii="黑体" w:hAnsi="黑体" w:eastAsia="黑体" w:cs="黑体"/>
          <w:b w:val="0"/>
          <w:bCs/>
          <w:color w:val="000000" w:themeColor="text1"/>
          <w:sz w:val="24"/>
          <w:szCs w:val="24"/>
          <w14:textFill>
            <w14:solidFill>
              <w14:schemeClr w14:val="tx1"/>
            </w14:solidFill>
          </w14:textFill>
        </w:rPr>
        <w:t>1.1.1 关于本报告</w:t>
      </w:r>
      <w:bookmarkEnd w:id="2"/>
    </w:p>
    <w:p w14:paraId="0488E471">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本报告是</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江苏高邮农村商业银行股份有限公司</w:t>
      </w:r>
      <w:r>
        <w:rPr>
          <w:rFonts w:ascii="仿宋" w:hAnsi="仿宋" w:eastAsia="仿宋" w:cs="仿宋"/>
          <w:b w:val="0"/>
          <w:bCs/>
          <w:color w:val="000000" w:themeColor="text1"/>
          <w:spacing w:val="6"/>
          <w:sz w:val="24"/>
          <w14:textFill>
            <w14:solidFill>
              <w14:schemeClr w14:val="tx1"/>
            </w14:solidFill>
          </w14:textFill>
        </w:rPr>
        <w:t>（本报告中也简称“</w:t>
      </w:r>
      <w:r>
        <w:rPr>
          <w:rFonts w:hint="eastAsia" w:ascii="仿宋" w:hAnsi="仿宋" w:eastAsia="仿宋" w:cs="仿宋"/>
          <w:b w:val="0"/>
          <w:bCs/>
          <w:color w:val="000000" w:themeColor="text1"/>
          <w:spacing w:val="6"/>
          <w:sz w:val="24"/>
          <w:lang w:eastAsia="zh-CN"/>
          <w14:textFill>
            <w14:solidFill>
              <w14:schemeClr w14:val="tx1"/>
            </w14:solidFill>
          </w14:textFill>
        </w:rPr>
        <w:t>高邮农商银行</w:t>
      </w:r>
      <w:r>
        <w:rPr>
          <w:rFonts w:ascii="仿宋" w:hAnsi="仿宋" w:eastAsia="仿宋" w:cs="仿宋"/>
          <w:b w:val="0"/>
          <w:bCs/>
          <w:color w:val="000000" w:themeColor="text1"/>
          <w:spacing w:val="6"/>
          <w:sz w:val="24"/>
          <w14:textFill>
            <w14:solidFill>
              <w14:schemeClr w14:val="tx1"/>
            </w14:solidFill>
          </w14:textFill>
        </w:rPr>
        <w:t>”“本行”）单独发布的环境信息披露报告。本报告阐述了本行 202</w:t>
      </w:r>
      <w:r>
        <w:rPr>
          <w:rFonts w:hint="eastAsia" w:ascii="仿宋" w:hAnsi="仿宋" w:eastAsia="仿宋" w:cs="仿宋"/>
          <w:b w:val="0"/>
          <w:bCs/>
          <w:color w:val="000000" w:themeColor="text1"/>
          <w:spacing w:val="6"/>
          <w:sz w:val="24"/>
          <w:lang w:val="en-US" w:eastAsia="zh-CN"/>
          <w14:textFill>
            <w14:solidFill>
              <w14:schemeClr w14:val="tx1"/>
            </w14:solidFill>
          </w14:textFill>
        </w:rPr>
        <w:t>4</w:t>
      </w:r>
      <w:r>
        <w:rPr>
          <w:rFonts w:ascii="仿宋" w:hAnsi="仿宋" w:eastAsia="仿宋" w:cs="仿宋"/>
          <w:b w:val="0"/>
          <w:bCs/>
          <w:color w:val="000000" w:themeColor="text1"/>
          <w:spacing w:val="6"/>
          <w:sz w:val="24"/>
          <w14:textFill>
            <w14:solidFill>
              <w14:schemeClr w14:val="tx1"/>
            </w14:solidFill>
          </w14:textFill>
        </w:rPr>
        <w:t>年度在环境信息披露方面的主要工作和成效，回应</w:t>
      </w:r>
      <w:r>
        <w:rPr>
          <w:rFonts w:hint="eastAsia" w:ascii="仿宋" w:hAnsi="仿宋" w:eastAsia="仿宋" w:cs="仿宋"/>
          <w:b w:val="0"/>
          <w:bCs/>
          <w:color w:val="000000" w:themeColor="text1"/>
          <w:spacing w:val="6"/>
          <w:sz w:val="24"/>
          <w14:textFill>
            <w14:solidFill>
              <w14:schemeClr w14:val="tx1"/>
            </w14:solidFill>
          </w14:textFill>
        </w:rPr>
        <w:t>监管机构和</w:t>
      </w:r>
      <w:r>
        <w:rPr>
          <w:rFonts w:ascii="仿宋" w:hAnsi="仿宋" w:eastAsia="仿宋" w:cs="仿宋"/>
          <w:b w:val="0"/>
          <w:bCs/>
          <w:color w:val="000000" w:themeColor="text1"/>
          <w:spacing w:val="6"/>
          <w:sz w:val="24"/>
          <w14:textFill>
            <w14:solidFill>
              <w14:schemeClr w14:val="tx1"/>
            </w14:solidFill>
          </w14:textFill>
        </w:rPr>
        <w:t>各利益相关方的期望与关注，全面展示</w:t>
      </w:r>
      <w:r>
        <w:rPr>
          <w:rFonts w:hint="eastAsia" w:ascii="仿宋" w:hAnsi="仿宋" w:eastAsia="仿宋" w:cs="仿宋"/>
          <w:b w:val="0"/>
          <w:bCs/>
          <w:color w:val="000000" w:themeColor="text1"/>
          <w:spacing w:val="6"/>
          <w:sz w:val="24"/>
          <w14:textFill>
            <w14:solidFill>
              <w14:schemeClr w14:val="tx1"/>
            </w14:solidFill>
          </w14:textFill>
        </w:rPr>
        <w:t>本行</w:t>
      </w:r>
      <w:r>
        <w:rPr>
          <w:rFonts w:ascii="仿宋" w:hAnsi="仿宋" w:eastAsia="仿宋" w:cs="仿宋"/>
          <w:b w:val="0"/>
          <w:bCs/>
          <w:color w:val="000000" w:themeColor="text1"/>
          <w:spacing w:val="6"/>
          <w:sz w:val="24"/>
          <w14:textFill>
            <w14:solidFill>
              <w14:schemeClr w14:val="tx1"/>
            </w14:solidFill>
          </w14:textFill>
        </w:rPr>
        <w:t>在环境信息披露方面的积极态度与行动。</w:t>
      </w:r>
    </w:p>
    <w:p w14:paraId="266E12C2">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3" w:name="_Toc21845"/>
      <w:r>
        <w:rPr>
          <w:rFonts w:hint="eastAsia" w:ascii="黑体" w:hAnsi="黑体" w:eastAsia="黑体" w:cs="黑体"/>
          <w:b w:val="0"/>
          <w:bCs/>
          <w:color w:val="000000" w:themeColor="text1"/>
          <w:sz w:val="24"/>
          <w:szCs w:val="24"/>
          <w14:textFill>
            <w14:solidFill>
              <w14:schemeClr w14:val="tx1"/>
            </w14:solidFill>
          </w14:textFill>
        </w:rPr>
        <w:t>1.1.2 报告范围</w:t>
      </w:r>
      <w:bookmarkEnd w:id="3"/>
    </w:p>
    <w:p w14:paraId="663D587C">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本报告为年度报告。时间范围涵盖 202</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4</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年01月01日至202</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4</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年12月31日，部分信息涉及以往年度。除另有注明外，本报告以</w:t>
      </w:r>
      <w:r>
        <w:rPr>
          <w:rFonts w:hint="eastAsia" w:ascii="仿宋" w:hAnsi="仿宋" w:eastAsia="仿宋" w:cs="仿宋"/>
          <w:b w:val="0"/>
          <w:bCs/>
          <w:color w:val="000000" w:themeColor="text1"/>
          <w:spacing w:val="6"/>
          <w:sz w:val="24"/>
          <w:lang w:eastAsia="zh-CN"/>
          <w14:textFill>
            <w14:solidFill>
              <w14:schemeClr w14:val="tx1"/>
            </w14:solidFill>
          </w14:textFill>
        </w:rPr>
        <w:t>江苏高邮农村商业银行股份有限公司</w:t>
      </w:r>
      <w:r>
        <w:rPr>
          <w:rFonts w:ascii="仿宋" w:hAnsi="仿宋" w:eastAsia="仿宋" w:cs="仿宋"/>
          <w:b w:val="0"/>
          <w:bCs/>
          <w:color w:val="000000" w:themeColor="text1"/>
          <w:spacing w:val="6"/>
          <w:sz w:val="24"/>
          <w14:textFill>
            <w14:solidFill>
              <w14:schemeClr w14:val="tx1"/>
            </w14:solidFill>
          </w14:textFill>
        </w:rPr>
        <w:t>为主体</w:t>
      </w:r>
      <w:r>
        <w:rPr>
          <w:rFonts w:hint="eastAsia" w:ascii="仿宋" w:hAnsi="仿宋" w:eastAsia="仿宋" w:cs="仿宋"/>
          <w:b w:val="0"/>
          <w:bCs/>
          <w:color w:val="000000" w:themeColor="text1"/>
          <w:spacing w:val="6"/>
          <w:sz w:val="24"/>
          <w14:textFill>
            <w14:solidFill>
              <w14:schemeClr w14:val="tx1"/>
            </w14:solidFill>
          </w14:textFill>
        </w:rPr>
        <w:t>，包含下辖分支机构数据</w:t>
      </w:r>
      <w:r>
        <w:rPr>
          <w:rFonts w:ascii="仿宋" w:hAnsi="仿宋" w:eastAsia="仿宋" w:cs="仿宋"/>
          <w:b w:val="0"/>
          <w:bCs/>
          <w:color w:val="000000" w:themeColor="text1"/>
          <w:spacing w:val="6"/>
          <w:sz w:val="24"/>
          <w14:textFill>
            <w14:solidFill>
              <w14:schemeClr w14:val="tx1"/>
            </w14:solidFill>
          </w14:textFill>
        </w:rPr>
        <w:t>。</w:t>
      </w:r>
    </w:p>
    <w:p w14:paraId="34E827EE">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4" w:name="_Toc4146"/>
      <w:r>
        <w:rPr>
          <w:rFonts w:hint="eastAsia" w:ascii="黑体" w:hAnsi="黑体" w:eastAsia="黑体" w:cs="黑体"/>
          <w:b w:val="0"/>
          <w:bCs/>
          <w:color w:val="000000" w:themeColor="text1"/>
          <w:sz w:val="24"/>
          <w:szCs w:val="24"/>
          <w14:textFill>
            <w14:solidFill>
              <w14:schemeClr w14:val="tx1"/>
            </w14:solidFill>
          </w14:textFill>
        </w:rPr>
        <w:t>1.1.3 编写依据</w:t>
      </w:r>
      <w:bookmarkEnd w:id="4"/>
    </w:p>
    <w:p w14:paraId="6F76319E">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本报告根据《金融机构环境信息披露指南》（JR/T 0227-2021</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、《金融机构碳核算技术指南（试行）》（银办发〔2021〕119号）和《江苏省银行业金融机构环境信息披露指引（试行）》（苏银发〔2024〕49号）的要求进行</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核算</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编制，并参考碳核算金融联盟（PCAF）《金融行业温室气体核算和披露全球性标准》和国际可持续准则理事会</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ISSB）《国际财务报告可持续披露准则第1号——可持续相关财务信息披露一般要求》</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《国际财务报告可持续披露准则第2号——气候相关披露》</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中的核算和披露原则。</w:t>
      </w:r>
    </w:p>
    <w:p w14:paraId="59B49E32">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highlight w:val="none"/>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highlight w:val="none"/>
          <w:lang w:val="en-US" w:eastAsia="zh-CN"/>
          <w14:textFill>
            <w14:solidFill>
              <w14:schemeClr w14:val="tx1"/>
            </w14:solidFill>
          </w14:textFill>
        </w:rPr>
        <w:t>本行报告年度开展气候风险管理，方法论依据联合国环境规划署金融倡议（UNEP FI）《气候风险评估方法综述》构建，情景分析与压力测试框架参照央行绿色金融网络（NGFS）在《金融机构环境风险分析综述》及《案例集》中提出的三大基准情景——有序转型（1.5-2℃温控目标）、无序转型（同等温控目标但转型风险加剧）及温室世界（延续现行政策导致升温超3℃），开展投资组合的气候风险量化分析。</w:t>
      </w:r>
    </w:p>
    <w:p w14:paraId="57BAF777">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b w:val="0"/>
          <w:bCs/>
        </w:rPr>
      </w:pPr>
    </w:p>
    <w:p w14:paraId="14E61DBF">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5" w:name="_Toc3417"/>
      <w:r>
        <w:rPr>
          <w:rFonts w:hint="eastAsia" w:ascii="黑体" w:hAnsi="黑体" w:eastAsia="黑体" w:cs="黑体"/>
          <w:b w:val="0"/>
          <w:bCs/>
          <w:color w:val="000000" w:themeColor="text1"/>
          <w:sz w:val="28"/>
          <w:szCs w:val="28"/>
          <w14:textFill>
            <w14:solidFill>
              <w14:schemeClr w14:val="tx1"/>
            </w14:solidFill>
          </w14:textFill>
        </w:rPr>
        <w:t>1.2 基本信息</w:t>
      </w:r>
      <w:bookmarkEnd w:id="5"/>
    </w:p>
    <w:p w14:paraId="627456DD">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6" w:name="_Toc14557"/>
      <w:r>
        <w:rPr>
          <w:rFonts w:hint="eastAsia" w:ascii="黑体" w:hAnsi="黑体" w:eastAsia="黑体" w:cs="黑体"/>
          <w:b w:val="0"/>
          <w:bCs/>
          <w:color w:val="000000" w:themeColor="text1"/>
          <w:sz w:val="24"/>
          <w:szCs w:val="24"/>
          <w14:textFill>
            <w14:solidFill>
              <w14:schemeClr w14:val="tx1"/>
            </w14:solidFill>
          </w14:textFill>
        </w:rPr>
        <w:t>1.2.1 基本信息</w:t>
      </w:r>
      <w:bookmarkEnd w:id="6"/>
    </w:p>
    <w:p w14:paraId="768DC007">
      <w:pPr>
        <w:keepNext w:val="0"/>
        <w:keepLines w:val="0"/>
        <w:pageBreakBefore w:val="0"/>
        <w:widowControl/>
        <w:kinsoku w:val="0"/>
        <w:wordWrap/>
        <w:overflowPunct/>
        <w:topLinePunct w:val="0"/>
        <w:autoSpaceDE w:val="0"/>
        <w:autoSpaceDN w:val="0"/>
        <w:bidi w:val="0"/>
        <w:adjustRightInd w:val="0"/>
        <w:snapToGrid w:val="0"/>
        <w:spacing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机构名称：江苏高邮农村商业银行股份有限公司</w:t>
      </w:r>
    </w:p>
    <w:p w14:paraId="2F28EFC5">
      <w:pPr>
        <w:keepNext w:val="0"/>
        <w:keepLines w:val="0"/>
        <w:pageBreakBefore w:val="0"/>
        <w:widowControl/>
        <w:kinsoku w:val="0"/>
        <w:wordWrap/>
        <w:overflowPunct/>
        <w:topLinePunct w:val="0"/>
        <w:autoSpaceDE w:val="0"/>
        <w:autoSpaceDN w:val="0"/>
        <w:bidi w:val="0"/>
        <w:adjustRightInd w:val="0"/>
        <w:snapToGrid w:val="0"/>
        <w:spacing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单位性质：股份有限公司（非上市）</w:t>
      </w:r>
    </w:p>
    <w:p w14:paraId="22B22F51">
      <w:pPr>
        <w:keepNext w:val="0"/>
        <w:keepLines w:val="0"/>
        <w:pageBreakBefore w:val="0"/>
        <w:widowControl/>
        <w:kinsoku w:val="0"/>
        <w:wordWrap/>
        <w:overflowPunct/>
        <w:topLinePunct w:val="0"/>
        <w:autoSpaceDE w:val="0"/>
        <w:autoSpaceDN w:val="0"/>
        <w:bidi w:val="0"/>
        <w:adjustRightInd w:val="0"/>
        <w:snapToGrid w:val="0"/>
        <w:spacing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所属行业：金融业 &gt; 货币金融服务</w:t>
      </w:r>
    </w:p>
    <w:p w14:paraId="79CCA3FF">
      <w:pPr>
        <w:keepNext w:val="0"/>
        <w:keepLines w:val="0"/>
        <w:pageBreakBefore w:val="0"/>
        <w:widowControl/>
        <w:kinsoku w:val="0"/>
        <w:wordWrap/>
        <w:overflowPunct/>
        <w:topLinePunct w:val="0"/>
        <w:autoSpaceDE w:val="0"/>
        <w:autoSpaceDN w:val="0"/>
        <w:bidi w:val="0"/>
        <w:adjustRightInd w:val="0"/>
        <w:snapToGrid w:val="0"/>
        <w:spacing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统一社会信用代码：9132100014098606XG</w:t>
      </w:r>
    </w:p>
    <w:p w14:paraId="1D4D7056">
      <w:pPr>
        <w:keepNext w:val="0"/>
        <w:keepLines w:val="0"/>
        <w:pageBreakBefore w:val="0"/>
        <w:widowControl/>
        <w:kinsoku w:val="0"/>
        <w:wordWrap/>
        <w:overflowPunct/>
        <w:topLinePunct w:val="0"/>
        <w:autoSpaceDE w:val="0"/>
        <w:autoSpaceDN w:val="0"/>
        <w:bidi w:val="0"/>
        <w:adjustRightInd w:val="0"/>
        <w:snapToGrid w:val="0"/>
        <w:spacing w:line="240" w:lineRule="auto"/>
        <w:ind w:firstLine="504"/>
        <w:textAlignment w:val="baseline"/>
        <w:rPr>
          <w:rFonts w:hint="default"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联系电话：</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0514-84323058</w:t>
      </w:r>
    </w:p>
    <w:p w14:paraId="20B023FD">
      <w:pPr>
        <w:keepNext w:val="0"/>
        <w:keepLines w:val="0"/>
        <w:pageBreakBefore w:val="0"/>
        <w:widowControl/>
        <w:kinsoku w:val="0"/>
        <w:wordWrap/>
        <w:overflowPunct/>
        <w:topLinePunct w:val="0"/>
        <w:autoSpaceDE w:val="0"/>
        <w:autoSpaceDN w:val="0"/>
        <w:bidi w:val="0"/>
        <w:adjustRightInd w:val="0"/>
        <w:snapToGrid w:val="0"/>
        <w:spacing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地址：高邮市文游中路28号</w:t>
      </w:r>
    </w:p>
    <w:p w14:paraId="39B40ADF">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7" w:name="_Toc2265"/>
      <w:r>
        <w:rPr>
          <w:rFonts w:hint="eastAsia" w:ascii="黑体" w:hAnsi="黑体" w:eastAsia="黑体" w:cs="黑体"/>
          <w:b w:val="0"/>
          <w:bCs/>
          <w:color w:val="000000" w:themeColor="text1"/>
          <w:sz w:val="24"/>
          <w:szCs w:val="24"/>
          <w14:textFill>
            <w14:solidFill>
              <w14:schemeClr w14:val="tx1"/>
            </w14:solidFill>
          </w14:textFill>
        </w:rPr>
        <w:t>1.2.2 机构介绍</w:t>
      </w:r>
      <w:bookmarkEnd w:id="7"/>
    </w:p>
    <w:p w14:paraId="08745216">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lang w:val="en-US" w:eastAsia="zh-CN" w:bidi="ar-SA"/>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江苏高邮农村商业银行股份有限公司（</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简称“</w:t>
      </w:r>
      <w:r>
        <w:rPr>
          <w:rFonts w:hint="eastAsia" w:ascii="仿宋" w:hAnsi="仿宋" w:eastAsia="仿宋" w:cs="仿宋"/>
          <w:b w:val="0"/>
          <w:bCs/>
          <w:snapToGrid w:val="0"/>
          <w:color w:val="000000" w:themeColor="text1"/>
          <w:spacing w:val="6"/>
          <w:kern w:val="0"/>
          <w:sz w:val="24"/>
          <w:szCs w:val="24"/>
          <w:lang w:val="en-US" w:eastAsia="zh-CN" w:bidi="ar-SA"/>
          <w14:textFill>
            <w14:solidFill>
              <w14:schemeClr w14:val="tx1"/>
            </w14:solidFill>
          </w14:textFill>
        </w:rPr>
        <w:t>高邮农商银行”</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）成立于1995年10月24日，</w:t>
      </w:r>
      <w:r>
        <w:rPr>
          <w:rFonts w:hint="eastAsia" w:ascii="仿宋" w:hAnsi="仿宋" w:eastAsia="仿宋" w:cs="仿宋"/>
          <w:b w:val="0"/>
          <w:bCs/>
          <w:snapToGrid w:val="0"/>
          <w:color w:val="000000" w:themeColor="text1"/>
          <w:spacing w:val="6"/>
          <w:kern w:val="0"/>
          <w:sz w:val="24"/>
          <w:szCs w:val="24"/>
          <w:lang w:val="en-US" w:eastAsia="zh-CN" w:bidi="ar-SA"/>
          <w14:textFill>
            <w14:solidFill>
              <w14:schemeClr w14:val="tx1"/>
            </w14:solidFill>
          </w14:textFill>
        </w:rPr>
        <w:t>于2011年4月改制而成，是经中国银监会批准的具有独立法人资格的地方性金融企业，内设19个部室，下设1个营业部、36个支行，1个分理处，在岗员工500余人，是高邮地区营业网点最多、辐射面最广、市场份额最高的综合性金融机构。改制成立以来，始终坚守本源，坚持服务地方经济发展，特别是在服务三农和中小微企业方面，勇于尝试，大胆探索，凭借灵活的决策机制，脱虚向实，切实服务地方经济发展。</w:t>
      </w:r>
    </w:p>
    <w:p w14:paraId="5162E538">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30"/>
          <w:szCs w:val="30"/>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经营范围：吸收公众存款；发放短期、中期和长期贷款；办理国内结算；办理票据承兑和贴现；代理发行、代理兑付、承销政府债券；买卖政府债券、金融债券；从事同业拆借；从事借记卡业务;代理收付款项及代理保险业务（限兼业代理，险种以业务许可证所列险种为准）；提供保管箱服务；经中国银行业监督管理机构批准的其他业务。（依法须经批准的项目，经相关部门批准后方可开展经营活动）</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w:t>
      </w:r>
    </w:p>
    <w:p w14:paraId="0E6FEFE0">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严格按照《公司法》《商业银行法》《银行保险机构公司治理准则》等法律法规及规范性文件的要求，不断完善股东大会、董事会、监事会和高级管理层为核心的“三会一层”公司治理结构，完善公司治理制度，建立健全决策科学、执行有力、监督有效的公司治理机制。</w:t>
      </w:r>
    </w:p>
    <w:p w14:paraId="16B53E63">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sectPr>
          <w:headerReference r:id="rId17" w:type="first"/>
          <w:footerReference r:id="rId18" w:type="default"/>
          <w:type w:val="continuous"/>
          <w:pgSz w:w="11906" w:h="16838"/>
          <w:pgMar w:top="1440" w:right="1800" w:bottom="1440" w:left="1800" w:header="851" w:footer="992" w:gutter="0"/>
          <w:pgNumType w:start="1"/>
          <w:cols w:space="720" w:num="1"/>
          <w:docGrid w:type="lines" w:linePitch="435" w:charSpace="0"/>
        </w:sectPr>
      </w:pPr>
    </w:p>
    <w:p w14:paraId="51E5B12F">
      <w:pPr>
        <w:pStyle w:val="19"/>
        <w:keepNext w:val="0"/>
        <w:keepLines w:val="0"/>
        <w:pageBreakBefore w:val="0"/>
        <w:widowControl/>
        <w:numPr>
          <w:ilvl w:val="0"/>
          <w:numId w:val="0"/>
        </w:numPr>
        <w:tabs>
          <w:tab w:val="right" w:leader="dot" w:pos="9897"/>
        </w:tabs>
        <w:kinsoku/>
        <w:wordWrap/>
        <w:overflowPunct/>
        <w:topLinePunct w:val="0"/>
        <w:autoSpaceDE/>
        <w:autoSpaceDN/>
        <w:bidi w:val="0"/>
        <w:adjustRightInd w:val="0"/>
        <w:snapToGrid w:val="0"/>
        <w:spacing w:before="437" w:beforeLines="100" w:after="20" w:line="360" w:lineRule="auto"/>
        <w:ind w:left="0" w:leftChars="0" w:firstLine="0" w:firstLineChars="0"/>
        <w:jc w:val="center"/>
        <w:textAlignment w:val="auto"/>
        <w:outlineLvl w:val="0"/>
        <w:rPr>
          <w:rFonts w:hint="eastAsia" w:ascii="黑体" w:hAnsi="黑体" w:eastAsia="黑体" w:cs="黑体"/>
          <w:b w:val="0"/>
          <w:bCs/>
          <w:color w:val="000000" w:themeColor="text1"/>
          <w:kern w:val="2"/>
          <w:sz w:val="32"/>
          <w:szCs w:val="32"/>
          <w:lang w:val="en-US" w:eastAsia="zh-CN"/>
          <w14:textFill>
            <w14:solidFill>
              <w14:schemeClr w14:val="tx1"/>
            </w14:solidFill>
          </w14:textFill>
        </w:rPr>
      </w:pPr>
      <w:bookmarkStart w:id="8" w:name="_Toc12029"/>
      <w:r>
        <w:rPr>
          <w:rFonts w:hint="eastAsia" w:ascii="黑体" w:hAnsi="黑体" w:eastAsia="黑体" w:cs="黑体"/>
          <w:b w:val="0"/>
          <w:bCs/>
          <w:color w:val="000000" w:themeColor="text1"/>
          <w:kern w:val="2"/>
          <w:sz w:val="32"/>
          <w:szCs w:val="32"/>
          <w:lang w:val="en-US" w:eastAsia="zh-CN"/>
          <w14:textFill>
            <w14:solidFill>
              <w14:schemeClr w14:val="tx1"/>
            </w14:solidFill>
          </w14:textFill>
        </w:rPr>
        <w:t>第二章 年度概况</w:t>
      </w:r>
      <w:bookmarkEnd w:id="8"/>
    </w:p>
    <w:p w14:paraId="324429C3">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9" w:name="_Toc4406"/>
      <w:r>
        <w:rPr>
          <w:rFonts w:hint="eastAsia" w:ascii="黑体" w:hAnsi="黑体" w:eastAsia="黑体" w:cs="黑体"/>
          <w:b w:val="0"/>
          <w:bCs/>
          <w:color w:val="000000" w:themeColor="text1"/>
          <w:sz w:val="28"/>
          <w:szCs w:val="28"/>
          <w14:textFill>
            <w14:solidFill>
              <w14:schemeClr w14:val="tx1"/>
            </w14:solidFill>
          </w14:textFill>
        </w:rPr>
        <w:t>2.1 目标愿景</w:t>
      </w:r>
      <w:bookmarkEnd w:id="9"/>
    </w:p>
    <w:p w14:paraId="2A3B6D89">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10" w:name="_Toc26571"/>
      <w:r>
        <w:rPr>
          <w:rFonts w:hint="eastAsia" w:ascii="黑体" w:hAnsi="黑体" w:eastAsia="黑体" w:cs="黑体"/>
          <w:b w:val="0"/>
          <w:bCs/>
          <w:color w:val="000000" w:themeColor="text1"/>
          <w:sz w:val="24"/>
          <w:szCs w:val="24"/>
          <w14:textFill>
            <w14:solidFill>
              <w14:schemeClr w14:val="tx1"/>
            </w14:solidFill>
          </w14:textFill>
        </w:rPr>
        <w:t>2.1.1 环境、绿色金融相关目标设置情况</w:t>
      </w:r>
      <w:bookmarkEnd w:id="10"/>
    </w:p>
    <w:p w14:paraId="53561D04">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本行</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全面贯彻落实国家绿色发展政策，秉持“绿色、创新、可持续”的发展理念，制定绿色信贷发展战略，优化信贷结构，创新绿色信贷产品、业</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务模式和服务方式，积极探索绿色金融创新模式，提高绿色信贷精细化管理水平，加大绿色信贷投放力度，提高绿色金融业务占比，助推绿色低碳高质量发展。</w:t>
      </w:r>
    </w:p>
    <w:p w14:paraId="5684AB59">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bookmarkStart w:id="11" w:name="_Toc15034"/>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（1）支持绿色产业全面发展</w:t>
      </w:r>
      <w:bookmarkEnd w:id="11"/>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：本行结合当地实际，大力支持绿色农业、绿色乡村、节能减排、清洁能源、绿色交通、绿色建筑等领域发展，进一步加大“环保贷”业务推广力度。</w:t>
      </w:r>
    </w:p>
    <w:p w14:paraId="1930AC1D">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bookmarkStart w:id="12" w:name="_Toc4759"/>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（2）助力企业能源结构优化</w:t>
      </w:r>
      <w:bookmarkEnd w:id="12"/>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：本行助力重点行业、传统产业低碳转型，实施节能降碳改造，支持优化能源结构，支持传统制造业提高能源利用率，减少排放量。</w:t>
      </w:r>
    </w:p>
    <w:p w14:paraId="56AAAAE7">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bookmarkStart w:id="13" w:name="_Toc23288"/>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（3）建立健全环境与社会风险管理体系</w:t>
      </w:r>
      <w:bookmarkEnd w:id="13"/>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：本行将企业环保守法情况作为贷款审查审批的条件，坚定落实环保不过关“一票否决制”，加大高耗能、高污染和高风险企业退出力度，确保绿色贷款增速不低于各项贷款增速。</w:t>
      </w:r>
    </w:p>
    <w:p w14:paraId="5D730C06">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14" w:name="_Toc3098"/>
      <w:r>
        <w:rPr>
          <w:rFonts w:hint="eastAsia" w:ascii="黑体" w:hAnsi="黑体" w:eastAsia="黑体" w:cs="黑体"/>
          <w:b w:val="0"/>
          <w:bCs/>
          <w:color w:val="000000" w:themeColor="text1"/>
          <w:sz w:val="24"/>
          <w:szCs w:val="24"/>
          <w14:textFill>
            <w14:solidFill>
              <w14:schemeClr w14:val="tx1"/>
            </w14:solidFill>
          </w14:textFill>
        </w:rPr>
        <w:t>2.1.2 环境、绿色金融相关目标完成情况</w:t>
      </w:r>
      <w:bookmarkEnd w:id="14"/>
    </w:p>
    <w:p w14:paraId="6A6CFD7A">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截至202</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4</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年末，</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高邮农商银行的</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绿色贷款余额</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39166</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 xml:space="preserve">万元，较年初增加 </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9286</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 xml:space="preserve"> 万元，增幅</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31.08</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w:t>
      </w:r>
    </w:p>
    <w:p w14:paraId="0B5BC4EF">
      <w:pPr>
        <w:pStyle w:val="2"/>
        <w:jc w:val="right"/>
        <w:rPr>
          <w:b w:val="0"/>
          <w:bCs/>
        </w:rPr>
      </w:pPr>
      <w:r>
        <w:rPr>
          <w:rFonts w:hint="eastAsia" w:ascii="方正黑体_GBK" w:hAnsi="Times New Roman" w:eastAsia="方正仿宋_GBK" w:cs="宋体"/>
          <w:b w:val="0"/>
          <w:bCs/>
          <w:kern w:val="2"/>
          <w:sz w:val="24"/>
          <w:szCs w:val="22"/>
          <w:lang w:val="en-US" w:eastAsia="zh-CN" w:bidi="ar-SA"/>
        </w:rPr>
        <w:t>绿色金融统计表</w:t>
      </w:r>
      <w:r>
        <w:rPr>
          <w:rFonts w:hint="eastAsia" w:ascii="方正黑体_GBK" w:cs="宋体"/>
          <w:b w:val="0"/>
          <w:bCs/>
          <w:kern w:val="2"/>
          <w:sz w:val="24"/>
          <w:szCs w:val="22"/>
          <w:lang w:val="en-US" w:eastAsia="zh-CN" w:bidi="ar-SA"/>
        </w:rPr>
        <w:t xml:space="preserve">                </w:t>
      </w:r>
      <w:r>
        <w:rPr>
          <w:rFonts w:ascii="仿宋" w:hAnsi="仿宋" w:eastAsia="仿宋" w:cs="仿宋"/>
          <w:b w:val="0"/>
          <w:bCs/>
          <w:color w:val="000000"/>
          <w:kern w:val="0"/>
          <w:sz w:val="20"/>
          <w:szCs w:val="20"/>
          <w:lang w:val="en-US" w:eastAsia="zh-CN" w:bidi="ar"/>
        </w:rPr>
        <w:t>单位：万元</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61"/>
        <w:gridCol w:w="1655"/>
        <w:gridCol w:w="1757"/>
        <w:gridCol w:w="1946"/>
      </w:tblGrid>
      <w:tr w14:paraId="512F3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55" w:type="pct"/>
            <w:vAlign w:val="top"/>
          </w:tcPr>
          <w:p w14:paraId="6D2CED82">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项目</w:t>
            </w:r>
          </w:p>
        </w:tc>
        <w:tc>
          <w:tcPr>
            <w:tcW w:w="971" w:type="pct"/>
            <w:vAlign w:val="top"/>
          </w:tcPr>
          <w:p w14:paraId="687FE4E8">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2022.12.31</w:t>
            </w:r>
          </w:p>
        </w:tc>
        <w:tc>
          <w:tcPr>
            <w:tcW w:w="1031" w:type="pct"/>
            <w:vAlign w:val="top"/>
          </w:tcPr>
          <w:p w14:paraId="61F3653F">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2023.12.31</w:t>
            </w:r>
          </w:p>
        </w:tc>
        <w:tc>
          <w:tcPr>
            <w:tcW w:w="1142" w:type="pct"/>
            <w:vAlign w:val="top"/>
          </w:tcPr>
          <w:p w14:paraId="4E3D40B2">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2024.12.31</w:t>
            </w:r>
          </w:p>
        </w:tc>
      </w:tr>
      <w:tr w14:paraId="06753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55" w:type="pct"/>
            <w:vAlign w:val="top"/>
          </w:tcPr>
          <w:p w14:paraId="6A75E5DF">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绿色贷款余额</w:t>
            </w:r>
          </w:p>
        </w:tc>
        <w:tc>
          <w:tcPr>
            <w:tcW w:w="971" w:type="pct"/>
            <w:vAlign w:val="top"/>
          </w:tcPr>
          <w:p w14:paraId="1D6159AF">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15640</w:t>
            </w:r>
          </w:p>
        </w:tc>
        <w:tc>
          <w:tcPr>
            <w:tcW w:w="1031" w:type="pct"/>
            <w:vAlign w:val="top"/>
          </w:tcPr>
          <w:p w14:paraId="5A7FC107">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29880</w:t>
            </w:r>
          </w:p>
        </w:tc>
        <w:tc>
          <w:tcPr>
            <w:tcW w:w="1142" w:type="pct"/>
            <w:vAlign w:val="top"/>
          </w:tcPr>
          <w:p w14:paraId="65F57A00">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default"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39166</w:t>
            </w:r>
          </w:p>
        </w:tc>
      </w:tr>
      <w:tr w14:paraId="4ACF8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55" w:type="pct"/>
            <w:vAlign w:val="top"/>
          </w:tcPr>
          <w:p w14:paraId="7A318E86">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境内本外币贷款余额</w:t>
            </w:r>
          </w:p>
        </w:tc>
        <w:tc>
          <w:tcPr>
            <w:tcW w:w="971" w:type="pct"/>
            <w:vAlign w:val="top"/>
          </w:tcPr>
          <w:p w14:paraId="70A7037F">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1914496.53</w:t>
            </w:r>
          </w:p>
        </w:tc>
        <w:tc>
          <w:tcPr>
            <w:tcW w:w="1031" w:type="pct"/>
            <w:vAlign w:val="top"/>
          </w:tcPr>
          <w:p w14:paraId="25CEC72F">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2110213.1</w:t>
            </w:r>
          </w:p>
        </w:tc>
        <w:tc>
          <w:tcPr>
            <w:tcW w:w="1142" w:type="pct"/>
            <w:vAlign w:val="top"/>
          </w:tcPr>
          <w:p w14:paraId="753B14F3">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default"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2296310</w:t>
            </w:r>
          </w:p>
        </w:tc>
      </w:tr>
      <w:tr w14:paraId="51AEE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55" w:type="pct"/>
            <w:vAlign w:val="top"/>
          </w:tcPr>
          <w:p w14:paraId="3860EA3D">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绿色债券持有量</w:t>
            </w:r>
          </w:p>
        </w:tc>
        <w:tc>
          <w:tcPr>
            <w:tcW w:w="971" w:type="pct"/>
            <w:vAlign w:val="top"/>
          </w:tcPr>
          <w:p w14:paraId="3215BBA1">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0</w:t>
            </w:r>
          </w:p>
        </w:tc>
        <w:tc>
          <w:tcPr>
            <w:tcW w:w="1031" w:type="pct"/>
            <w:vAlign w:val="top"/>
          </w:tcPr>
          <w:p w14:paraId="7F0362E1">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0</w:t>
            </w:r>
          </w:p>
        </w:tc>
        <w:tc>
          <w:tcPr>
            <w:tcW w:w="1142" w:type="pct"/>
            <w:vAlign w:val="top"/>
          </w:tcPr>
          <w:p w14:paraId="49070951">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default"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0</w:t>
            </w:r>
          </w:p>
        </w:tc>
      </w:tr>
      <w:tr w14:paraId="5292E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55" w:type="pct"/>
            <w:vAlign w:val="top"/>
          </w:tcPr>
          <w:p w14:paraId="2FEE69FD">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持有的债券余额</w:t>
            </w:r>
          </w:p>
        </w:tc>
        <w:tc>
          <w:tcPr>
            <w:tcW w:w="971" w:type="pct"/>
            <w:vAlign w:val="top"/>
          </w:tcPr>
          <w:p w14:paraId="04B99B1C">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0</w:t>
            </w:r>
          </w:p>
        </w:tc>
        <w:tc>
          <w:tcPr>
            <w:tcW w:w="1031" w:type="pct"/>
            <w:vAlign w:val="top"/>
          </w:tcPr>
          <w:p w14:paraId="20E5A4FA">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0</w:t>
            </w:r>
          </w:p>
        </w:tc>
        <w:tc>
          <w:tcPr>
            <w:tcW w:w="1142" w:type="pct"/>
            <w:vAlign w:val="top"/>
          </w:tcPr>
          <w:p w14:paraId="760CF293">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default"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0</w:t>
            </w:r>
          </w:p>
        </w:tc>
      </w:tr>
      <w:tr w14:paraId="44E54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55" w:type="pct"/>
            <w:vAlign w:val="top"/>
          </w:tcPr>
          <w:p w14:paraId="3CE51D71">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不良绿色贷款余额</w:t>
            </w:r>
          </w:p>
        </w:tc>
        <w:tc>
          <w:tcPr>
            <w:tcW w:w="971" w:type="pct"/>
            <w:vAlign w:val="top"/>
          </w:tcPr>
          <w:p w14:paraId="65ECD52A">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0</w:t>
            </w:r>
          </w:p>
        </w:tc>
        <w:tc>
          <w:tcPr>
            <w:tcW w:w="1031" w:type="pct"/>
            <w:vAlign w:val="top"/>
          </w:tcPr>
          <w:p w14:paraId="79A5B82A">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0</w:t>
            </w:r>
          </w:p>
        </w:tc>
        <w:tc>
          <w:tcPr>
            <w:tcW w:w="1142" w:type="pct"/>
            <w:vAlign w:val="top"/>
          </w:tcPr>
          <w:p w14:paraId="495365F6">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default"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0</w:t>
            </w:r>
          </w:p>
        </w:tc>
      </w:tr>
      <w:tr w14:paraId="65A81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55" w:type="pct"/>
            <w:vAlign w:val="top"/>
          </w:tcPr>
          <w:p w14:paraId="2109E346">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超期未兑付的绿色债券余额（包括持有的绿色债券）</w:t>
            </w:r>
          </w:p>
        </w:tc>
        <w:tc>
          <w:tcPr>
            <w:tcW w:w="971" w:type="pct"/>
            <w:vAlign w:val="top"/>
          </w:tcPr>
          <w:p w14:paraId="397935FE">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0</w:t>
            </w:r>
          </w:p>
        </w:tc>
        <w:tc>
          <w:tcPr>
            <w:tcW w:w="1031" w:type="pct"/>
            <w:vAlign w:val="top"/>
          </w:tcPr>
          <w:p w14:paraId="195BA7B1">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0</w:t>
            </w:r>
          </w:p>
        </w:tc>
        <w:tc>
          <w:tcPr>
            <w:tcW w:w="1142" w:type="pct"/>
            <w:vAlign w:val="top"/>
          </w:tcPr>
          <w:p w14:paraId="5551B0A9">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hint="default"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0</w:t>
            </w:r>
          </w:p>
        </w:tc>
      </w:tr>
    </w:tbl>
    <w:p w14:paraId="232ABCEB">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b w:val="0"/>
          <w:bCs/>
        </w:rPr>
      </w:pPr>
    </w:p>
    <w:p w14:paraId="5D8B3686">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15" w:name="_Toc11091"/>
      <w:r>
        <w:rPr>
          <w:rFonts w:hint="eastAsia" w:ascii="黑体" w:hAnsi="黑体" w:eastAsia="黑体" w:cs="黑体"/>
          <w:b w:val="0"/>
          <w:bCs/>
          <w:color w:val="000000" w:themeColor="text1"/>
          <w:sz w:val="28"/>
          <w:szCs w:val="28"/>
          <w14:textFill>
            <w14:solidFill>
              <w14:schemeClr w14:val="tx1"/>
            </w14:solidFill>
          </w14:textFill>
        </w:rPr>
        <w:t>2.2 战略规划</w:t>
      </w:r>
      <w:bookmarkEnd w:id="15"/>
    </w:p>
    <w:p w14:paraId="1221A17E">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16" w:name="_Toc377"/>
      <w:r>
        <w:rPr>
          <w:rFonts w:hint="eastAsia" w:ascii="黑体" w:hAnsi="黑体" w:eastAsia="黑体" w:cs="黑体"/>
          <w:b w:val="0"/>
          <w:bCs/>
          <w:color w:val="000000" w:themeColor="text1"/>
          <w:sz w:val="24"/>
          <w:szCs w:val="24"/>
          <w:lang w:val="en-US" w:eastAsia="zh-CN"/>
          <w14:textFill>
            <w14:solidFill>
              <w14:schemeClr w14:val="tx1"/>
            </w14:solidFill>
          </w14:textFill>
        </w:rPr>
        <w:t>2.2.1 支持绿色产业，发展绿色信贷</w:t>
      </w:r>
      <w:bookmarkEnd w:id="16"/>
      <w:r>
        <w:rPr>
          <w:rFonts w:hint="eastAsia" w:ascii="黑体" w:hAnsi="黑体" w:eastAsia="黑体" w:cs="黑体"/>
          <w:b w:val="0"/>
          <w:bCs/>
          <w:color w:val="000000" w:themeColor="text1"/>
          <w:sz w:val="24"/>
          <w:szCs w:val="24"/>
          <w:lang w:val="en-US" w:eastAsia="zh-CN"/>
          <w14:textFill>
            <w14:solidFill>
              <w14:schemeClr w14:val="tx1"/>
            </w14:solidFill>
          </w14:textFill>
        </w:rPr>
        <w:t xml:space="preserve"> </w:t>
      </w:r>
    </w:p>
    <w:p w14:paraId="2BB613BB">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紧紧围绕“碳达峰、碳中和”目标要求，进一步优化信贷资产配置，积极开发与绿色信贷有关的金融产品，不断完善绿色信贷管理各项机制。</w:t>
      </w:r>
    </w:p>
    <w:p w14:paraId="373641D2">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一是建立健全绿色信贷管理长效机制，引导行业信贷增长向绿色环保等项目倾斜，大力支持绿色农业、绿色乡村、节能减排、清洁能源等领域发展。二是根据绿色行业、产业、市场的需求，“碳权贷”、“环保贷”、“秸秆产业贷”、“生态系统碳汇预期收益权质押”贷款等贷款品种为基础，不断创新绿色金融产品，扩大产权质押物范围，积极探索以排污权、碳排放权等环境权益抵质押融资。三是严格执行国家绿色环保产业发展政策，择优支持扬州市绿色金融平台名录中的企业；截至2024年末，绿色贷款余额39166万元，较年初增加9286万元，不良绿色贷款余额0元。</w:t>
      </w:r>
    </w:p>
    <w:p w14:paraId="3A757A1C">
      <w:pPr>
        <w:widowControl/>
        <w:kinsoku w:val="0"/>
        <w:autoSpaceDE w:val="0"/>
        <w:autoSpaceDN w:val="0"/>
        <w:adjustRightInd w:val="0"/>
        <w:snapToGrid w:val="0"/>
        <w:spacing w:before="217" w:beforeLines="50" w:line="240" w:lineRule="auto"/>
        <w:ind w:firstLine="480" w:firstLineChars="200"/>
        <w:textAlignment w:val="baseline"/>
        <w:outlineLvl w:val="1"/>
        <w:rPr>
          <w:rFonts w:hint="default" w:ascii="黑体" w:hAnsi="黑体" w:eastAsia="黑体" w:cs="黑体"/>
          <w:b w:val="0"/>
          <w:bCs/>
          <w:color w:val="000000" w:themeColor="text1"/>
          <w:sz w:val="24"/>
          <w:szCs w:val="24"/>
          <w:lang w:val="en-US" w:eastAsia="zh-CN"/>
          <w14:textFill>
            <w14:solidFill>
              <w14:schemeClr w14:val="tx1"/>
            </w14:solidFill>
          </w14:textFill>
        </w:rPr>
      </w:pPr>
      <w:bookmarkStart w:id="17" w:name="_Toc16512"/>
      <w:r>
        <w:rPr>
          <w:rFonts w:hint="eastAsia" w:ascii="黑体" w:hAnsi="黑体" w:eastAsia="黑体" w:cs="黑体"/>
          <w:b w:val="0"/>
          <w:bCs/>
          <w:color w:val="000000" w:themeColor="text1"/>
          <w:sz w:val="24"/>
          <w:szCs w:val="24"/>
          <w:lang w:val="en-US" w:eastAsia="zh-CN"/>
          <w14:textFill>
            <w14:solidFill>
              <w14:schemeClr w14:val="tx1"/>
            </w14:solidFill>
          </w14:textFill>
        </w:rPr>
        <w:t xml:space="preserve">2.2.2 </w:t>
      </w:r>
      <w:r>
        <w:rPr>
          <w:rFonts w:hint="eastAsia" w:ascii="黑体" w:hAnsi="黑体" w:eastAsia="黑体" w:cs="黑体"/>
          <w:b w:val="0"/>
          <w:bCs/>
          <w:color w:val="000000" w:themeColor="text1"/>
          <w:sz w:val="24"/>
          <w:szCs w:val="24"/>
          <w14:textFill>
            <w14:solidFill>
              <w14:schemeClr w14:val="tx1"/>
            </w14:solidFill>
          </w14:textFill>
        </w:rPr>
        <w:t>调整授信政策，</w:t>
      </w:r>
      <w:r>
        <w:rPr>
          <w:rFonts w:hint="eastAsia" w:ascii="黑体" w:hAnsi="黑体" w:eastAsia="黑体" w:cs="黑体"/>
          <w:b w:val="0"/>
          <w:bCs/>
          <w:color w:val="000000" w:themeColor="text1"/>
          <w:sz w:val="24"/>
          <w:szCs w:val="24"/>
          <w:lang w:val="en-US" w:eastAsia="zh-CN"/>
          <w14:textFill>
            <w14:solidFill>
              <w14:schemeClr w14:val="tx1"/>
            </w14:solidFill>
          </w14:textFill>
        </w:rPr>
        <w:t>防范相关风险</w:t>
      </w:r>
      <w:bookmarkEnd w:id="17"/>
    </w:p>
    <w:p w14:paraId="6DC58B5E">
      <w:pPr>
        <w:widowControl/>
        <w:kinsoku w:val="0"/>
        <w:autoSpaceDE w:val="0"/>
        <w:autoSpaceDN w:val="0"/>
        <w:adjustRightInd w:val="0"/>
        <w:snapToGrid w:val="0"/>
        <w:spacing w:before="217" w:beforeLines="50" w:line="240" w:lineRule="auto"/>
        <w:ind w:firstLine="480"/>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按照国家产业转型升级的方向和要求，坚持“有保有压、有进有退”原则，</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将企业环保守法情况作为贷款审查审批的条件，坚定落实环保不过关“一票否决制”，</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加大对与国家产业政策和发展导向相悖的行业、产业的调整退出力度，全面调优信贷资产结构。坚决压缩“两高一剩”行业贷款，对涉及政府“限制类、淘汰类”行业的客户，“去产能企业”和“僵尸企业”名单，以及“环境、安全等重大风险企业”名单客户逐步压降退出；</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加大高耗能、高污染和高风险企业退出力度。</w:t>
      </w:r>
    </w:p>
    <w:p w14:paraId="178CDD7C">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18" w:name="_Toc26675"/>
      <w:r>
        <w:rPr>
          <w:rFonts w:hint="eastAsia" w:ascii="黑体" w:hAnsi="黑体" w:eastAsia="黑体" w:cs="黑体"/>
          <w:b w:val="0"/>
          <w:bCs/>
          <w:color w:val="000000" w:themeColor="text1"/>
          <w:sz w:val="24"/>
          <w:szCs w:val="24"/>
          <w:lang w:val="en-US" w:eastAsia="zh-CN"/>
          <w14:textFill>
            <w14:solidFill>
              <w14:schemeClr w14:val="tx1"/>
            </w14:solidFill>
          </w14:textFill>
        </w:rPr>
        <w:t>2.2.3 提倡节能环保，践行低碳运营</w:t>
      </w:r>
      <w:bookmarkEnd w:id="18"/>
      <w:r>
        <w:rPr>
          <w:rFonts w:hint="eastAsia" w:ascii="黑体" w:hAnsi="黑体" w:eastAsia="黑体" w:cs="黑体"/>
          <w:b w:val="0"/>
          <w:bCs/>
          <w:color w:val="000000" w:themeColor="text1"/>
          <w:sz w:val="24"/>
          <w:szCs w:val="24"/>
          <w:lang w:val="en-US" w:eastAsia="zh-CN"/>
          <w14:textFill>
            <w14:solidFill>
              <w14:schemeClr w14:val="tx1"/>
            </w14:solidFill>
          </w14:textFill>
        </w:rPr>
        <w:t xml:space="preserve"> </w:t>
      </w:r>
    </w:p>
    <w:p w14:paraId="6C3A6D15">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本行通过推进各类业务线上化、办公运营无纸化，强化能耗控制举措，实现绿色低碳办公模式。一是优化协同办公系统功能、推广视频会议场次、倡导纸张正反面打印使用。二是不断丰富手机银行、微信银行业务场景，为客户提供高效的线上业务金融服务。三是加强办公大楼水电关闭情况的巡查，降低不必要能耗；每日班后检查办公设备、空调等关闭情况，防止资源浪费</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w:t>
      </w:r>
    </w:p>
    <w:p w14:paraId="613472BC">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b w:val="0"/>
          <w:bCs/>
        </w:rPr>
      </w:pPr>
    </w:p>
    <w:p w14:paraId="6DBC7CA2">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19" w:name="_Toc1846"/>
      <w:r>
        <w:rPr>
          <w:rFonts w:hint="eastAsia" w:ascii="黑体" w:hAnsi="黑体" w:eastAsia="黑体" w:cs="黑体"/>
          <w:b w:val="0"/>
          <w:bCs/>
          <w:color w:val="000000" w:themeColor="text1"/>
          <w:sz w:val="28"/>
          <w:szCs w:val="28"/>
          <w14:textFill>
            <w14:solidFill>
              <w14:schemeClr w14:val="tx1"/>
            </w14:solidFill>
          </w14:textFill>
        </w:rPr>
        <w:t>2.3 政策内容</w:t>
      </w:r>
      <w:bookmarkEnd w:id="19"/>
    </w:p>
    <w:p w14:paraId="43008F86">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20" w:name="_Toc23173"/>
      <w:r>
        <w:rPr>
          <w:rFonts w:hint="eastAsia" w:ascii="黑体" w:hAnsi="黑体" w:eastAsia="黑体" w:cs="黑体"/>
          <w:b w:val="0"/>
          <w:bCs/>
          <w:color w:val="000000" w:themeColor="text1"/>
          <w:sz w:val="24"/>
          <w:szCs w:val="24"/>
          <w14:textFill>
            <w14:solidFill>
              <w14:schemeClr w14:val="tx1"/>
            </w14:solidFill>
          </w14:textFill>
        </w:rPr>
        <w:t>2.3.1 政策制度</w:t>
      </w:r>
      <w:bookmarkEnd w:id="20"/>
    </w:p>
    <w:p w14:paraId="5BBBADEF">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auto"/>
          <w:spacing w:val="6"/>
          <w:kern w:val="0"/>
          <w:sz w:val="24"/>
          <w:szCs w:val="24"/>
          <w:lang w:eastAsia="zh-CN"/>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依据国家产业政策，确定相应的授信原则。对国家产业政策列入鼓励类项目在风险可控的前提下，各支行（网点）要积极给予授信支持；大力支持绿色农业、绿色乡村、节能减排、清洁能源、绿色交通、等领域发展，进一步加大“环保贷”</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“秸秆产业贷”等</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业务推广力度。助力重点行业、传统产业低碳转型，实施节能降碳改造，支持优化能源结构，支持传统制造业提高能源利用率，减少排放量。</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把</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企业环保守法情况作为贷款审查审批的条件，</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如环评等要求，</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对属于限制类的现有生产能力，且国家允许企业在一定期限内采取措施升级的，需谨慎介入，严格管理</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坚定落实环保不过关“一票</w:t>
      </w:r>
      <w:r>
        <w:rPr>
          <w:rFonts w:hint="eastAsia" w:ascii="仿宋" w:hAnsi="仿宋" w:eastAsia="仿宋" w:cs="仿宋"/>
          <w:b w:val="0"/>
          <w:bCs/>
          <w:snapToGrid w:val="0"/>
          <w:color w:val="auto"/>
          <w:spacing w:val="6"/>
          <w:kern w:val="0"/>
          <w:sz w:val="24"/>
          <w:szCs w:val="24"/>
        </w:rPr>
        <w:t>否决制”，加大高耗能、高污染和高风险企业退出力度</w:t>
      </w:r>
      <w:r>
        <w:rPr>
          <w:rFonts w:hint="eastAsia" w:ascii="仿宋" w:hAnsi="仿宋" w:eastAsia="仿宋" w:cs="仿宋"/>
          <w:b w:val="0"/>
          <w:bCs/>
          <w:snapToGrid w:val="0"/>
          <w:color w:val="auto"/>
          <w:spacing w:val="6"/>
          <w:kern w:val="0"/>
          <w:sz w:val="24"/>
          <w:szCs w:val="24"/>
          <w:lang w:eastAsia="zh-CN"/>
        </w:rPr>
        <w:t>。</w:t>
      </w:r>
    </w:p>
    <w:p w14:paraId="0E58437A">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auto"/>
          <w:sz w:val="24"/>
          <w:szCs w:val="24"/>
        </w:rPr>
      </w:pPr>
      <w:bookmarkStart w:id="21" w:name="_Toc14205"/>
      <w:r>
        <w:rPr>
          <w:rFonts w:hint="eastAsia" w:ascii="黑体" w:hAnsi="黑体" w:eastAsia="黑体" w:cs="黑体"/>
          <w:b w:val="0"/>
          <w:bCs/>
          <w:color w:val="auto"/>
          <w:sz w:val="24"/>
          <w:szCs w:val="24"/>
        </w:rPr>
        <w:t>2.3.2 产品和服务</w:t>
      </w:r>
      <w:bookmarkEnd w:id="21"/>
    </w:p>
    <w:p w14:paraId="57F063CA">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1）环保贷。该产品主要用于支持“环保贷”项目库内符合环保贷支持范围的企业发放的，用于支持开展污染防治、生态保护修复、生态环境基础设施建设及环保产业发展等项目的贷款业务。</w:t>
      </w:r>
    </w:p>
    <w:p w14:paraId="77ABE217">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2）“生态系统碳汇预期收益权质押”贷款</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向</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符合条件的市场主体（以下简称借款人）在遵守国家有关法律、法规和信贷政策前提下，以其所有、经营形成或有权处分的生态系统碳汇预期收益权作质押向本行申请贷款的行为。可用于碳汇预期收益权质押贷款业务的生态系统碳汇范围包括林业碳汇、草地碳汇、土壤碳汇、海洋碳汇、生物碳汇等具备国际国内规范碳汇方法学支撑的碳汇类型。碳汇预期收益权质押贷款业务项下品种包括但不限于流动资金贷款、固定资产贷款等。</w:t>
      </w:r>
    </w:p>
    <w:p w14:paraId="47F95280">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（3</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）“排污权抵押”贷款</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是指以</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企业有偿取得的排污权为抵押物，在遵守国家有关法律、法规和信贷政策前提下，</w:t>
      </w:r>
      <w:r>
        <w:rPr>
          <w:rFonts w:hint="eastAsia" w:ascii="仿宋" w:hAnsi="仿宋" w:eastAsia="仿宋" w:cs="仿宋"/>
          <w:b w:val="0"/>
          <w:bCs/>
          <w:snapToGrid w:val="0"/>
          <w:color w:val="auto"/>
          <w:spacing w:val="6"/>
          <w:kern w:val="0"/>
          <w:sz w:val="24"/>
          <w:szCs w:val="24"/>
        </w:rPr>
        <w:t>向本行申请获得贷款的融资活动。用于抵押贷款的排污权指标数量不得超过排污许可证登载的排污权指标数量</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w:t>
      </w:r>
    </w:p>
    <w:p w14:paraId="77682FC2">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b w:val="0"/>
          <w:bCs/>
        </w:rPr>
      </w:pPr>
    </w:p>
    <w:p w14:paraId="3C153366">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22" w:name="_Toc9242"/>
      <w:r>
        <w:rPr>
          <w:rFonts w:hint="eastAsia" w:ascii="黑体" w:hAnsi="黑体" w:eastAsia="黑体" w:cs="黑体"/>
          <w:b w:val="0"/>
          <w:bCs/>
          <w:color w:val="000000" w:themeColor="text1"/>
          <w:sz w:val="28"/>
          <w:szCs w:val="28"/>
          <w14:textFill>
            <w14:solidFill>
              <w14:schemeClr w14:val="tx1"/>
            </w14:solidFill>
          </w14:textFill>
        </w:rPr>
        <w:t>2.4 行动措施</w:t>
      </w:r>
      <w:bookmarkEnd w:id="22"/>
    </w:p>
    <w:p w14:paraId="1CC2E409">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各支行（网点）和总行相关业务管理部门及时跟踪国家确定的节能重点工程、再生能源项目、新能源、新材料、新能源汽车、城市污水处理、燃煤电厂脱硫及脱硝、循环经济试点、重点流域水污染防治、节能减排技术研发和产业化示范及推广、环保产业等重点项目，综合考虑信贷风险评估、成本补偿机制和政府扶持政策等因素，在符合本行信贷原则、具有还款能力的前提下，有重点地给予信贷支持。</w:t>
      </w:r>
    </w:p>
    <w:p w14:paraId="15819AB3">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对得到国家和地方财税等政策性支持的企业和项目及节能减排效果显著并得到国家主管部门表彰、推荐、鼓励的企业和项目，在同等条件下，各支行（网点）优先给予授信支持。</w:t>
      </w:r>
    </w:p>
    <w:p w14:paraId="5C2E871E">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各支行（网点）要密切关注授信企业节能减排目标的完成情况和环保合规情况，同时要加强与环保部门的沟通，对其公布和认定的耗能、污染问题突出且整改不力的授信企业，不得增加新的授信，原有授信采取合理有效措施，及时调整、主动压缩和收回。</w:t>
      </w:r>
    </w:p>
    <w:p w14:paraId="24048C9B">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加强重点行业落后生产能力的管理，总行信贷管理部、风险管理部分别负责重点行业授信业务的准入审查与风险提示，各支行（网点）对国家和省级发展改革委员会或其他有关部门已列入落后生产能力名单的企业和项目贷款，采取合理有效措施，及时调整、主动压缩和收回与落后产能有关的授信。</w:t>
      </w:r>
    </w:p>
    <w:p w14:paraId="4457D61F">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b w:val="0"/>
          <w:bCs/>
        </w:rPr>
      </w:pPr>
    </w:p>
    <w:p w14:paraId="195F61DE">
      <w:pPr>
        <w:widowControl/>
        <w:kinsoku w:val="0"/>
        <w:autoSpaceDE w:val="0"/>
        <w:autoSpaceDN w:val="0"/>
        <w:adjustRightInd w:val="0"/>
        <w:snapToGrid w:val="0"/>
        <w:spacing w:before="217" w:beforeLines="50" w:line="240" w:lineRule="auto"/>
        <w:ind w:firstLine="0" w:firstLineChars="0"/>
        <w:textAlignment w:val="baseline"/>
        <w:outlineLvl w:val="0"/>
        <w:rPr>
          <w:rFonts w:hint="default" w:ascii="黑体" w:hAnsi="黑体" w:eastAsia="黑体" w:cs="黑体"/>
          <w:b w:val="0"/>
          <w:bCs/>
          <w:color w:val="000000" w:themeColor="text1"/>
          <w:sz w:val="28"/>
          <w:szCs w:val="28"/>
          <w:lang w:val="en-US" w:eastAsia="zh-CN"/>
          <w14:textFill>
            <w14:solidFill>
              <w14:schemeClr w14:val="tx1"/>
            </w14:solidFill>
          </w14:textFill>
        </w:rPr>
      </w:pPr>
      <w:bookmarkStart w:id="23" w:name="_Toc31530"/>
      <w:r>
        <w:rPr>
          <w:rFonts w:hint="eastAsia" w:ascii="黑体" w:hAnsi="黑体" w:eastAsia="黑体" w:cs="黑体"/>
          <w:b w:val="0"/>
          <w:bCs/>
          <w:color w:val="000000" w:themeColor="text1"/>
          <w:sz w:val="28"/>
          <w:szCs w:val="28"/>
          <w14:textFill>
            <w14:solidFill>
              <w14:schemeClr w14:val="tx1"/>
            </w14:solidFill>
          </w14:textFill>
        </w:rPr>
        <w:t>2.5 主要成效</w:t>
      </w:r>
      <w:bookmarkEnd w:id="23"/>
    </w:p>
    <w:p w14:paraId="30D79671">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总行公司金融部、</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普惠</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金融部要充分利用国家实施节能减排战略带来的业务发展机遇，加强金融创新，积极开发与绿色信贷有关的创新金融产品。</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截至 2024年末，绿色贷款余额 39166万元，较年初增加9286万元。</w:t>
      </w:r>
    </w:p>
    <w:p w14:paraId="77ED74BE">
      <w:pPr>
        <w:keepNext w:val="0"/>
        <w:keepLines w:val="0"/>
        <w:pageBreakBefore w:val="0"/>
        <w:widowControl/>
        <w:kinsoku w:val="0"/>
        <w:wordWrap/>
        <w:overflowPunct/>
        <w:topLinePunct w:val="0"/>
        <w:autoSpaceDE w:val="0"/>
        <w:autoSpaceDN w:val="0"/>
        <w:bidi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p>
    <w:p w14:paraId="4F7C5179">
      <w:pPr>
        <w:keepNext w:val="0"/>
        <w:keepLines w:val="0"/>
        <w:pageBreakBefore w:val="0"/>
        <w:widowControl/>
        <w:kinsoku w:val="0"/>
        <w:wordWrap/>
        <w:overflowPunct/>
        <w:topLinePunct w:val="0"/>
        <w:autoSpaceDE w:val="0"/>
        <w:autoSpaceDN w:val="0"/>
        <w:bidi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p>
    <w:p w14:paraId="4F18BF6C">
      <w:pPr>
        <w:keepNext w:val="0"/>
        <w:keepLines w:val="0"/>
        <w:pageBreakBefore w:val="0"/>
        <w:widowControl/>
        <w:kinsoku w:val="0"/>
        <w:wordWrap/>
        <w:overflowPunct/>
        <w:topLinePunct w:val="0"/>
        <w:autoSpaceDE w:val="0"/>
        <w:autoSpaceDN w:val="0"/>
        <w:bidi w:val="0"/>
        <w:adjustRightInd w:val="0"/>
        <w:snapToGrid w:val="0"/>
        <w:spacing w:before="217" w:beforeLines="50" w:line="240" w:lineRule="auto"/>
        <w:ind w:firstLine="504"/>
        <w:textAlignment w:val="baseline"/>
        <w:rPr>
          <w:rFonts w:hint="default"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p>
    <w:p w14:paraId="3C65DD72">
      <w:pPr>
        <w:keepNext w:val="0"/>
        <w:keepLines w:val="0"/>
        <w:pageBreakBefore w:val="0"/>
        <w:widowControl/>
        <w:kinsoku w:val="0"/>
        <w:wordWrap/>
        <w:overflowPunct/>
        <w:topLinePunct w:val="0"/>
        <w:autoSpaceDE w:val="0"/>
        <w:autoSpaceDN w:val="0"/>
        <w:bidi w:val="0"/>
        <w:adjustRightInd w:val="0"/>
        <w:snapToGrid w:val="0"/>
        <w:spacing w:before="217" w:beforeLines="50" w:line="240" w:lineRule="auto"/>
        <w:ind w:firstLine="504"/>
        <w:textAlignment w:val="baseline"/>
        <w:rPr>
          <w:rFonts w:hint="default"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p>
    <w:p w14:paraId="4DC0A3E7">
      <w:pPr>
        <w:pStyle w:val="2"/>
        <w:rPr>
          <w:b w:val="0"/>
          <w:bCs/>
        </w:rPr>
      </w:pPr>
    </w:p>
    <w:p w14:paraId="5EE51EDC">
      <w:pPr>
        <w:ind w:firstLine="504"/>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br w:type="page"/>
      </w:r>
    </w:p>
    <w:p w14:paraId="474DCF5F">
      <w:pPr>
        <w:pStyle w:val="19"/>
        <w:keepNext w:val="0"/>
        <w:keepLines w:val="0"/>
        <w:pageBreakBefore w:val="0"/>
        <w:widowControl/>
        <w:numPr>
          <w:ilvl w:val="0"/>
          <w:numId w:val="0"/>
        </w:numPr>
        <w:tabs>
          <w:tab w:val="right" w:leader="dot" w:pos="9897"/>
        </w:tabs>
        <w:kinsoku/>
        <w:wordWrap/>
        <w:overflowPunct/>
        <w:topLinePunct w:val="0"/>
        <w:autoSpaceDE/>
        <w:autoSpaceDN/>
        <w:bidi w:val="0"/>
        <w:adjustRightInd w:val="0"/>
        <w:snapToGrid w:val="0"/>
        <w:spacing w:before="437" w:beforeLines="100" w:after="20" w:line="360" w:lineRule="auto"/>
        <w:ind w:left="0" w:leftChars="0" w:firstLine="0" w:firstLineChars="0"/>
        <w:jc w:val="center"/>
        <w:textAlignment w:val="auto"/>
        <w:outlineLvl w:val="0"/>
        <w:rPr>
          <w:rFonts w:hint="eastAsia" w:ascii="黑体" w:hAnsi="黑体" w:eastAsia="黑体" w:cs="黑体"/>
          <w:b w:val="0"/>
          <w:bCs/>
          <w:color w:val="000000" w:themeColor="text1"/>
          <w:kern w:val="2"/>
          <w:sz w:val="32"/>
          <w:szCs w:val="32"/>
          <w:lang w:val="en-US" w:eastAsia="zh-CN"/>
          <w14:textFill>
            <w14:solidFill>
              <w14:schemeClr w14:val="tx1"/>
            </w14:solidFill>
          </w14:textFill>
        </w:rPr>
      </w:pPr>
      <w:bookmarkStart w:id="24" w:name="_Toc26869"/>
      <w:r>
        <w:rPr>
          <w:rFonts w:hint="eastAsia" w:ascii="黑体" w:hAnsi="黑体" w:eastAsia="黑体" w:cs="黑体"/>
          <w:b w:val="0"/>
          <w:bCs/>
          <w:color w:val="000000" w:themeColor="text1"/>
          <w:kern w:val="2"/>
          <w:sz w:val="32"/>
          <w:szCs w:val="32"/>
          <w:lang w:val="en-US" w:eastAsia="zh-CN"/>
          <w14:textFill>
            <w14:solidFill>
              <w14:schemeClr w14:val="tx1"/>
            </w14:solidFill>
          </w14:textFill>
        </w:rPr>
        <w:t>第三章 治理结构</w:t>
      </w:r>
      <w:bookmarkEnd w:id="24"/>
    </w:p>
    <w:p w14:paraId="55BD0E42">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25" w:name="_Toc10639"/>
      <w:r>
        <w:rPr>
          <w:rFonts w:hint="eastAsia" w:ascii="黑体" w:hAnsi="黑体" w:eastAsia="黑体" w:cs="黑体"/>
          <w:b w:val="0"/>
          <w:bCs/>
          <w:color w:val="000000" w:themeColor="text1"/>
          <w:sz w:val="28"/>
          <w:szCs w:val="28"/>
          <w14:textFill>
            <w14:solidFill>
              <w14:schemeClr w14:val="tx1"/>
            </w14:solidFill>
          </w14:textFill>
        </w:rPr>
        <w:t>3.1 董事会层</w:t>
      </w:r>
      <w:bookmarkEnd w:id="25"/>
    </w:p>
    <w:p w14:paraId="1ED2076A">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26" w:name="_Toc24829"/>
      <w:bookmarkStart w:id="27" w:name="_Toc15992"/>
      <w:r>
        <w:rPr>
          <w:rFonts w:hint="eastAsia" w:ascii="黑体" w:hAnsi="黑体" w:eastAsia="黑体" w:cs="黑体"/>
          <w:b w:val="0"/>
          <w:bCs/>
          <w:color w:val="000000" w:themeColor="text1"/>
          <w:sz w:val="24"/>
          <w:szCs w:val="24"/>
          <w:lang w:val="en-US" w:eastAsia="zh-CN"/>
          <w14:textFill>
            <w14:solidFill>
              <w14:schemeClr w14:val="tx1"/>
            </w14:solidFill>
          </w14:textFill>
        </w:rPr>
        <w:t>3.1.1 环境、绿色金融委员会</w:t>
      </w:r>
      <w:bookmarkEnd w:id="26"/>
    </w:p>
    <w:p w14:paraId="2FE32352">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董事会负责确定绿色信贷发展战略，审批高级管理层制定的绿色信贷目标和提交的绿色信贷报告，监督、评估本行绿色信贷发展战略执行情况。</w:t>
      </w:r>
    </w:p>
    <w:p w14:paraId="203A2F81">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28" w:name="_Toc18800"/>
      <w:r>
        <w:rPr>
          <w:rFonts w:hint="eastAsia" w:ascii="黑体" w:hAnsi="黑体" w:eastAsia="黑体" w:cs="黑体"/>
          <w:b w:val="0"/>
          <w:bCs/>
          <w:color w:val="000000" w:themeColor="text1"/>
          <w:sz w:val="24"/>
          <w:szCs w:val="24"/>
          <w:lang w:val="en-US" w:eastAsia="zh-CN"/>
          <w14:textFill>
            <w14:solidFill>
              <w14:schemeClr w14:val="tx1"/>
            </w14:solidFill>
          </w14:textFill>
        </w:rPr>
        <w:t>3.1.2 环境相关风险和机遇的分析与决策</w:t>
      </w:r>
      <w:bookmarkEnd w:id="28"/>
    </w:p>
    <w:p w14:paraId="50A8B973">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spacing w:val="6"/>
          <w:kern w:val="0"/>
          <w:sz w:val="24"/>
          <w:szCs w:val="24"/>
        </w:rPr>
        <w:t>本行以党的二十大精神、习近平新时代中国特色社会主义思想为指导，围绕“碳达峰、碳中和”的目标，全面贯彻落实国家相关政策，秉持可持续发展理念，抢抓机遇、补齐短板，积极探索绿色金融模式创新，加大绿色信贷投放力度，提高绿色金融业务占比，助推绿色发展和经济高质量发展</w:t>
      </w: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lang w:val="en-US" w:eastAsia="zh-CN"/>
        </w:rPr>
        <w:t>做好“五篇大文章”中的绿色金融部分</w:t>
      </w:r>
      <w:r>
        <w:rPr>
          <w:rFonts w:hint="eastAsia" w:ascii="仿宋" w:hAnsi="仿宋" w:eastAsia="仿宋" w:cs="仿宋"/>
          <w:b w:val="0"/>
          <w:bCs/>
          <w:snapToGrid w:val="0"/>
          <w:spacing w:val="6"/>
          <w:kern w:val="0"/>
          <w:sz w:val="24"/>
          <w:szCs w:val="24"/>
        </w:rPr>
        <w:t>。</w:t>
      </w:r>
    </w:p>
    <w:p w14:paraId="462A189D">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1）领导班子在工作会议强调绿色信贷的重要性，明确积极倡导绿色信贷，引导全行牢固树立绿色信贷理念，支持符合国家产业政策的好项目和好企业，促进银企共赢，加强对绿色信贷在制度建设、风险评估、内控监督体系以及工作能力建设等方面的保障，进而自觉主动做好绿色信贷工作</w:t>
      </w: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lang w:val="en-US" w:eastAsia="zh-CN"/>
        </w:rPr>
        <w:t>做好“五篇大文章”。</w:t>
      </w:r>
    </w:p>
    <w:p w14:paraId="0CCBEBBE">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spacing w:val="6"/>
          <w:kern w:val="0"/>
          <w:sz w:val="24"/>
          <w:szCs w:val="24"/>
          <w:lang w:val="en-US" w:eastAsia="zh-CN"/>
        </w:rPr>
        <w:t>（2</w:t>
      </w:r>
      <w:r>
        <w:rPr>
          <w:rFonts w:hint="eastAsia" w:ascii="仿宋" w:hAnsi="仿宋" w:eastAsia="仿宋" w:cs="仿宋"/>
          <w:b w:val="0"/>
          <w:bCs/>
          <w:snapToGrid w:val="0"/>
          <w:spacing w:val="6"/>
          <w:kern w:val="0"/>
          <w:sz w:val="24"/>
          <w:szCs w:val="24"/>
        </w:rPr>
        <w:t>）以客户为中心，推陈出新，构建丰富多维的产品体系</w:t>
      </w: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创新绿色企业专属金融产品。根据绿色企业、项目周期和行业特征，合理确定项目融资、流动资金贷款的贷款期限、还款方式</w:t>
      </w: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探索排污权、碳排放权抵押贷款等业务的开发和应用，推动绿色企业提高融资效率、降低融资成本、优化资产负债结构。</w:t>
      </w:r>
    </w:p>
    <w:p w14:paraId="7452FD22">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spacing w:val="6"/>
          <w:kern w:val="0"/>
          <w:sz w:val="24"/>
          <w:szCs w:val="24"/>
          <w:lang w:val="en-US" w:eastAsia="zh-CN"/>
        </w:rPr>
        <w:t>（3</w:t>
      </w:r>
      <w:r>
        <w:rPr>
          <w:rFonts w:hint="eastAsia" w:ascii="仿宋" w:hAnsi="仿宋" w:eastAsia="仿宋" w:cs="仿宋"/>
          <w:b w:val="0"/>
          <w:bCs/>
          <w:snapToGrid w:val="0"/>
          <w:spacing w:val="6"/>
          <w:kern w:val="0"/>
          <w:sz w:val="24"/>
          <w:szCs w:val="24"/>
        </w:rPr>
        <w:t>）定期组织实施内部审计，对检查发现</w:t>
      </w:r>
      <w:r>
        <w:rPr>
          <w:rFonts w:hint="eastAsia" w:ascii="仿宋" w:hAnsi="仿宋" w:eastAsia="仿宋" w:cs="仿宋"/>
          <w:b w:val="0"/>
          <w:bCs/>
          <w:snapToGrid w:val="0"/>
          <w:spacing w:val="6"/>
          <w:kern w:val="0"/>
          <w:sz w:val="24"/>
          <w:szCs w:val="24"/>
          <w:lang w:val="en-US" w:eastAsia="zh-CN"/>
        </w:rPr>
        <w:t>涉及绿色信贷的</w:t>
      </w:r>
      <w:r>
        <w:rPr>
          <w:rFonts w:hint="eastAsia" w:ascii="仿宋" w:hAnsi="仿宋" w:eastAsia="仿宋" w:cs="仿宋"/>
          <w:b w:val="0"/>
          <w:bCs/>
          <w:snapToGrid w:val="0"/>
          <w:spacing w:val="6"/>
          <w:kern w:val="0"/>
          <w:sz w:val="24"/>
          <w:szCs w:val="24"/>
        </w:rPr>
        <w:t>重大问题，依据规定进行问责。同时，完善信贷管理评价指标体系，加大考评结果在履职评价、审查审批、流程优化等方面的应用，提升绿色信贷风险管控能力，促进绿色业务稳健发展。</w:t>
      </w:r>
    </w:p>
    <w:p w14:paraId="3E846971">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b w:val="0"/>
          <w:bCs/>
        </w:rPr>
      </w:pPr>
    </w:p>
    <w:bookmarkEnd w:id="27"/>
    <w:p w14:paraId="499151C2">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29" w:name="_Toc13458"/>
      <w:r>
        <w:rPr>
          <w:rFonts w:hint="eastAsia" w:ascii="黑体" w:hAnsi="黑体" w:eastAsia="黑体" w:cs="黑体"/>
          <w:b w:val="0"/>
          <w:bCs/>
          <w:color w:val="000000" w:themeColor="text1"/>
          <w:sz w:val="28"/>
          <w:szCs w:val="28"/>
          <w14:textFill>
            <w14:solidFill>
              <w14:schemeClr w14:val="tx1"/>
            </w14:solidFill>
          </w14:textFill>
        </w:rPr>
        <w:t>3.2 高级管理层</w:t>
      </w:r>
      <w:bookmarkEnd w:id="29"/>
    </w:p>
    <w:p w14:paraId="4D21EEB0">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30" w:name="_Toc21421"/>
      <w:r>
        <w:rPr>
          <w:rFonts w:hint="eastAsia" w:ascii="黑体" w:hAnsi="黑体" w:eastAsia="黑体" w:cs="黑体"/>
          <w:b w:val="0"/>
          <w:bCs/>
          <w:color w:val="000000" w:themeColor="text1"/>
          <w:sz w:val="24"/>
          <w:szCs w:val="24"/>
          <w:lang w:val="en-US" w:eastAsia="zh-CN"/>
          <w14:textFill>
            <w14:solidFill>
              <w14:schemeClr w14:val="tx1"/>
            </w14:solidFill>
          </w14:textFill>
        </w:rPr>
        <w:t>3.2.1 负责环境问题的管理职位或内设机构</w:t>
      </w:r>
      <w:bookmarkEnd w:id="30"/>
    </w:p>
    <w:p w14:paraId="72CBB60C">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color w:val="000000" w:themeColor="text1"/>
          <w:spacing w:val="6"/>
          <w:sz w:val="24"/>
          <w:lang w:val="en-US" w:eastAsia="zh-CN"/>
          <w14:textFill>
            <w14:solidFill>
              <w14:schemeClr w14:val="tx1"/>
            </w14:solidFill>
          </w14:textFill>
        </w:rPr>
        <w:t>本</w:t>
      </w:r>
      <w:r>
        <w:rPr>
          <w:rFonts w:ascii="仿宋" w:hAnsi="仿宋" w:eastAsia="仿宋" w:cs="仿宋"/>
          <w:b w:val="0"/>
          <w:bCs/>
          <w:color w:val="000000" w:themeColor="text1"/>
          <w:spacing w:val="6"/>
          <w:sz w:val="24"/>
          <w14:textFill>
            <w14:solidFill>
              <w14:schemeClr w14:val="tx1"/>
            </w14:solidFill>
          </w14:textFill>
        </w:rPr>
        <w:t>行</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在高级管理层中设置了多个与环境、绿色金融相关的管理职位和内设机构，具体包括：</w:t>
      </w:r>
    </w:p>
    <w:p w14:paraId="14C7DA47">
      <w:pPr>
        <w:widowControl/>
        <w:numPr>
          <w:ilvl w:val="0"/>
          <w:numId w:val="0"/>
        </w:numPr>
        <w:kinsoku w:val="0"/>
        <w:autoSpaceDE w:val="0"/>
        <w:autoSpaceDN w:val="0"/>
        <w:adjustRightInd w:val="0"/>
        <w:snapToGrid w:val="0"/>
        <w:spacing w:before="217" w:beforeLines="50" w:line="240" w:lineRule="auto"/>
        <w:ind w:firstLine="504" w:firstLineChars="200"/>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1</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 xml:space="preserve">绿色金融管理职位/内设机构：本行在高级管理层中设有专门负责绿色金融的职位或内设机构，负责制定和执行绿色金融战略，推动绿色信贷业务的发展，评估绿色项目的环境效益，并确保业务运营符合环保法规要求。  </w:t>
      </w:r>
    </w:p>
    <w:p w14:paraId="688C3B55">
      <w:pPr>
        <w:widowControl/>
        <w:numPr>
          <w:ilvl w:val="0"/>
          <w:numId w:val="0"/>
        </w:numPr>
        <w:kinsoku w:val="0"/>
        <w:autoSpaceDE w:val="0"/>
        <w:autoSpaceDN w:val="0"/>
        <w:adjustRightInd w:val="0"/>
        <w:snapToGrid w:val="0"/>
        <w:spacing w:before="217" w:beforeLines="50" w:line="240" w:lineRule="auto"/>
        <w:ind w:firstLine="504" w:firstLineChars="200"/>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内控与合规职位：内控与合规部门在环境管理中也发挥重要作用，负责监督业务运营是否符合环保法规要求，确保合规风险得到有效管理，避免因违规行为引发的环境风险和声誉风险。</w:t>
      </w:r>
    </w:p>
    <w:p w14:paraId="5AE0D4D5">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31" w:name="_Toc11021"/>
      <w:r>
        <w:rPr>
          <w:rFonts w:hint="eastAsia" w:ascii="黑体" w:hAnsi="黑体" w:eastAsia="黑体" w:cs="黑体"/>
          <w:b w:val="0"/>
          <w:bCs/>
          <w:color w:val="000000" w:themeColor="text1"/>
          <w:sz w:val="24"/>
          <w:szCs w:val="24"/>
          <w:lang w:val="en-US" w:eastAsia="zh-CN"/>
          <w14:textFill>
            <w14:solidFill>
              <w14:schemeClr w14:val="tx1"/>
            </w14:solidFill>
          </w14:textFill>
        </w:rPr>
        <w:t>3.2.2 机构的主要职责和报告路线</w:t>
      </w:r>
      <w:bookmarkEnd w:id="31"/>
    </w:p>
    <w:p w14:paraId="4FBDB80D">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针对绿色信贷战略的主要目标明确并督促落实内控检查要求和</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考核</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要求。指定一名或多名高管人员负责绿色信贷战略的落实。每年度向董事会报告绿色信贷战略实施情况。</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按监管部门</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要求组织开展本行绿色信贷业绩评价工作并上报材料</w:t>
      </w:r>
      <w:r>
        <w:rPr>
          <w:rFonts w:hint="eastAsia" w:ascii="仿宋" w:hAnsi="仿宋" w:eastAsia="仿宋" w:cs="仿宋"/>
          <w:b w:val="0"/>
          <w:bCs/>
          <w:snapToGrid w:val="0"/>
          <w:spacing w:val="6"/>
          <w:kern w:val="0"/>
          <w:sz w:val="24"/>
          <w:szCs w:val="24"/>
        </w:rPr>
        <w:t>。</w:t>
      </w:r>
    </w:p>
    <w:p w14:paraId="1546EC31">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b w:val="0"/>
          <w:bCs/>
        </w:rPr>
      </w:pPr>
    </w:p>
    <w:p w14:paraId="76B2DA86">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32" w:name="_Toc17483"/>
      <w:r>
        <w:rPr>
          <w:rFonts w:hint="eastAsia" w:ascii="黑体" w:hAnsi="黑体" w:eastAsia="黑体" w:cs="黑体"/>
          <w:b w:val="0"/>
          <w:bCs/>
          <w:color w:val="000000" w:themeColor="text1"/>
          <w:sz w:val="28"/>
          <w:szCs w:val="28"/>
          <w14:textFill>
            <w14:solidFill>
              <w14:schemeClr w14:val="tx1"/>
            </w14:solidFill>
          </w14:textFill>
        </w:rPr>
        <w:t>3.3 专业执行层</w:t>
      </w:r>
      <w:bookmarkEnd w:id="32"/>
    </w:p>
    <w:p w14:paraId="5F69B56C">
      <w:pPr>
        <w:widowControl/>
        <w:kinsoku w:val="0"/>
        <w:autoSpaceDE w:val="0"/>
        <w:autoSpaceDN w:val="0"/>
        <w:adjustRightInd w:val="0"/>
        <w:snapToGrid w:val="0"/>
        <w:spacing w:before="217" w:beforeLines="50" w:line="240" w:lineRule="auto"/>
        <w:ind w:firstLine="506"/>
        <w:textAlignment w:val="baseline"/>
        <w:rPr>
          <w:rFonts w:ascii="仿宋" w:hAnsi="仿宋" w:eastAsia="仿宋" w:cs="仿宋"/>
          <w:b w:val="0"/>
          <w:bCs/>
          <w:snapToGrid w:val="0"/>
          <w:color w:val="0000FF"/>
          <w:spacing w:val="6"/>
          <w:kern w:val="0"/>
          <w:sz w:val="24"/>
          <w:szCs w:val="24"/>
        </w:rPr>
      </w:pPr>
      <w:r>
        <w:rPr>
          <w:rFonts w:hint="eastAsia" w:ascii="仿宋" w:hAnsi="仿宋" w:eastAsia="仿宋" w:cs="仿宋"/>
          <w:b w:val="0"/>
          <w:bCs/>
          <w:snapToGrid w:val="0"/>
          <w:color w:val="auto"/>
          <w:spacing w:val="6"/>
          <w:kern w:val="0"/>
          <w:sz w:val="24"/>
          <w:szCs w:val="24"/>
          <w:highlight w:val="none"/>
          <w:lang w:val="en-US" w:eastAsia="zh-CN"/>
        </w:rPr>
        <w:t>高邮</w:t>
      </w:r>
      <w:r>
        <w:rPr>
          <w:rFonts w:hint="eastAsia" w:ascii="仿宋" w:hAnsi="仿宋" w:eastAsia="仿宋" w:cs="仿宋"/>
          <w:b w:val="0"/>
          <w:bCs/>
          <w:snapToGrid w:val="0"/>
          <w:color w:val="auto"/>
          <w:spacing w:val="6"/>
          <w:kern w:val="0"/>
          <w:sz w:val="24"/>
          <w:szCs w:val="24"/>
          <w:highlight w:val="none"/>
        </w:rPr>
        <w:t>农村商业银行在绿色金融领域设有专业的执行层，以确保绿色金融战略的有效实施。具体设置情况如下：</w:t>
      </w:r>
    </w:p>
    <w:p w14:paraId="3866843F">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1</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总行信贷管理部负责制定绿色信贷管理办法、制定全行绿色信贷政策、制定绿色信贷授信审查审批标准和绿色信贷统计等工作。</w:t>
      </w:r>
    </w:p>
    <w:p w14:paraId="6F21E8C6">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总行风险管理部负责绿色信贷的用信管理、绿色信贷业务的合同管理</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贷后监督管理</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及不良资产处置</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等工作。</w:t>
      </w:r>
    </w:p>
    <w:p w14:paraId="02E909C1">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3</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总行合规管理部负责对绿色信贷业务相关规章制度、操作规程进行合规性审查，并将绿色信贷执行情况纳入内控合规检查范围。</w:t>
      </w:r>
    </w:p>
    <w:p w14:paraId="3D3ED8B7">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4</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总行审计稽核部负责定期组织实施绿色信贷内部审计等工作。</w:t>
      </w:r>
    </w:p>
    <w:p w14:paraId="4F58B5EE">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5</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总行公司金融部、</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普惠金融</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部负责</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根据相关政策和办法，组织全行绿色信贷的投放，搜集市场需求，为产品和服务的创新提供思路，</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推动绿色信贷业务发展，共同建立“绿色信贷”的长效机制。</w:t>
      </w:r>
    </w:p>
    <w:p w14:paraId="5A29FAE7">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b w:val="0"/>
          <w:bCs/>
          <w:snapToGrid w:val="0"/>
          <w:spacing w:val="6"/>
          <w:kern w:val="0"/>
          <w:sz w:val="24"/>
          <w:szCs w:val="24"/>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6</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各支行（网点）负责绿色信贷客户营销、授信需求收集、尽职调查、授信申请等工作，对相关资产质量和经营成果负责</w:t>
      </w:r>
      <w:r>
        <w:rPr>
          <w:rFonts w:hint="eastAsia" w:ascii="仿宋" w:hAnsi="仿宋" w:eastAsia="仿宋" w:cs="仿宋"/>
          <w:b w:val="0"/>
          <w:bCs/>
          <w:snapToGrid w:val="0"/>
          <w:spacing w:val="6"/>
          <w:kern w:val="0"/>
          <w:sz w:val="24"/>
          <w:szCs w:val="24"/>
        </w:rPr>
        <w:t>。</w:t>
      </w:r>
    </w:p>
    <w:p w14:paraId="25C73701">
      <w:pPr>
        <w:ind w:firstLine="0" w:firstLineChars="0"/>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br w:type="page"/>
      </w:r>
    </w:p>
    <w:p w14:paraId="53D6F474">
      <w:pPr>
        <w:pStyle w:val="19"/>
        <w:keepNext w:val="0"/>
        <w:keepLines w:val="0"/>
        <w:pageBreakBefore w:val="0"/>
        <w:widowControl/>
        <w:numPr>
          <w:ilvl w:val="0"/>
          <w:numId w:val="0"/>
        </w:numPr>
        <w:tabs>
          <w:tab w:val="right" w:leader="dot" w:pos="9897"/>
        </w:tabs>
        <w:kinsoku/>
        <w:wordWrap/>
        <w:overflowPunct/>
        <w:topLinePunct w:val="0"/>
        <w:autoSpaceDE/>
        <w:autoSpaceDN/>
        <w:bidi w:val="0"/>
        <w:adjustRightInd w:val="0"/>
        <w:snapToGrid w:val="0"/>
        <w:spacing w:before="872" w:beforeLines="200" w:after="20" w:line="360" w:lineRule="auto"/>
        <w:ind w:left="0" w:leftChars="0" w:firstLine="0" w:firstLineChars="0"/>
        <w:jc w:val="center"/>
        <w:textAlignment w:val="auto"/>
        <w:outlineLvl w:val="0"/>
        <w:rPr>
          <w:rFonts w:hint="eastAsia" w:ascii="黑体" w:hAnsi="黑体" w:eastAsia="黑体" w:cs="黑体"/>
          <w:b w:val="0"/>
          <w:bCs/>
          <w:color w:val="000000" w:themeColor="text1"/>
          <w:kern w:val="2"/>
          <w:sz w:val="32"/>
          <w:szCs w:val="32"/>
          <w:lang w:val="en-US" w:eastAsia="zh-CN"/>
          <w14:textFill>
            <w14:solidFill>
              <w14:schemeClr w14:val="tx1"/>
            </w14:solidFill>
          </w14:textFill>
        </w:rPr>
      </w:pPr>
      <w:bookmarkStart w:id="33" w:name="_Toc8742"/>
      <w:r>
        <w:rPr>
          <w:rFonts w:hint="eastAsia" w:ascii="黑体" w:hAnsi="黑体" w:eastAsia="黑体" w:cs="黑体"/>
          <w:b w:val="0"/>
          <w:bCs/>
          <w:color w:val="000000" w:themeColor="text1"/>
          <w:kern w:val="2"/>
          <w:sz w:val="32"/>
          <w:szCs w:val="32"/>
          <w:lang w:val="en-US" w:eastAsia="zh-CN"/>
          <w14:textFill>
            <w14:solidFill>
              <w14:schemeClr w14:val="tx1"/>
            </w14:solidFill>
          </w14:textFill>
        </w:rPr>
        <w:t>第四章 政策制度</w:t>
      </w:r>
      <w:bookmarkEnd w:id="33"/>
    </w:p>
    <w:p w14:paraId="3A21FD19">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34" w:name="_Toc13508"/>
      <w:r>
        <w:rPr>
          <w:rFonts w:hint="eastAsia" w:ascii="黑体" w:hAnsi="黑体" w:eastAsia="黑体" w:cs="黑体"/>
          <w:b w:val="0"/>
          <w:bCs/>
          <w:color w:val="000000" w:themeColor="text1"/>
          <w:sz w:val="28"/>
          <w:szCs w:val="28"/>
          <w14:textFill>
            <w14:solidFill>
              <w14:schemeClr w14:val="tx1"/>
            </w14:solidFill>
          </w14:textFill>
        </w:rPr>
        <w:t>4.1 公司政策</w:t>
      </w:r>
      <w:bookmarkEnd w:id="34"/>
    </w:p>
    <w:p w14:paraId="326AE0FB">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35" w:name="_Toc15756"/>
      <w:r>
        <w:rPr>
          <w:rFonts w:hint="eastAsia" w:ascii="黑体" w:hAnsi="黑体" w:eastAsia="黑体" w:cs="黑体"/>
          <w:b w:val="0"/>
          <w:bCs/>
          <w:color w:val="000000" w:themeColor="text1"/>
          <w:sz w:val="24"/>
          <w:szCs w:val="24"/>
          <w:lang w:val="en-US" w:eastAsia="zh-CN"/>
          <w14:textFill>
            <w14:solidFill>
              <w14:schemeClr w14:val="tx1"/>
            </w14:solidFill>
          </w14:textFill>
        </w:rPr>
        <w:t>4.1.1 现行的环境、绿色金融相关内部政策</w:t>
      </w:r>
      <w:bookmarkEnd w:id="35"/>
    </w:p>
    <w:p w14:paraId="4AE53DC2">
      <w:pPr>
        <w:widowControl/>
        <w:kinsoku w:val="0"/>
        <w:autoSpaceDE w:val="0"/>
        <w:autoSpaceDN w:val="0"/>
        <w:adjustRightInd w:val="0"/>
        <w:snapToGrid w:val="0"/>
        <w:spacing w:before="217" w:beforeLines="50" w:line="240" w:lineRule="auto"/>
        <w:ind w:firstLine="506"/>
        <w:textAlignment w:val="baseline"/>
        <w:rPr>
          <w:rFonts w:hint="eastAsia" w:ascii="仿宋" w:hAnsi="仿宋" w:eastAsia="仿宋" w:cs="仿宋"/>
          <w:b w:val="0"/>
          <w:bCs/>
          <w:snapToGrid w:val="0"/>
          <w:color w:val="auto"/>
          <w:spacing w:val="6"/>
          <w:kern w:val="0"/>
          <w:sz w:val="24"/>
          <w:szCs w:val="24"/>
          <w:highlight w:val="none"/>
        </w:rPr>
      </w:pPr>
      <w:r>
        <w:rPr>
          <w:rFonts w:hint="eastAsia" w:ascii="仿宋" w:hAnsi="仿宋" w:eastAsia="仿宋" w:cs="仿宋"/>
          <w:b w:val="0"/>
          <w:bCs/>
          <w:snapToGrid w:val="0"/>
          <w:color w:val="auto"/>
          <w:spacing w:val="6"/>
          <w:kern w:val="0"/>
          <w:sz w:val="24"/>
          <w:szCs w:val="24"/>
          <w:highlight w:val="none"/>
          <w:lang w:val="en-US" w:eastAsia="zh-CN"/>
        </w:rPr>
        <w:t>本</w:t>
      </w:r>
      <w:r>
        <w:rPr>
          <w:rFonts w:hint="eastAsia" w:ascii="仿宋" w:hAnsi="仿宋" w:eastAsia="仿宋" w:cs="仿宋"/>
          <w:b w:val="0"/>
          <w:bCs/>
          <w:snapToGrid w:val="0"/>
          <w:color w:val="auto"/>
          <w:spacing w:val="6"/>
          <w:kern w:val="0"/>
          <w:sz w:val="24"/>
          <w:szCs w:val="24"/>
          <w:highlight w:val="none"/>
        </w:rPr>
        <w:t>行已制定并实施了多项与环境、绿色金融相关的内部政策，旨在推动绿色金融发展，加强环境风险管理。以下是部分主要政策及其概要：</w:t>
      </w:r>
    </w:p>
    <w:p w14:paraId="4B7E0991">
      <w:pPr>
        <w:widowControl/>
        <w:kinsoku w:val="0"/>
        <w:autoSpaceDE w:val="0"/>
        <w:autoSpaceDN w:val="0"/>
        <w:adjustRightInd w:val="0"/>
        <w:snapToGrid w:val="0"/>
        <w:spacing w:before="217" w:beforeLines="50" w:line="240" w:lineRule="auto"/>
        <w:ind w:firstLine="506"/>
        <w:textAlignment w:val="baseline"/>
        <w:rPr>
          <w:rFonts w:hint="eastAsia" w:ascii="仿宋" w:hAnsi="仿宋" w:eastAsia="仿宋" w:cs="仿宋"/>
          <w:b w:val="0"/>
          <w:bCs/>
          <w:snapToGrid w:val="0"/>
          <w:color w:val="auto"/>
          <w:spacing w:val="6"/>
          <w:kern w:val="0"/>
          <w:sz w:val="24"/>
          <w:szCs w:val="24"/>
          <w:highlight w:val="none"/>
        </w:rPr>
      </w:pPr>
      <w:r>
        <w:rPr>
          <w:rFonts w:hint="eastAsia" w:ascii="仿宋" w:hAnsi="仿宋" w:eastAsia="仿宋" w:cs="仿宋"/>
          <w:b w:val="0"/>
          <w:bCs/>
          <w:snapToGrid w:val="0"/>
          <w:color w:val="auto"/>
          <w:spacing w:val="6"/>
          <w:kern w:val="0"/>
          <w:sz w:val="24"/>
          <w:szCs w:val="24"/>
          <w:highlight w:val="none"/>
          <w:lang w:val="en-US" w:eastAsia="zh-CN"/>
        </w:rPr>
        <w:t>（1）</w:t>
      </w:r>
      <w:r>
        <w:rPr>
          <w:rFonts w:hint="eastAsia" w:ascii="仿宋" w:hAnsi="仿宋" w:eastAsia="仿宋" w:cs="仿宋"/>
          <w:b w:val="0"/>
          <w:bCs/>
          <w:snapToGrid w:val="0"/>
          <w:color w:val="auto"/>
          <w:spacing w:val="6"/>
          <w:kern w:val="0"/>
          <w:sz w:val="24"/>
          <w:szCs w:val="24"/>
          <w:highlight w:val="none"/>
        </w:rPr>
        <w:t>绿色信贷</w:t>
      </w:r>
      <w:r>
        <w:rPr>
          <w:rFonts w:hint="eastAsia" w:ascii="仿宋" w:hAnsi="仿宋" w:eastAsia="仿宋" w:cs="仿宋"/>
          <w:b w:val="0"/>
          <w:bCs/>
          <w:snapToGrid w:val="0"/>
          <w:color w:val="auto"/>
          <w:spacing w:val="6"/>
          <w:kern w:val="0"/>
          <w:sz w:val="24"/>
          <w:szCs w:val="24"/>
          <w:highlight w:val="none"/>
          <w:lang w:val="en-US" w:eastAsia="zh-CN"/>
        </w:rPr>
        <w:t>实施</w:t>
      </w:r>
      <w:r>
        <w:rPr>
          <w:rFonts w:hint="eastAsia" w:ascii="仿宋" w:hAnsi="仿宋" w:eastAsia="仿宋" w:cs="仿宋"/>
          <w:b w:val="0"/>
          <w:bCs/>
          <w:snapToGrid w:val="0"/>
          <w:color w:val="auto"/>
          <w:spacing w:val="6"/>
          <w:kern w:val="0"/>
          <w:sz w:val="24"/>
          <w:szCs w:val="24"/>
          <w:highlight w:val="none"/>
        </w:rPr>
        <w:t>管理</w:t>
      </w:r>
      <w:r>
        <w:rPr>
          <w:rFonts w:hint="eastAsia" w:ascii="仿宋" w:hAnsi="仿宋" w:eastAsia="仿宋" w:cs="仿宋"/>
          <w:b w:val="0"/>
          <w:bCs/>
          <w:snapToGrid w:val="0"/>
          <w:color w:val="auto"/>
          <w:spacing w:val="6"/>
          <w:kern w:val="0"/>
          <w:sz w:val="24"/>
          <w:szCs w:val="24"/>
          <w:highlight w:val="none"/>
          <w:lang w:val="en-US" w:eastAsia="zh-CN"/>
        </w:rPr>
        <w:t>办法</w:t>
      </w:r>
      <w:r>
        <w:rPr>
          <w:rFonts w:hint="eastAsia" w:ascii="仿宋" w:hAnsi="仿宋" w:eastAsia="仿宋" w:cs="仿宋"/>
          <w:b w:val="0"/>
          <w:bCs/>
          <w:snapToGrid w:val="0"/>
          <w:color w:val="auto"/>
          <w:spacing w:val="6"/>
          <w:kern w:val="0"/>
          <w:sz w:val="24"/>
          <w:szCs w:val="24"/>
          <w:highlight w:val="none"/>
        </w:rPr>
        <w:t>：从战略高度推进绿色信贷，加大对绿色经济、低碳经济、循环经济的支持，防范环境和社会风险，提升自身的环境和社会表现，并以此优化信贷结构，提高服务水平，促进发展方式转变。</w:t>
      </w:r>
    </w:p>
    <w:p w14:paraId="148312A1">
      <w:pPr>
        <w:widowControl/>
        <w:kinsoku w:val="0"/>
        <w:autoSpaceDE w:val="0"/>
        <w:autoSpaceDN w:val="0"/>
        <w:adjustRightInd w:val="0"/>
        <w:snapToGrid w:val="0"/>
        <w:spacing w:before="217" w:beforeLines="50" w:line="240" w:lineRule="auto"/>
        <w:ind w:firstLine="506"/>
        <w:textAlignment w:val="baseline"/>
        <w:rPr>
          <w:rFonts w:hint="eastAsia" w:ascii="仿宋" w:hAnsi="仿宋" w:eastAsia="仿宋" w:cs="仿宋"/>
          <w:b w:val="0"/>
          <w:bCs/>
          <w:snapToGrid w:val="0"/>
          <w:color w:val="auto"/>
          <w:spacing w:val="6"/>
          <w:kern w:val="0"/>
          <w:sz w:val="24"/>
          <w:szCs w:val="24"/>
          <w:highlight w:val="none"/>
        </w:rPr>
      </w:pPr>
      <w:r>
        <w:rPr>
          <w:rFonts w:hint="eastAsia" w:ascii="仿宋" w:hAnsi="仿宋" w:eastAsia="仿宋" w:cs="仿宋"/>
          <w:b w:val="0"/>
          <w:bCs/>
          <w:snapToGrid w:val="0"/>
          <w:color w:val="auto"/>
          <w:spacing w:val="6"/>
          <w:kern w:val="0"/>
          <w:sz w:val="24"/>
          <w:szCs w:val="24"/>
          <w:highlight w:val="none"/>
          <w:lang w:val="en-US" w:eastAsia="zh-CN"/>
        </w:rPr>
        <w:t>（2）金</w:t>
      </w:r>
      <w:r>
        <w:rPr>
          <w:rFonts w:hint="default" w:ascii="仿宋" w:hAnsi="仿宋" w:eastAsia="仿宋" w:cs="仿宋"/>
          <w:b w:val="0"/>
          <w:bCs/>
          <w:snapToGrid w:val="0"/>
          <w:color w:val="auto"/>
          <w:spacing w:val="6"/>
          <w:kern w:val="0"/>
          <w:sz w:val="24"/>
          <w:szCs w:val="24"/>
          <w:highlight w:val="none"/>
          <w:lang w:val="en-US" w:eastAsia="zh-CN"/>
        </w:rPr>
        <w:t>融“五篇大文章”统计工作实施方案</w:t>
      </w:r>
      <w:r>
        <w:rPr>
          <w:rFonts w:hint="eastAsia" w:ascii="仿宋" w:hAnsi="仿宋" w:eastAsia="仿宋" w:cs="仿宋"/>
          <w:b w:val="0"/>
          <w:bCs/>
          <w:snapToGrid w:val="0"/>
          <w:color w:val="auto"/>
          <w:spacing w:val="6"/>
          <w:kern w:val="0"/>
          <w:sz w:val="24"/>
          <w:szCs w:val="24"/>
          <w:highlight w:val="none"/>
          <w:lang w:val="en-US" w:eastAsia="zh-CN"/>
        </w:rPr>
        <w:t>：为准确反映绿</w:t>
      </w:r>
      <w:r>
        <w:rPr>
          <w:rFonts w:hint="eastAsia" w:ascii="仿宋" w:hAnsi="仿宋" w:eastAsia="仿宋" w:cs="仿宋"/>
          <w:b w:val="0"/>
          <w:bCs/>
          <w:snapToGrid w:val="0"/>
          <w:color w:val="auto"/>
          <w:spacing w:val="6"/>
          <w:kern w:val="0"/>
          <w:sz w:val="24"/>
          <w:szCs w:val="24"/>
          <w:highlight w:val="none"/>
        </w:rPr>
        <w:t>色信贷业务的发展情况，本行</w:t>
      </w:r>
      <w:r>
        <w:rPr>
          <w:rFonts w:hint="eastAsia" w:ascii="仿宋" w:hAnsi="仿宋" w:eastAsia="仿宋" w:cs="仿宋"/>
          <w:b w:val="0"/>
          <w:bCs/>
          <w:snapToGrid w:val="0"/>
          <w:color w:val="auto"/>
          <w:spacing w:val="6"/>
          <w:kern w:val="0"/>
          <w:sz w:val="24"/>
          <w:szCs w:val="24"/>
          <w:highlight w:val="none"/>
          <w:lang w:val="en-US" w:eastAsia="zh-CN"/>
        </w:rPr>
        <w:t>制定</w:t>
      </w:r>
      <w:r>
        <w:rPr>
          <w:rFonts w:hint="eastAsia" w:ascii="仿宋" w:hAnsi="仿宋" w:eastAsia="仿宋" w:cs="仿宋"/>
          <w:b w:val="0"/>
          <w:bCs/>
          <w:snapToGrid w:val="0"/>
          <w:color w:val="auto"/>
          <w:spacing w:val="6"/>
          <w:kern w:val="0"/>
          <w:sz w:val="24"/>
          <w:szCs w:val="24"/>
          <w:highlight w:val="none"/>
        </w:rPr>
        <w:t>了</w:t>
      </w:r>
      <w:r>
        <w:rPr>
          <w:rFonts w:hint="eastAsia" w:ascii="仿宋" w:hAnsi="仿宋" w:eastAsia="仿宋" w:cs="仿宋"/>
          <w:b w:val="0"/>
          <w:bCs/>
          <w:snapToGrid w:val="0"/>
          <w:color w:val="auto"/>
          <w:spacing w:val="6"/>
          <w:kern w:val="0"/>
          <w:sz w:val="24"/>
          <w:szCs w:val="24"/>
          <w:highlight w:val="none"/>
          <w:lang w:val="en-US" w:eastAsia="zh-CN"/>
        </w:rPr>
        <w:t>金</w:t>
      </w:r>
      <w:r>
        <w:rPr>
          <w:rFonts w:hint="default" w:ascii="仿宋" w:hAnsi="仿宋" w:eastAsia="仿宋" w:cs="仿宋"/>
          <w:b w:val="0"/>
          <w:bCs/>
          <w:snapToGrid w:val="0"/>
          <w:color w:val="auto"/>
          <w:spacing w:val="6"/>
          <w:kern w:val="0"/>
          <w:sz w:val="24"/>
          <w:szCs w:val="24"/>
          <w:highlight w:val="none"/>
          <w:lang w:val="en-US" w:eastAsia="zh-CN"/>
        </w:rPr>
        <w:t>融“五篇大文章”统计工作实施方案</w:t>
      </w:r>
      <w:r>
        <w:rPr>
          <w:rFonts w:hint="eastAsia" w:ascii="仿宋" w:hAnsi="仿宋" w:eastAsia="仿宋" w:cs="仿宋"/>
          <w:b w:val="0"/>
          <w:bCs/>
          <w:snapToGrid w:val="0"/>
          <w:color w:val="auto"/>
          <w:spacing w:val="6"/>
          <w:kern w:val="0"/>
          <w:sz w:val="24"/>
          <w:szCs w:val="24"/>
          <w:highlight w:val="none"/>
        </w:rPr>
        <w:t>，</w:t>
      </w:r>
      <w:r>
        <w:rPr>
          <w:rFonts w:hint="eastAsia" w:ascii="仿宋" w:hAnsi="仿宋" w:eastAsia="仿宋" w:cs="仿宋"/>
          <w:b w:val="0"/>
          <w:bCs/>
          <w:snapToGrid w:val="0"/>
          <w:color w:val="auto"/>
          <w:spacing w:val="6"/>
          <w:kern w:val="0"/>
          <w:sz w:val="24"/>
          <w:szCs w:val="24"/>
          <w:highlight w:val="none"/>
          <w:lang w:val="en-US" w:eastAsia="zh-CN"/>
        </w:rPr>
        <w:t>其中</w:t>
      </w:r>
      <w:r>
        <w:rPr>
          <w:rFonts w:hint="eastAsia" w:ascii="仿宋" w:hAnsi="仿宋" w:eastAsia="仿宋" w:cs="仿宋"/>
          <w:b w:val="0"/>
          <w:bCs/>
          <w:snapToGrid w:val="0"/>
          <w:color w:val="auto"/>
          <w:spacing w:val="6"/>
          <w:kern w:val="0"/>
          <w:sz w:val="24"/>
          <w:szCs w:val="24"/>
          <w:highlight w:val="none"/>
        </w:rPr>
        <w:t>对绿色信贷余额、增长率、占比等关键指标进行定期统计</w:t>
      </w:r>
      <w:r>
        <w:rPr>
          <w:rFonts w:hint="eastAsia" w:ascii="仿宋" w:hAnsi="仿宋" w:eastAsia="仿宋" w:cs="仿宋"/>
          <w:b w:val="0"/>
          <w:bCs/>
          <w:snapToGrid w:val="0"/>
          <w:color w:val="auto"/>
          <w:spacing w:val="6"/>
          <w:kern w:val="0"/>
          <w:sz w:val="24"/>
          <w:szCs w:val="24"/>
          <w:highlight w:val="none"/>
          <w:lang w:eastAsia="zh-CN"/>
        </w:rPr>
        <w:t>、</w:t>
      </w:r>
      <w:r>
        <w:rPr>
          <w:rFonts w:hint="eastAsia" w:ascii="仿宋" w:hAnsi="仿宋" w:eastAsia="仿宋" w:cs="仿宋"/>
          <w:b w:val="0"/>
          <w:bCs/>
          <w:snapToGrid w:val="0"/>
          <w:color w:val="auto"/>
          <w:spacing w:val="6"/>
          <w:kern w:val="0"/>
          <w:sz w:val="24"/>
          <w:szCs w:val="24"/>
          <w:highlight w:val="none"/>
          <w:lang w:val="en-US" w:eastAsia="zh-CN"/>
        </w:rPr>
        <w:t>分析和报送做出了相关要求</w:t>
      </w:r>
      <w:r>
        <w:rPr>
          <w:rFonts w:hint="eastAsia" w:ascii="仿宋" w:hAnsi="仿宋" w:eastAsia="仿宋" w:cs="仿宋"/>
          <w:b w:val="0"/>
          <w:bCs/>
          <w:snapToGrid w:val="0"/>
          <w:color w:val="auto"/>
          <w:spacing w:val="6"/>
          <w:kern w:val="0"/>
          <w:sz w:val="24"/>
          <w:szCs w:val="24"/>
          <w:highlight w:val="none"/>
        </w:rPr>
        <w:t>，为管理层决策提供数据支持。</w:t>
      </w:r>
    </w:p>
    <w:p w14:paraId="61DCB9F6">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36" w:name="_Toc20927"/>
      <w:r>
        <w:rPr>
          <w:rFonts w:hint="eastAsia" w:ascii="黑体" w:hAnsi="黑体" w:eastAsia="黑体" w:cs="黑体"/>
          <w:b w:val="0"/>
          <w:bCs/>
          <w:color w:val="000000" w:themeColor="text1"/>
          <w:sz w:val="24"/>
          <w:szCs w:val="24"/>
          <w:lang w:val="en-US" w:eastAsia="zh-CN"/>
          <w14:textFill>
            <w14:solidFill>
              <w14:schemeClr w14:val="tx1"/>
            </w14:solidFill>
          </w14:textFill>
        </w:rPr>
        <w:t>4.1.2 报告期内实施的新政策</w:t>
      </w:r>
      <w:bookmarkEnd w:id="36"/>
    </w:p>
    <w:p w14:paraId="183FC214">
      <w:pPr>
        <w:widowControl/>
        <w:kinsoku w:val="0"/>
        <w:autoSpaceDE w:val="0"/>
        <w:autoSpaceDN w:val="0"/>
        <w:adjustRightInd w:val="0"/>
        <w:snapToGrid w:val="0"/>
        <w:spacing w:before="217" w:beforeLines="50" w:line="240" w:lineRule="auto"/>
        <w:ind w:firstLine="506"/>
        <w:textAlignment w:val="baseline"/>
        <w:rPr>
          <w:rFonts w:hint="eastAsia" w:ascii="仿宋" w:hAnsi="仿宋" w:eastAsia="仿宋" w:cs="仿宋"/>
          <w:b w:val="0"/>
          <w:bCs/>
          <w:snapToGrid w:val="0"/>
          <w:color w:val="auto"/>
          <w:spacing w:val="6"/>
          <w:kern w:val="0"/>
          <w:sz w:val="24"/>
          <w:szCs w:val="24"/>
          <w:highlight w:val="none"/>
        </w:rPr>
      </w:pPr>
      <w:r>
        <w:rPr>
          <w:rFonts w:hint="eastAsia" w:ascii="仿宋" w:hAnsi="仿宋" w:eastAsia="仿宋" w:cs="仿宋"/>
          <w:b w:val="0"/>
          <w:bCs/>
          <w:snapToGrid w:val="0"/>
          <w:color w:val="auto"/>
          <w:spacing w:val="6"/>
          <w:kern w:val="0"/>
          <w:sz w:val="24"/>
          <w:szCs w:val="24"/>
          <w:highlight w:val="none"/>
          <w:lang w:val="en-US" w:eastAsia="zh-CN"/>
        </w:rPr>
        <w:t>本行</w:t>
      </w:r>
      <w:r>
        <w:rPr>
          <w:rFonts w:hint="eastAsia" w:ascii="仿宋" w:hAnsi="仿宋" w:eastAsia="仿宋" w:cs="仿宋"/>
          <w:b w:val="0"/>
          <w:bCs/>
          <w:snapToGrid w:val="0"/>
          <w:color w:val="auto"/>
          <w:spacing w:val="6"/>
          <w:kern w:val="0"/>
          <w:sz w:val="24"/>
          <w:szCs w:val="24"/>
          <w:highlight w:val="none"/>
        </w:rPr>
        <w:t>实施了一系列环境、绿色金融新政策和新举措，具体包括：</w:t>
      </w:r>
    </w:p>
    <w:p w14:paraId="52241B4A">
      <w:pPr>
        <w:widowControl/>
        <w:kinsoku w:val="0"/>
        <w:autoSpaceDE w:val="0"/>
        <w:autoSpaceDN w:val="0"/>
        <w:adjustRightInd w:val="0"/>
        <w:snapToGrid w:val="0"/>
        <w:spacing w:before="217" w:beforeLines="50" w:line="240" w:lineRule="auto"/>
        <w:ind w:firstLine="506"/>
        <w:textAlignment w:val="baseline"/>
        <w:rPr>
          <w:rFonts w:hint="eastAsia" w:ascii="仿宋" w:hAnsi="仿宋" w:eastAsia="仿宋" w:cs="仿宋"/>
          <w:b w:val="0"/>
          <w:bCs/>
          <w:snapToGrid w:val="0"/>
          <w:color w:val="auto"/>
          <w:spacing w:val="6"/>
          <w:kern w:val="0"/>
          <w:sz w:val="24"/>
          <w:szCs w:val="24"/>
          <w:highlight w:val="none"/>
          <w:lang w:val="en-US" w:eastAsia="zh-CN"/>
        </w:rPr>
      </w:pPr>
      <w:r>
        <w:rPr>
          <w:rFonts w:hint="eastAsia" w:ascii="仿宋" w:hAnsi="仿宋" w:eastAsia="仿宋" w:cs="仿宋"/>
          <w:b w:val="0"/>
          <w:bCs/>
          <w:snapToGrid w:val="0"/>
          <w:color w:val="auto"/>
          <w:spacing w:val="6"/>
          <w:kern w:val="0"/>
          <w:sz w:val="24"/>
          <w:szCs w:val="24"/>
          <w:highlight w:val="none"/>
          <w:lang w:eastAsia="zh-CN"/>
        </w:rPr>
        <w:t>（</w:t>
      </w:r>
      <w:r>
        <w:rPr>
          <w:rFonts w:hint="eastAsia" w:ascii="仿宋" w:hAnsi="仿宋" w:eastAsia="仿宋" w:cs="仿宋"/>
          <w:b w:val="0"/>
          <w:bCs/>
          <w:snapToGrid w:val="0"/>
          <w:color w:val="auto"/>
          <w:spacing w:val="6"/>
          <w:kern w:val="0"/>
          <w:sz w:val="24"/>
          <w:szCs w:val="24"/>
          <w:highlight w:val="none"/>
        </w:rPr>
        <w:t>1</w:t>
      </w:r>
      <w:r>
        <w:rPr>
          <w:rFonts w:hint="eastAsia" w:ascii="仿宋" w:hAnsi="仿宋" w:eastAsia="仿宋" w:cs="仿宋"/>
          <w:b w:val="0"/>
          <w:bCs/>
          <w:snapToGrid w:val="0"/>
          <w:color w:val="auto"/>
          <w:spacing w:val="6"/>
          <w:kern w:val="0"/>
          <w:sz w:val="24"/>
          <w:szCs w:val="24"/>
          <w:highlight w:val="none"/>
          <w:lang w:eastAsia="zh-CN"/>
        </w:rPr>
        <w:t>）</w:t>
      </w:r>
      <w:r>
        <w:rPr>
          <w:rFonts w:hint="eastAsia" w:ascii="仿宋" w:hAnsi="仿宋" w:eastAsia="仿宋" w:cs="仿宋"/>
          <w:b w:val="0"/>
          <w:bCs/>
          <w:snapToGrid w:val="0"/>
          <w:color w:val="auto"/>
          <w:spacing w:val="6"/>
          <w:kern w:val="0"/>
          <w:sz w:val="24"/>
          <w:szCs w:val="24"/>
          <w:highlight w:val="none"/>
        </w:rPr>
        <w:t>绿色金融产品和服务创新</w:t>
      </w:r>
      <w:r>
        <w:rPr>
          <w:rFonts w:hint="eastAsia" w:ascii="仿宋" w:hAnsi="仿宋" w:eastAsia="仿宋" w:cs="仿宋"/>
          <w:b w:val="0"/>
          <w:bCs/>
          <w:snapToGrid w:val="0"/>
          <w:color w:val="auto"/>
          <w:spacing w:val="6"/>
          <w:kern w:val="0"/>
          <w:sz w:val="24"/>
          <w:szCs w:val="24"/>
          <w:highlight w:val="none"/>
          <w:lang w:eastAsia="zh-CN"/>
        </w:rPr>
        <w:t>：</w:t>
      </w:r>
      <w:r>
        <w:rPr>
          <w:rFonts w:hint="eastAsia" w:ascii="仿宋" w:hAnsi="仿宋" w:eastAsia="仿宋" w:cs="仿宋"/>
          <w:b w:val="0"/>
          <w:bCs/>
          <w:snapToGrid w:val="0"/>
          <w:color w:val="auto"/>
          <w:spacing w:val="6"/>
          <w:kern w:val="0"/>
          <w:sz w:val="24"/>
          <w:szCs w:val="24"/>
          <w:highlight w:val="none"/>
          <w:lang w:val="en-US" w:eastAsia="zh-CN"/>
        </w:rPr>
        <w:t>创新绿色金融产品，如“环保贷”，向“环保贷”项目库内符合环保贷支持范围的企业发放的，用于支持开展污染防治、生态保护修复、生态环境基础设施建设及环保产业发展等项目的贷款业务。如生态系统碳汇预期收益权质押贷款业务，向指符合条件的市场主体（以下简称借款人）在遵守国家有关法律、法规和信贷政策前提下，以其所有、经营形成或有权处分的生态系统碳汇预期收益权作质押发放贷款。</w:t>
      </w:r>
    </w:p>
    <w:p w14:paraId="787975A3">
      <w:pPr>
        <w:widowControl/>
        <w:kinsoku w:val="0"/>
        <w:autoSpaceDE w:val="0"/>
        <w:autoSpaceDN w:val="0"/>
        <w:adjustRightInd w:val="0"/>
        <w:snapToGrid w:val="0"/>
        <w:spacing w:before="217" w:beforeLines="50" w:line="240" w:lineRule="auto"/>
        <w:ind w:firstLine="506"/>
        <w:textAlignment w:val="baseline"/>
        <w:rPr>
          <w:rFonts w:hint="eastAsia" w:ascii="仿宋" w:hAnsi="仿宋" w:eastAsia="仿宋" w:cs="仿宋"/>
          <w:b w:val="0"/>
          <w:bCs/>
          <w:snapToGrid w:val="0"/>
          <w:color w:val="auto"/>
          <w:spacing w:val="6"/>
          <w:kern w:val="0"/>
          <w:sz w:val="24"/>
          <w:szCs w:val="24"/>
          <w:highlight w:val="none"/>
        </w:rPr>
      </w:pPr>
      <w:r>
        <w:rPr>
          <w:rFonts w:hint="eastAsia" w:ascii="仿宋" w:hAnsi="仿宋" w:eastAsia="仿宋" w:cs="仿宋"/>
          <w:b w:val="0"/>
          <w:bCs/>
          <w:snapToGrid w:val="0"/>
          <w:color w:val="auto"/>
          <w:spacing w:val="6"/>
          <w:kern w:val="0"/>
          <w:sz w:val="24"/>
          <w:szCs w:val="24"/>
          <w:highlight w:val="none"/>
          <w:lang w:eastAsia="zh-CN"/>
        </w:rPr>
        <w:t>（</w:t>
      </w:r>
      <w:r>
        <w:rPr>
          <w:rFonts w:hint="eastAsia" w:ascii="仿宋" w:hAnsi="仿宋" w:eastAsia="仿宋" w:cs="仿宋"/>
          <w:b w:val="0"/>
          <w:bCs/>
          <w:snapToGrid w:val="0"/>
          <w:color w:val="auto"/>
          <w:spacing w:val="6"/>
          <w:kern w:val="0"/>
          <w:sz w:val="24"/>
          <w:szCs w:val="24"/>
          <w:highlight w:val="none"/>
        </w:rPr>
        <w:t>2</w:t>
      </w:r>
      <w:r>
        <w:rPr>
          <w:rFonts w:hint="eastAsia" w:ascii="仿宋" w:hAnsi="仿宋" w:eastAsia="仿宋" w:cs="仿宋"/>
          <w:b w:val="0"/>
          <w:bCs/>
          <w:snapToGrid w:val="0"/>
          <w:color w:val="auto"/>
          <w:spacing w:val="6"/>
          <w:kern w:val="0"/>
          <w:sz w:val="24"/>
          <w:szCs w:val="24"/>
          <w:highlight w:val="none"/>
          <w:lang w:eastAsia="zh-CN"/>
        </w:rPr>
        <w:t>）</w:t>
      </w:r>
      <w:r>
        <w:rPr>
          <w:rFonts w:hint="eastAsia" w:ascii="仿宋" w:hAnsi="仿宋" w:eastAsia="仿宋" w:cs="仿宋"/>
          <w:b w:val="0"/>
          <w:bCs/>
          <w:snapToGrid w:val="0"/>
          <w:color w:val="auto"/>
          <w:spacing w:val="6"/>
          <w:kern w:val="0"/>
          <w:sz w:val="24"/>
          <w:szCs w:val="24"/>
          <w:highlight w:val="none"/>
        </w:rPr>
        <w:t>提升绿色金融投向精准度</w:t>
      </w:r>
      <w:r>
        <w:rPr>
          <w:rFonts w:hint="eastAsia" w:ascii="仿宋" w:hAnsi="仿宋" w:eastAsia="仿宋" w:cs="仿宋"/>
          <w:b w:val="0"/>
          <w:bCs/>
          <w:snapToGrid w:val="0"/>
          <w:color w:val="auto"/>
          <w:spacing w:val="6"/>
          <w:kern w:val="0"/>
          <w:sz w:val="24"/>
          <w:szCs w:val="24"/>
          <w:highlight w:val="none"/>
          <w:lang w:eastAsia="zh-CN"/>
        </w:rPr>
        <w:t>：</w:t>
      </w:r>
      <w:r>
        <w:rPr>
          <w:rFonts w:hint="eastAsia" w:ascii="仿宋" w:hAnsi="仿宋" w:eastAsia="仿宋" w:cs="仿宋"/>
          <w:b w:val="0"/>
          <w:bCs/>
          <w:snapToGrid w:val="0"/>
          <w:color w:val="auto"/>
          <w:spacing w:val="6"/>
          <w:kern w:val="0"/>
          <w:sz w:val="24"/>
          <w:szCs w:val="24"/>
          <w:highlight w:val="none"/>
        </w:rPr>
        <w:t>据客户面临的环境和社会风险</w:t>
      </w:r>
      <w:r>
        <w:rPr>
          <w:rFonts w:hint="eastAsia" w:ascii="仿宋" w:hAnsi="仿宋" w:eastAsia="仿宋" w:cs="仿宋"/>
          <w:b w:val="0"/>
          <w:bCs/>
          <w:snapToGrid w:val="0"/>
          <w:color w:val="auto"/>
          <w:spacing w:val="6"/>
          <w:kern w:val="0"/>
          <w:sz w:val="24"/>
          <w:szCs w:val="24"/>
          <w:highlight w:val="none"/>
          <w:lang w:val="en-US" w:eastAsia="zh-CN"/>
        </w:rPr>
        <w:t>分类管理，</w:t>
      </w:r>
      <w:r>
        <w:rPr>
          <w:rFonts w:hint="eastAsia" w:ascii="仿宋" w:hAnsi="仿宋" w:eastAsia="仿宋" w:cs="仿宋"/>
          <w:b w:val="0"/>
          <w:bCs/>
          <w:snapToGrid w:val="0"/>
          <w:color w:val="auto"/>
          <w:spacing w:val="6"/>
          <w:kern w:val="0"/>
          <w:sz w:val="24"/>
          <w:szCs w:val="24"/>
          <w:highlight w:val="none"/>
        </w:rPr>
        <w:t>优化信贷结构</w:t>
      </w:r>
      <w:r>
        <w:rPr>
          <w:rFonts w:hint="eastAsia" w:ascii="仿宋" w:hAnsi="仿宋" w:eastAsia="仿宋" w:cs="仿宋"/>
          <w:b w:val="0"/>
          <w:bCs/>
          <w:snapToGrid w:val="0"/>
          <w:color w:val="auto"/>
          <w:spacing w:val="6"/>
          <w:kern w:val="0"/>
          <w:sz w:val="24"/>
          <w:szCs w:val="24"/>
          <w:highlight w:val="none"/>
          <w:lang w:eastAsia="zh-CN"/>
        </w:rPr>
        <w:t>，</w:t>
      </w:r>
      <w:r>
        <w:rPr>
          <w:rFonts w:hint="eastAsia" w:ascii="仿宋" w:hAnsi="仿宋" w:eastAsia="仿宋" w:cs="仿宋"/>
          <w:b w:val="0"/>
          <w:bCs/>
          <w:snapToGrid w:val="0"/>
          <w:color w:val="auto"/>
          <w:spacing w:val="6"/>
          <w:kern w:val="0"/>
          <w:sz w:val="24"/>
          <w:szCs w:val="24"/>
          <w:highlight w:val="none"/>
        </w:rPr>
        <w:t>优先支持清洁能源、节能减排等绿色环保类企业，限制对“两高一剩”或环保不达标企业的信贷投放。</w:t>
      </w:r>
    </w:p>
    <w:p w14:paraId="6467D678">
      <w:pPr>
        <w:widowControl/>
        <w:kinsoku w:val="0"/>
        <w:autoSpaceDE w:val="0"/>
        <w:autoSpaceDN w:val="0"/>
        <w:adjustRightInd w:val="0"/>
        <w:snapToGrid w:val="0"/>
        <w:spacing w:before="217" w:beforeLines="50" w:line="240" w:lineRule="auto"/>
        <w:ind w:firstLine="513"/>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color w:val="auto"/>
          <w:spacing w:val="6"/>
          <w:kern w:val="0"/>
          <w:sz w:val="24"/>
          <w:szCs w:val="24"/>
          <w:highlight w:val="none"/>
          <w:lang w:val="en-US" w:eastAsia="zh-CN"/>
        </w:rPr>
        <w:t>（3）强化绿色金融信息披露和碳核算和碳核算水平。设立了绿色金融业务的定期信息披露机制，对员工开展绿色金融专项培训，提高在项目评估中的碳核算能力及服务水平，为整体经济的绿色低碳转型提供了有力支持</w:t>
      </w:r>
      <w:r>
        <w:rPr>
          <w:rFonts w:hint="eastAsia" w:ascii="仿宋" w:hAnsi="仿宋" w:eastAsia="仿宋" w:cs="仿宋"/>
          <w:b w:val="0"/>
          <w:bCs/>
          <w:snapToGrid w:val="0"/>
          <w:spacing w:val="6"/>
          <w:kern w:val="0"/>
          <w:sz w:val="24"/>
          <w:szCs w:val="24"/>
        </w:rPr>
        <w:t>。</w:t>
      </w:r>
    </w:p>
    <w:p w14:paraId="4660081D">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b w:val="0"/>
          <w:bCs/>
        </w:rPr>
      </w:pPr>
    </w:p>
    <w:p w14:paraId="7CF3F98D">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37" w:name="_Toc30771"/>
      <w:r>
        <w:rPr>
          <w:rFonts w:hint="eastAsia" w:ascii="黑体" w:hAnsi="黑体" w:eastAsia="黑体" w:cs="黑体"/>
          <w:b w:val="0"/>
          <w:bCs/>
          <w:color w:val="000000" w:themeColor="text1"/>
          <w:sz w:val="28"/>
          <w:szCs w:val="28"/>
          <w14:textFill>
            <w14:solidFill>
              <w14:schemeClr w14:val="tx1"/>
            </w14:solidFill>
          </w14:textFill>
        </w:rPr>
        <w:t>4.2 国内政策</w:t>
      </w:r>
      <w:bookmarkEnd w:id="37"/>
    </w:p>
    <w:p w14:paraId="684DFCA5">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38" w:name="_Toc20384"/>
      <w:r>
        <w:rPr>
          <w:rFonts w:hint="eastAsia" w:ascii="黑体" w:hAnsi="黑体" w:eastAsia="黑体" w:cs="黑体"/>
          <w:b w:val="0"/>
          <w:bCs/>
          <w:color w:val="000000" w:themeColor="text1"/>
          <w:sz w:val="24"/>
          <w:szCs w:val="24"/>
          <w14:textFill>
            <w14:solidFill>
              <w14:schemeClr w14:val="tx1"/>
            </w14:solidFill>
          </w14:textFill>
        </w:rPr>
        <w:t>4.2.1 国家相关政策法规和标准</w:t>
      </w:r>
      <w:bookmarkEnd w:id="38"/>
    </w:p>
    <w:p w14:paraId="22737AC1">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b w:val="0"/>
          <w:bCs/>
          <w:snapToGrid w:val="0"/>
          <w:spacing w:val="6"/>
          <w:kern w:val="0"/>
          <w:sz w:val="24"/>
          <w:szCs w:val="24"/>
        </w:rPr>
      </w:pPr>
      <w:r>
        <w:rPr>
          <w:rFonts w:hint="eastAsia" w:ascii="仿宋" w:hAnsi="仿宋" w:eastAsia="仿宋" w:cs="仿宋"/>
          <w:b w:val="0"/>
          <w:bCs/>
          <w:snapToGrid w:val="0"/>
          <w:spacing w:val="6"/>
          <w:kern w:val="0"/>
          <w:sz w:val="24"/>
          <w:szCs w:val="24"/>
        </w:rPr>
        <w:t>本行紧密关注并遵循国家关于绿色金融、环境保护及可持续发展等相关政策法规和标准，以确保业务运营合规并积极响应国家政策导向。</w:t>
      </w:r>
    </w:p>
    <w:p w14:paraId="6A055A02">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 xml:space="preserve">1）绿色金融政策：本行积极响应国家关于绿色金融的政策号召，制定并实施了《绿色信贷管理办法》，并在《信贷管理工作意见》中明确要求助力绿色经济发展，结合当地实际，大力支持绿色农业、绿色乡村、节能减排、清洁能源、绿色交通、绿色建筑等领域发展。 </w:t>
      </w:r>
    </w:p>
    <w:p w14:paraId="57C3B915">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2）环境政策标准：本行严格遵守国家环境保护法律法规，加强环境风险评估与管理，确保业务运营不对环境造成负面影响。同时，积极推动绿色办公和节能减排措施，提升自身的环保意识和可持续发展能力。</w:t>
      </w:r>
    </w:p>
    <w:p w14:paraId="3D1CF71C">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3）可持续发展标准：本行积极采纳国际和国内的可持续发展标准，如赤道原则等，将可持续发展理念融入业务运营和决策过程，推动经济、社会和环境效益的协调发展。</w:t>
      </w:r>
    </w:p>
    <w:p w14:paraId="3FB0CFF6">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39" w:name="_Toc19751"/>
      <w:r>
        <w:rPr>
          <w:rFonts w:hint="eastAsia" w:ascii="黑体" w:hAnsi="黑体" w:eastAsia="黑体" w:cs="黑体"/>
          <w:b w:val="0"/>
          <w:bCs/>
          <w:color w:val="000000" w:themeColor="text1"/>
          <w:sz w:val="24"/>
          <w:szCs w:val="24"/>
          <w14:textFill>
            <w14:solidFill>
              <w14:schemeClr w14:val="tx1"/>
            </w14:solidFill>
          </w14:textFill>
        </w:rPr>
        <w:t>4.2.2 地方相关政策法规和标准</w:t>
      </w:r>
      <w:bookmarkEnd w:id="39"/>
    </w:p>
    <w:p w14:paraId="1768C279">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1）绿色金融标准：本行按照人民银行江苏省分行《关于开展江苏省绿色融资主体认定评价工作的通知》和《江苏省绿色融资主体认定评价标准》开展了最新年度绿色融资企业（项目）认定评价工作。</w:t>
      </w:r>
    </w:p>
    <w:p w14:paraId="32573C47">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2）环境政策标准：本行在金融碳核算和环境信息披露工作中采用的核算原则、统计口径、测算方法均符合《江苏省银行业金融机构环境信息披露指引</w:t>
      </w: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试行</w:t>
      </w: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》（以下简称《指引》）和《关于做好</w:t>
      </w:r>
      <w:r>
        <w:rPr>
          <w:rFonts w:hint="eastAsia" w:ascii="仿宋" w:hAnsi="仿宋" w:eastAsia="仿宋" w:cs="仿宋"/>
          <w:b w:val="0"/>
          <w:bCs/>
          <w:snapToGrid w:val="0"/>
          <w:spacing w:val="6"/>
          <w:kern w:val="0"/>
          <w:sz w:val="24"/>
          <w:szCs w:val="24"/>
          <w:lang w:eastAsia="zh-CN"/>
        </w:rPr>
        <w:t>2024</w:t>
      </w:r>
      <w:r>
        <w:rPr>
          <w:rFonts w:hint="eastAsia" w:ascii="仿宋" w:hAnsi="仿宋" w:eastAsia="仿宋" w:cs="仿宋"/>
          <w:b w:val="0"/>
          <w:bCs/>
          <w:snapToGrid w:val="0"/>
          <w:spacing w:val="6"/>
          <w:kern w:val="0"/>
          <w:sz w:val="24"/>
          <w:szCs w:val="24"/>
        </w:rPr>
        <w:t>年度江苏省银行业金融机构环境信息披露工作的通知》（以下简称《通知》）政策标准。</w:t>
      </w:r>
    </w:p>
    <w:p w14:paraId="4BED1024">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spacing w:val="6"/>
          <w:kern w:val="0"/>
          <w:sz w:val="24"/>
          <w:szCs w:val="24"/>
        </w:rPr>
        <w:t>本行通过建立健全内部管理制度和流程，确保相关政策和法律法规的有效贯彻落实。同时，加强与政府部门、监管机构及行业协会的沟通与合作，及时了解政策动态和监管要求，确保业务运营的合规性和可持续性。</w:t>
      </w:r>
    </w:p>
    <w:p w14:paraId="76A47C98">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b w:val="0"/>
          <w:bCs/>
        </w:rPr>
      </w:pPr>
    </w:p>
    <w:p w14:paraId="5FFDC7F8">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40" w:name="_Toc23704"/>
      <w:r>
        <w:rPr>
          <w:rFonts w:hint="eastAsia" w:ascii="黑体" w:hAnsi="黑体" w:eastAsia="黑体" w:cs="黑体"/>
          <w:b w:val="0"/>
          <w:bCs/>
          <w:color w:val="000000" w:themeColor="text1"/>
          <w:sz w:val="28"/>
          <w:szCs w:val="28"/>
          <w14:textFill>
            <w14:solidFill>
              <w14:schemeClr w14:val="tx1"/>
            </w14:solidFill>
          </w14:textFill>
        </w:rPr>
        <w:t>4.3 国际标准</w:t>
      </w:r>
      <w:bookmarkEnd w:id="40"/>
    </w:p>
    <w:p w14:paraId="56B9BEB9">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41" w:name="_Toc7141"/>
      <w:r>
        <w:rPr>
          <w:rFonts w:hint="eastAsia" w:ascii="黑体" w:hAnsi="黑体" w:eastAsia="黑体" w:cs="黑体"/>
          <w:b w:val="0"/>
          <w:bCs/>
          <w:color w:val="000000" w:themeColor="text1"/>
          <w:sz w:val="24"/>
          <w:szCs w:val="24"/>
          <w14:textFill>
            <w14:solidFill>
              <w14:schemeClr w14:val="tx1"/>
            </w14:solidFill>
          </w14:textFill>
        </w:rPr>
        <w:t>4.3.1 采纳国际公约、框架、倡议</w:t>
      </w:r>
      <w:bookmarkEnd w:id="41"/>
    </w:p>
    <w:p w14:paraId="7E4A3348">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本行在绿色金融领域采纳多项国际公约、框架和倡议：</w:t>
      </w:r>
    </w:p>
    <w:p w14:paraId="2D2B46B2">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1）巴黎协定：本行积极响应全球应对气候变化的行动，通过绿色金融手段支持低碳转型和可持续发展。遵循《巴黎协定》的目标和原则，该协定以遏制全球变暖为核心，旨在将全球气温升幅控制在比工业革命前高2°C以内，这被视为遏制全球气候变暖严重影响的“最低要求”。</w:t>
      </w:r>
    </w:p>
    <w:p w14:paraId="1AAE1D21">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 w:val="0"/>
          <w:bCs/>
          <w:snapToGrid w:val="0"/>
          <w:spacing w:val="6"/>
          <w:kern w:val="0"/>
          <w:sz w:val="24"/>
          <w:szCs w:val="24"/>
        </w:rPr>
      </w:pP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2）碳核算金融联盟（PCAF）：本行金融碳核算遵循PCAF《金融行业温室气体核算和披露全球性标准》中核算和披露的五项基本原则。碳核算金融联盟（PCAF）是一项由金融行业主导的全球性碳核算项目，致力于协调金融机构衡量和披露其投资的温室气体排放量。其目标是推动金融领域的碳排放核算和披露标准化，并协助金融部门与《巴黎气候协议》保持一致。</w:t>
      </w:r>
    </w:p>
    <w:p w14:paraId="76B3CBD0">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3）国际可持续准则理事会（ISSB）：本行环境信息披露报告编制参照国际可持续准则理事会</w:t>
      </w:r>
      <w:r>
        <w:rPr>
          <w:rFonts w:hint="eastAsia" w:ascii="仿宋" w:hAnsi="仿宋" w:eastAsia="仿宋" w:cs="仿宋"/>
          <w:b w:val="0"/>
          <w:bCs/>
          <w:snapToGrid w:val="0"/>
          <w:spacing w:val="6"/>
          <w:kern w:val="0"/>
          <w:sz w:val="24"/>
          <w:szCs w:val="24"/>
          <w:lang w:eastAsia="zh-CN"/>
        </w:rPr>
        <w:t>（</w:t>
      </w:r>
      <w:r>
        <w:rPr>
          <w:rFonts w:hint="eastAsia" w:ascii="仿宋" w:hAnsi="仿宋" w:eastAsia="仿宋" w:cs="仿宋"/>
          <w:b w:val="0"/>
          <w:bCs/>
          <w:snapToGrid w:val="0"/>
          <w:spacing w:val="6"/>
          <w:kern w:val="0"/>
          <w:sz w:val="24"/>
          <w:szCs w:val="24"/>
        </w:rPr>
        <w:t>ISSB）《国际财务报告可持续披露准则第1号——可持续相关财务信息披露一般要求》</w:t>
      </w:r>
      <w:r>
        <w:rPr>
          <w:rFonts w:hint="eastAsia" w:ascii="仿宋" w:hAnsi="仿宋" w:eastAsia="仿宋" w:cs="仿宋"/>
          <w:b w:val="0"/>
          <w:bCs/>
          <w:snapToGrid w:val="0"/>
          <w:spacing w:val="6"/>
          <w:kern w:val="0"/>
          <w:sz w:val="24"/>
          <w:szCs w:val="24"/>
          <w:lang w:eastAsia="zh-CN"/>
        </w:rPr>
        <w:t>《国际财务报告可持续披露准则第2号——气候相关披露》</w:t>
      </w:r>
      <w:r>
        <w:rPr>
          <w:rFonts w:hint="eastAsia" w:ascii="仿宋" w:hAnsi="仿宋" w:eastAsia="仿宋" w:cs="仿宋"/>
          <w:b w:val="0"/>
          <w:bCs/>
          <w:snapToGrid w:val="0"/>
          <w:spacing w:val="6"/>
          <w:kern w:val="0"/>
          <w:sz w:val="24"/>
          <w:szCs w:val="24"/>
        </w:rPr>
        <w:t>，提升气候相关财务信息披露的透明度和规范性，加强气候风险评估和管理，为利益相关方提供更</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为全面和准确的气候相关信息。</w:t>
      </w:r>
    </w:p>
    <w:p w14:paraId="109840DA">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42" w:name="_Toc17424"/>
      <w:r>
        <w:rPr>
          <w:rFonts w:hint="eastAsia" w:ascii="黑体" w:hAnsi="黑体" w:eastAsia="黑体" w:cs="黑体"/>
          <w:b w:val="0"/>
          <w:bCs/>
          <w:color w:val="000000" w:themeColor="text1"/>
          <w:sz w:val="24"/>
          <w:szCs w:val="24"/>
          <w:lang w:val="en-US" w:eastAsia="zh-CN"/>
          <w14:textFill>
            <w14:solidFill>
              <w14:schemeClr w14:val="tx1"/>
            </w14:solidFill>
          </w14:textFill>
        </w:rPr>
        <w:t>4.3.2 加入国际倡议组织（鼓励）:</w:t>
      </w:r>
      <w:bookmarkEnd w:id="42"/>
    </w:p>
    <w:p w14:paraId="11962876">
      <w:pPr>
        <w:ind w:firstLine="640"/>
        <w:rPr>
          <w:rFonts w:ascii="微软雅黑" w:hAnsi="微软雅黑" w:eastAsia="微软雅黑" w:cs="微软雅黑"/>
          <w:b w:val="0"/>
          <w:bCs/>
          <w:color w:val="000000" w:themeColor="text1"/>
          <w:szCs w:val="32"/>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bidi="ar-SA"/>
          <w14:textFill>
            <w14:solidFill>
              <w14:schemeClr w14:val="tx1"/>
            </w14:solidFill>
          </w14:textFill>
        </w:rPr>
        <w:t>本行报告期内暂未加入任何气候投融资相关国际倡议组织。</w:t>
      </w:r>
      <w:r>
        <w:rPr>
          <w:rFonts w:hint="eastAsia" w:ascii="微软雅黑" w:hAnsi="微软雅黑" w:eastAsia="微软雅黑" w:cs="微软雅黑"/>
          <w:b w:val="0"/>
          <w:bCs/>
          <w:color w:val="000000" w:themeColor="text1"/>
          <w:szCs w:val="32"/>
          <w14:textFill>
            <w14:solidFill>
              <w14:schemeClr w14:val="tx1"/>
            </w14:solidFill>
          </w14:textFill>
        </w:rPr>
        <w:br w:type="page"/>
      </w:r>
    </w:p>
    <w:p w14:paraId="548B031E">
      <w:pPr>
        <w:pStyle w:val="19"/>
        <w:keepNext w:val="0"/>
        <w:keepLines w:val="0"/>
        <w:pageBreakBefore w:val="0"/>
        <w:widowControl/>
        <w:numPr>
          <w:ilvl w:val="0"/>
          <w:numId w:val="0"/>
        </w:numPr>
        <w:tabs>
          <w:tab w:val="right" w:leader="dot" w:pos="9897"/>
        </w:tabs>
        <w:kinsoku/>
        <w:wordWrap/>
        <w:overflowPunct/>
        <w:topLinePunct w:val="0"/>
        <w:autoSpaceDE/>
        <w:autoSpaceDN/>
        <w:bidi w:val="0"/>
        <w:adjustRightInd w:val="0"/>
        <w:snapToGrid w:val="0"/>
        <w:spacing w:before="872" w:beforeLines="200" w:after="20" w:line="360" w:lineRule="auto"/>
        <w:ind w:left="0" w:leftChars="0" w:firstLine="0" w:firstLineChars="0"/>
        <w:jc w:val="center"/>
        <w:textAlignment w:val="auto"/>
        <w:outlineLvl w:val="0"/>
        <w:rPr>
          <w:rFonts w:hint="eastAsia" w:ascii="黑体" w:hAnsi="黑体" w:eastAsia="黑体" w:cs="黑体"/>
          <w:b w:val="0"/>
          <w:bCs/>
          <w:color w:val="000000" w:themeColor="text1"/>
          <w:kern w:val="2"/>
          <w:sz w:val="32"/>
          <w:szCs w:val="32"/>
          <w:lang w:val="en-US" w:eastAsia="zh-CN"/>
          <w14:textFill>
            <w14:solidFill>
              <w14:schemeClr w14:val="tx1"/>
            </w14:solidFill>
          </w14:textFill>
        </w:rPr>
      </w:pPr>
      <w:bookmarkStart w:id="43" w:name="_Toc19591"/>
      <w:r>
        <w:rPr>
          <w:rFonts w:hint="eastAsia" w:ascii="黑体" w:hAnsi="黑体" w:eastAsia="黑体" w:cs="黑体"/>
          <w:b w:val="0"/>
          <w:bCs/>
          <w:color w:val="000000" w:themeColor="text1"/>
          <w:kern w:val="2"/>
          <w:sz w:val="32"/>
          <w:szCs w:val="32"/>
          <w:lang w:val="en-US" w:eastAsia="zh-CN"/>
          <w14:textFill>
            <w14:solidFill>
              <w14:schemeClr w14:val="tx1"/>
            </w14:solidFill>
          </w14:textFill>
        </w:rPr>
        <w:t>第五章 环境管理</w:t>
      </w:r>
      <w:bookmarkEnd w:id="43"/>
    </w:p>
    <w:p w14:paraId="5B1E34F2">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44" w:name="_Toc22190"/>
      <w:r>
        <w:rPr>
          <w:rFonts w:hint="eastAsia" w:ascii="黑体" w:hAnsi="黑体" w:eastAsia="黑体" w:cs="黑体"/>
          <w:b w:val="0"/>
          <w:bCs/>
          <w:color w:val="000000" w:themeColor="text1"/>
          <w:sz w:val="28"/>
          <w:szCs w:val="28"/>
          <w14:textFill>
            <w14:solidFill>
              <w14:schemeClr w14:val="tx1"/>
            </w14:solidFill>
          </w14:textFill>
        </w:rPr>
        <w:t>5.1 环境风险、机遇及应对措施</w:t>
      </w:r>
      <w:bookmarkEnd w:id="44"/>
    </w:p>
    <w:p w14:paraId="6D0A2DB6">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45" w:name="_Toc6726"/>
      <w:r>
        <w:rPr>
          <w:rFonts w:hint="eastAsia" w:ascii="黑体" w:hAnsi="黑体" w:eastAsia="黑体" w:cs="黑体"/>
          <w:b w:val="0"/>
          <w:bCs/>
          <w:color w:val="000000" w:themeColor="text1"/>
          <w:sz w:val="24"/>
          <w:szCs w:val="24"/>
          <w14:textFill>
            <w14:solidFill>
              <w14:schemeClr w14:val="tx1"/>
            </w14:solidFill>
          </w14:textFill>
        </w:rPr>
        <w:t>5.1.1环境风险、机遇</w:t>
      </w:r>
      <w:bookmarkEnd w:id="45"/>
    </w:p>
    <w:p w14:paraId="4D9444B6">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1）短期环境风险、机遇：物理风险如极端天气事件导致的资产损失，转型风险如国际供应链中断。本行将通过环境风险量化分析，将企业受环境相关政策、自身环评情况等因素纳入企业内部信用评级变动考量，评估不同情景下信贷资产质量的影响程度。在信贷业务中，加强对客户环保依法合规情况的调查，通过风险预警系统对存在环保问题的客户进行预警提示，并采取有针对性</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地</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控制或缓释措施。实行环保一票否决制，限制准入“两高一剩”或环保不达标的企业，对存量不符合环保标准的客户坚决退出。</w:t>
      </w:r>
    </w:p>
    <w:p w14:paraId="1510119F">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中期环境风险、机遇：物理风险如水资源和食物安全变化带来的经营风险，转型风险如欧盟碳关税征收、碳市场价格大幅波动。本行优先支持节能降碳产业、环境保护产业、资源循环利用产业、清洁能源产业、生态保护修复和利用、基础设施绿色升级、绿色服务等七大绿色产业，同时加大对传统行业节能降碳减排活动的资金支持，快速响应绿色融资主体和转型融资主体的可持续发展融资需求。</w:t>
      </w:r>
    </w:p>
    <w:p w14:paraId="1EC49A9A">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3）长期环境风险、机遇：气候变化导致的海平面上升、持续高温等，影响公司运营和资产价值。本行设定碳中和远景目标，明确绿色金融发展目标、任务和措施，推动绿色金融业务的长期可持续发展。推动本行自身运营的绿色低碳转型，如建设零碳银行网点、绿色数据中心、百分百绿色电力消费等，持续降低本行自身运营的环境影响，提升投融资的环境效益。</w:t>
      </w:r>
    </w:p>
    <w:p w14:paraId="1D888EA0">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46" w:name="_Toc837"/>
      <w:r>
        <w:rPr>
          <w:rFonts w:hint="eastAsia" w:ascii="黑体" w:hAnsi="黑体" w:eastAsia="黑体" w:cs="黑体"/>
          <w:b w:val="0"/>
          <w:bCs/>
          <w:color w:val="000000" w:themeColor="text1"/>
          <w:sz w:val="24"/>
          <w:szCs w:val="24"/>
          <w14:textFill>
            <w14:solidFill>
              <w14:schemeClr w14:val="tx1"/>
            </w14:solidFill>
          </w14:textFill>
        </w:rPr>
        <w:t>5.1.2应对措施和预案：</w:t>
      </w:r>
      <w:bookmarkEnd w:id="46"/>
    </w:p>
    <w:p w14:paraId="6177AF59">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1）完善风险管理体系：本行建立全面的环境风险管理体系，包括风险识别、评估、监控和报告等环节，确保环境风险得到有效控制。</w:t>
      </w:r>
    </w:p>
    <w:p w14:paraId="371B554B">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2）强化内部风险控制：本行通过制定和完善相关内控制度和流程，加强环境风险的内部控制和监督。实施风险敞口管理制度，开展信贷政策指引情况跟踪审计。</w:t>
      </w:r>
    </w:p>
    <w:p w14:paraId="7D4D0DD7">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3）建立应急预案：本行建立专职应急领导小组负责环境风险的应急管理和处置。针对可能发生的重大环境风险事件，制定应急预案和处置程序，确保能够迅速、有效地应对和处置环境风险。</w:t>
      </w:r>
    </w:p>
    <w:p w14:paraId="59FB1D3F">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4）加强沟通与协作：本行加强与地方政府、监管部门、环保组织等利益相关方的沟通与协作，共同应对环境风险挑战。</w:t>
      </w:r>
    </w:p>
    <w:p w14:paraId="6A67FCC8">
      <w:pPr>
        <w:widowControl/>
        <w:kinsoku w:val="0"/>
        <w:autoSpaceDE w:val="0"/>
        <w:autoSpaceDN w:val="0"/>
        <w:adjustRightInd w:val="0"/>
        <w:snapToGrid w:val="0"/>
        <w:spacing w:before="217" w:beforeLines="50" w:line="240" w:lineRule="auto"/>
        <w:ind w:firstLine="513"/>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5）定期演练和培训：本行定期组织环境风险主题培训活动，提升全体员工的环境风险识别意识和防控应对能力。</w:t>
      </w:r>
    </w:p>
    <w:p w14:paraId="0AA8B0C3">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b w:val="0"/>
          <w:bCs/>
        </w:rPr>
      </w:pPr>
    </w:p>
    <w:p w14:paraId="30E197EE">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47" w:name="_Toc24355"/>
      <w:r>
        <w:rPr>
          <w:rFonts w:hint="eastAsia" w:ascii="黑体" w:hAnsi="黑体" w:eastAsia="黑体" w:cs="黑体"/>
          <w:b w:val="0"/>
          <w:bCs/>
          <w:color w:val="000000" w:themeColor="text1"/>
          <w:sz w:val="28"/>
          <w:szCs w:val="28"/>
          <w14:textFill>
            <w14:solidFill>
              <w14:schemeClr w14:val="tx1"/>
            </w14:solidFill>
          </w14:textFill>
        </w:rPr>
        <w:t>5.2 利益相关方环境议题</w:t>
      </w:r>
      <w:bookmarkEnd w:id="47"/>
    </w:p>
    <w:p w14:paraId="5C3C3D74">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48" w:name="_Toc12392"/>
      <w:r>
        <w:rPr>
          <w:rFonts w:hint="eastAsia" w:ascii="黑体" w:hAnsi="黑体" w:eastAsia="黑体" w:cs="黑体"/>
          <w:b w:val="0"/>
          <w:bCs/>
          <w:color w:val="000000" w:themeColor="text1"/>
          <w:sz w:val="24"/>
          <w:szCs w:val="24"/>
          <w14:textFill>
            <w14:solidFill>
              <w14:schemeClr w14:val="tx1"/>
            </w14:solidFill>
          </w14:textFill>
        </w:rPr>
        <w:t>5.2.1识别机制</w:t>
      </w:r>
      <w:bookmarkEnd w:id="48"/>
    </w:p>
    <w:p w14:paraId="128D5046">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1）利益相关方调查：本行通过在线问卷调查、线下座谈会等活动方式收集股东、客户、监管机构、社区、管理层与员工、债权人、合作伙伴等利益相关方的意见和建议，识别其关注的环境相关重大议题。</w:t>
      </w:r>
    </w:p>
    <w:p w14:paraId="6F02189A">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2）市场与环境分析：本行定期分析市场和行业趋势，关注环境政策、法规和标准的变化，以及市场对绿色金融产品和服务的需求变化。</w:t>
      </w:r>
    </w:p>
    <w:p w14:paraId="092284EF">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3）内部审查：本行通过内部审查和主题讨论，结合银行自身的业务特点和环境风险状况，及时识别潜在的环境风险点和市场机遇。</w:t>
      </w:r>
    </w:p>
    <w:p w14:paraId="2FCEE5EC">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49" w:name="_Toc20913"/>
      <w:r>
        <w:rPr>
          <w:rFonts w:hint="eastAsia" w:ascii="黑体" w:hAnsi="黑体" w:eastAsia="黑体" w:cs="黑体"/>
          <w:b w:val="0"/>
          <w:bCs/>
          <w:color w:val="000000" w:themeColor="text1"/>
          <w:sz w:val="24"/>
          <w:szCs w:val="24"/>
          <w14:textFill>
            <w14:solidFill>
              <w14:schemeClr w14:val="tx1"/>
            </w14:solidFill>
          </w14:textFill>
        </w:rPr>
        <w:t>5.2.2评估方法</w:t>
      </w:r>
      <w:bookmarkEnd w:id="49"/>
    </w:p>
    <w:p w14:paraId="61057FA7">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 xml:space="preserve">1）环境影响评估：本行对投融资项目进行全面的环境影响评估，包括直接环境影响和间接环境影响，以及长期和短期的环境影响。  </w:t>
      </w:r>
    </w:p>
    <w:p w14:paraId="7B5664DB">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2）风险与收益分析：本行在投融资决策过程中，进行环境风险与收益的综合分析，确保气候投融资相关决策的科学性和合理性。</w:t>
      </w:r>
    </w:p>
    <w:p w14:paraId="3ECC45F7">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3）优先级排序：本行根据环境议题的重要性和紧迫性，对各项议题进行优先级排序，确保资源得到合理配置。</w:t>
      </w:r>
    </w:p>
    <w:p w14:paraId="4C666456">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50" w:name="_Toc9084"/>
      <w:r>
        <w:rPr>
          <w:rFonts w:hint="eastAsia" w:ascii="黑体" w:hAnsi="黑体" w:eastAsia="黑体" w:cs="黑体"/>
          <w:b w:val="0"/>
          <w:bCs/>
          <w:color w:val="000000" w:themeColor="text1"/>
          <w:sz w:val="24"/>
          <w:szCs w:val="24"/>
          <w14:textFill>
            <w14:solidFill>
              <w14:schemeClr w14:val="tx1"/>
            </w14:solidFill>
          </w14:textFill>
        </w:rPr>
        <w:t>5.2.3管理方针</w:t>
      </w:r>
      <w:bookmarkEnd w:id="50"/>
    </w:p>
    <w:p w14:paraId="0E484E9B">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1）承诺与目标：本行承诺在绿色金融领域持续努力积极应对环境风险挑战，逐步设定明确的绿色发展目标，包括不限于自身经营碳减排目标、投融资碳排放总量和强度控制目标、绿色资产碳减排和环境效益目标等。</w:t>
      </w:r>
    </w:p>
    <w:p w14:paraId="095388A4">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透明与沟通：本行通过环境信息披露报告、ESG报告、年度报告、官方网站等渠道，及时向利益相关方披露环境风险管理情况和转型成效，加强与利益相关方的沟通和信息透明度，回应利益相关方的关切和期望。</w:t>
      </w:r>
    </w:p>
    <w:p w14:paraId="33B5DA40">
      <w:pPr>
        <w:widowControl/>
        <w:kinsoku w:val="0"/>
        <w:autoSpaceDE w:val="0"/>
        <w:autoSpaceDN w:val="0"/>
        <w:adjustRightInd w:val="0"/>
        <w:snapToGrid w:val="0"/>
        <w:spacing w:before="217" w:beforeLines="50" w:line="240" w:lineRule="auto"/>
        <w:ind w:firstLine="513"/>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3）持续改进：建立利益相关方环境议题持续改进机制，不断优化本行环境风险管理流程和改进措施，提升整体环境绩效。与利益相关各方共同推动可持续发展目标的实现。</w:t>
      </w:r>
    </w:p>
    <w:p w14:paraId="641DFBFD">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b w:val="0"/>
          <w:bCs/>
        </w:rPr>
      </w:pPr>
    </w:p>
    <w:p w14:paraId="3C0BE71E">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b w:val="0"/>
          <w:bCs/>
        </w:rPr>
      </w:pPr>
    </w:p>
    <w:p w14:paraId="097AA28D">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51" w:name="_Toc28248"/>
      <w:r>
        <w:rPr>
          <w:rFonts w:hint="eastAsia" w:ascii="黑体" w:hAnsi="黑体" w:eastAsia="黑体" w:cs="黑体"/>
          <w:b w:val="0"/>
          <w:bCs/>
          <w:color w:val="000000" w:themeColor="text1"/>
          <w:sz w:val="28"/>
          <w:szCs w:val="28"/>
          <w14:textFill>
            <w14:solidFill>
              <w14:schemeClr w14:val="tx1"/>
            </w14:solidFill>
          </w14:textFill>
        </w:rPr>
        <w:t>5.3 情景分析与压力测试</w:t>
      </w:r>
      <w:bookmarkEnd w:id="51"/>
    </w:p>
    <w:p w14:paraId="7BAE7A50">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全球的央行与监管机构正在形成一个新的共识，即环境风险（涵盖与环境和气候相关的风险）已经成为金融风险的重大来源之一，环境和气候因素可能会演化为金融机构所面临的金融风险，也可能会对金融稳定构成系统性的威胁。本行在气候风险情景分析与压力测试方面还处于理论研究阶段，以下是本行对气候风险情景分析与压力测试采用的理论模型的提炼：</w:t>
      </w:r>
    </w:p>
    <w:p w14:paraId="3CA54AB2">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52" w:name="_Toc27007"/>
      <w:r>
        <w:rPr>
          <w:rFonts w:hint="eastAsia" w:ascii="黑体" w:hAnsi="黑体" w:eastAsia="黑体" w:cs="黑体"/>
          <w:b w:val="0"/>
          <w:bCs/>
          <w:color w:val="000000" w:themeColor="text1"/>
          <w:sz w:val="24"/>
          <w:szCs w:val="24"/>
          <w14:textFill>
            <w14:solidFill>
              <w14:schemeClr w14:val="tx1"/>
            </w14:solidFill>
          </w14:textFill>
        </w:rPr>
        <w:t>5.3.1 气候风险</w:t>
      </w:r>
      <w:bookmarkEnd w:id="52"/>
    </w:p>
    <w:p w14:paraId="47CB6255">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1）物理风险：源于影响日益增大且频繁发生的高温热浪、洪灾、暴风雪等极端天气事件以及海平面上升和平均气温上升等长期气候变化风险。</w:t>
      </w:r>
    </w:p>
    <w:p w14:paraId="38B6B20B">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转型风险：向低碳经济转型的伴生风险。推动转型进程需要政府出台刺激措施，而许多企业、投资人和借款人或因此面临高额的转型成本。有序高效的转型可能蕴藏巨大发展机遇，但那些投资或从事碳密集型产业的企业则可能面临资产搁浅的风险。i.政策风险</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交易对手政策和立法环境的变化，例如通过碳定价、税收或限额交易等直接成本，或者通过补贴金额变化、推行可再生能源义务等间接成本影响转型；ii.技术风险</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技术可用性和相对成本的变化，例如可再生能源技术和能源储存成本下降以及从页岩油藏、油砂或者深海油田提炼化石燃料的高昂成本。</w:t>
      </w:r>
    </w:p>
    <w:p w14:paraId="677DE399">
      <w:pPr>
        <w:widowControl/>
        <w:kinsoku w:val="0"/>
        <w:autoSpaceDE w:val="0"/>
        <w:autoSpaceDN w:val="0"/>
        <w:adjustRightInd w:val="0"/>
        <w:snapToGrid w:val="0"/>
        <w:spacing w:before="217" w:beforeLines="50" w:line="240" w:lineRule="auto"/>
        <w:ind w:firstLine="0" w:firstLineChars="0"/>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b w:val="0"/>
          <w:bCs/>
        </w:rPr>
        <w:drawing>
          <wp:inline distT="0" distB="0" distL="114300" distR="114300">
            <wp:extent cx="5271770" cy="1967230"/>
            <wp:effectExtent l="0" t="0" r="11430" b="1397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28"/>
                    <a:srcRect t="10592"/>
                    <a:stretch>
                      <a:fillRect/>
                    </a:stretch>
                  </pic:blipFill>
                  <pic:spPr>
                    <a:xfrm>
                      <a:off x="0" y="0"/>
                      <a:ext cx="5271770" cy="1967230"/>
                    </a:xfrm>
                    <a:prstGeom prst="rect">
                      <a:avLst/>
                    </a:prstGeom>
                    <a:noFill/>
                    <a:ln>
                      <a:noFill/>
                    </a:ln>
                  </pic:spPr>
                </pic:pic>
              </a:graphicData>
            </a:graphic>
          </wp:inline>
        </w:drawing>
      </w:r>
    </w:p>
    <w:p w14:paraId="27240F00">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53" w:name="_Toc20361"/>
      <w:r>
        <w:rPr>
          <w:rFonts w:hint="eastAsia" w:ascii="黑体" w:hAnsi="黑体" w:eastAsia="黑体" w:cs="黑体"/>
          <w:b w:val="0"/>
          <w:bCs/>
          <w:color w:val="000000" w:themeColor="text1"/>
          <w:sz w:val="24"/>
          <w:szCs w:val="24"/>
          <w14:textFill>
            <w14:solidFill>
              <w14:schemeClr w14:val="tx1"/>
            </w14:solidFill>
          </w14:textFill>
        </w:rPr>
        <w:t>5.3.2 情景分析</w:t>
      </w:r>
      <w:bookmarkEnd w:id="53"/>
    </w:p>
    <w:p w14:paraId="09365C39">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前瞻性气候风险评估的基础是设计一个或一组情景，且这些情景最能符合关于气候、社会和经济的一些假设，其中的核心假设是全球气温目标或排放路径。央行绿色金融网络（NGFS）发布《金融机构环境风险分析综述》和《案例集》，情景开发方面的新进展是发布了NGFS三大情景：</w:t>
      </w:r>
    </w:p>
    <w:p w14:paraId="69198E4E">
      <w:pPr>
        <w:widowControl/>
        <w:kinsoku w:val="0"/>
        <w:autoSpaceDE w:val="0"/>
        <w:autoSpaceDN w:val="0"/>
        <w:adjustRightInd w:val="0"/>
        <w:snapToGrid w:val="0"/>
        <w:spacing w:before="217"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i.有序转型（气温升幅控制在1.5-2°C）；ii.无序转型（气温升幅控制在1.5-2°C，但其转型风险高于有序转型）；iii.温室世界（仅实施当前政策，气温升幅高于3°C，甚至达不到目前的国家自主贡献目标）。</w:t>
      </w:r>
    </w:p>
    <w:p w14:paraId="39C5CA1B">
      <w:pPr>
        <w:pStyle w:val="2"/>
        <w:ind w:firstLine="0" w:firstLineChars="0"/>
        <w:rPr>
          <w:b w:val="0"/>
          <w:bCs/>
        </w:rPr>
      </w:pPr>
      <w:r>
        <w:rPr>
          <w:b w:val="0"/>
          <w:bCs/>
        </w:rPr>
        <w:drawing>
          <wp:inline distT="0" distB="0" distL="114300" distR="114300">
            <wp:extent cx="5269865" cy="2109470"/>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29"/>
                    <a:srcRect t="10216"/>
                    <a:stretch>
                      <a:fillRect/>
                    </a:stretch>
                  </pic:blipFill>
                  <pic:spPr>
                    <a:xfrm>
                      <a:off x="0" y="0"/>
                      <a:ext cx="5269865" cy="2109470"/>
                    </a:xfrm>
                    <a:prstGeom prst="rect">
                      <a:avLst/>
                    </a:prstGeom>
                    <a:noFill/>
                    <a:ln>
                      <a:noFill/>
                    </a:ln>
                  </pic:spPr>
                </pic:pic>
              </a:graphicData>
            </a:graphic>
          </wp:inline>
        </w:drawing>
      </w:r>
    </w:p>
    <w:p w14:paraId="43B86A13">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54" w:name="_Toc5853"/>
      <w:r>
        <w:rPr>
          <w:rFonts w:hint="eastAsia" w:ascii="黑体" w:hAnsi="黑体" w:eastAsia="黑体" w:cs="黑体"/>
          <w:b w:val="0"/>
          <w:bCs/>
          <w:color w:val="000000" w:themeColor="text1"/>
          <w:sz w:val="24"/>
          <w:szCs w:val="24"/>
          <w14:textFill>
            <w14:solidFill>
              <w14:schemeClr w14:val="tx1"/>
            </w14:solidFill>
          </w14:textFill>
        </w:rPr>
        <w:t>5.3.3 压力测试</w:t>
      </w:r>
      <w:bookmarkEnd w:id="54"/>
    </w:p>
    <w:p w14:paraId="603BEF7F">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正在开展气候风险压力测试研究，拟考察四种物理风险（高低温、台风、干旱、暴雨）分别对应气温、台风、蒸发量、降水量数据，三种转型风险（能源转型、节能降碳、碳贸易），并据此构建指标体系。本行拟在2025年，以气候数据和企业碳排放数据为基础，选择本</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行</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重点</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投放高碳行业</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开展气候风险压力测试。</w:t>
      </w:r>
    </w:p>
    <w:p w14:paraId="1A8D223B">
      <w:pPr>
        <w:widowControl/>
        <w:kinsoku w:val="0"/>
        <w:autoSpaceDE w:val="0"/>
        <w:autoSpaceDN w:val="0"/>
        <w:adjustRightInd w:val="0"/>
        <w:snapToGrid w:val="0"/>
        <w:spacing w:before="217" w:beforeLines="50" w:line="240" w:lineRule="auto"/>
        <w:ind w:left="0" w:leftChars="0" w:firstLine="0" w:firstLineChars="0"/>
        <w:jc w:val="center"/>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br w:type="page"/>
      </w:r>
    </w:p>
    <w:p w14:paraId="7AD384BB">
      <w:pPr>
        <w:pStyle w:val="19"/>
        <w:keepNext w:val="0"/>
        <w:keepLines w:val="0"/>
        <w:pageBreakBefore w:val="0"/>
        <w:widowControl/>
        <w:numPr>
          <w:ilvl w:val="0"/>
          <w:numId w:val="0"/>
        </w:numPr>
        <w:tabs>
          <w:tab w:val="right" w:leader="dot" w:pos="9897"/>
        </w:tabs>
        <w:kinsoku/>
        <w:wordWrap/>
        <w:overflowPunct/>
        <w:topLinePunct w:val="0"/>
        <w:autoSpaceDE/>
        <w:autoSpaceDN/>
        <w:bidi w:val="0"/>
        <w:adjustRightInd w:val="0"/>
        <w:snapToGrid w:val="0"/>
        <w:spacing w:before="872" w:beforeLines="200" w:after="20" w:line="360" w:lineRule="auto"/>
        <w:ind w:left="0" w:leftChars="0" w:firstLine="0" w:firstLineChars="0"/>
        <w:jc w:val="center"/>
        <w:textAlignment w:val="auto"/>
        <w:outlineLvl w:val="0"/>
        <w:rPr>
          <w:rFonts w:hint="eastAsia" w:ascii="黑体" w:hAnsi="黑体" w:eastAsia="黑体" w:cs="黑体"/>
          <w:b w:val="0"/>
          <w:bCs/>
          <w:color w:val="000000" w:themeColor="text1"/>
          <w:kern w:val="2"/>
          <w:sz w:val="32"/>
          <w:szCs w:val="32"/>
          <w:highlight w:val="none"/>
          <w:lang w:val="en-US" w:eastAsia="zh-CN"/>
          <w14:textFill>
            <w14:solidFill>
              <w14:schemeClr w14:val="tx1"/>
            </w14:solidFill>
          </w14:textFill>
        </w:rPr>
      </w:pPr>
      <w:bookmarkStart w:id="55" w:name="_Toc5307"/>
      <w:r>
        <w:rPr>
          <w:rFonts w:hint="eastAsia" w:ascii="黑体" w:hAnsi="黑体" w:eastAsia="黑体" w:cs="黑体"/>
          <w:b w:val="0"/>
          <w:bCs/>
          <w:color w:val="000000" w:themeColor="text1"/>
          <w:kern w:val="2"/>
          <w:sz w:val="32"/>
          <w:szCs w:val="32"/>
          <w:highlight w:val="none"/>
          <w:lang w:val="en-US" w:eastAsia="zh-CN"/>
          <w14:textFill>
            <w14:solidFill>
              <w14:schemeClr w14:val="tx1"/>
            </w14:solidFill>
          </w14:textFill>
        </w:rPr>
        <w:t>第六章 自身经营的环境影响</w:t>
      </w:r>
      <w:bookmarkEnd w:id="55"/>
    </w:p>
    <w:p w14:paraId="659CEAC9">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56" w:name="_Toc7940"/>
      <w:r>
        <w:rPr>
          <w:rFonts w:hint="eastAsia" w:ascii="黑体" w:hAnsi="黑体" w:eastAsia="黑体" w:cs="黑体"/>
          <w:b w:val="0"/>
          <w:bCs/>
          <w:color w:val="000000" w:themeColor="text1"/>
          <w:sz w:val="28"/>
          <w:szCs w:val="28"/>
          <w14:textFill>
            <w14:solidFill>
              <w14:schemeClr w14:val="tx1"/>
            </w14:solidFill>
          </w14:textFill>
        </w:rPr>
        <w:t>6.1 自身经营的能源和资源消耗</w:t>
      </w:r>
      <w:bookmarkEnd w:id="56"/>
    </w:p>
    <w:p w14:paraId="27AD5934">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57" w:name="_Toc13866"/>
      <w:r>
        <w:rPr>
          <w:rFonts w:hint="eastAsia" w:ascii="黑体" w:hAnsi="黑体" w:eastAsia="黑体" w:cs="黑体"/>
          <w:b w:val="0"/>
          <w:bCs/>
          <w:color w:val="000000" w:themeColor="text1"/>
          <w:sz w:val="24"/>
          <w:szCs w:val="24"/>
          <w14:textFill>
            <w14:solidFill>
              <w14:schemeClr w14:val="tx1"/>
            </w14:solidFill>
          </w14:textFill>
        </w:rPr>
        <w:t>6.1.1 直接能源消耗的化石燃料</w:t>
      </w:r>
      <w:bookmarkEnd w:id="57"/>
    </w:p>
    <w:p w14:paraId="4D1A7137">
      <w:pPr>
        <w:widowControl/>
        <w:kinsoku w:val="0"/>
        <w:autoSpaceDE w:val="0"/>
        <w:autoSpaceDN w:val="0"/>
        <w:adjustRightInd w:val="0"/>
        <w:snapToGrid w:val="0"/>
        <w:spacing w:before="217" w:beforeLines="50" w:line="240" w:lineRule="auto"/>
        <w:ind w:firstLine="504"/>
        <w:textAlignment w:val="baseline"/>
        <w:rPr>
          <w:b w:val="0"/>
          <w:bCs/>
          <w:color w:val="000000" w:themeColor="text1"/>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报告年度内本行自身经营的直接能源消耗的化石燃料情况如下：营业办公（含固定源、移动源）汽油消耗</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15 </w:t>
      </w:r>
      <w:r>
        <w:rPr>
          <w:rFonts w:ascii="仿宋" w:hAnsi="仿宋" w:eastAsia="仿宋" w:cs="仿宋"/>
          <w:b w:val="0"/>
          <w:bCs/>
          <w:snapToGrid w:val="0"/>
          <w:color w:val="000000" w:themeColor="text1"/>
          <w:spacing w:val="6"/>
          <w:kern w:val="0"/>
          <w:sz w:val="24"/>
          <w:szCs w:val="24"/>
          <w14:textFill>
            <w14:solidFill>
              <w14:schemeClr w14:val="tx1"/>
            </w14:solidFill>
          </w14:textFill>
        </w:rPr>
        <w:t>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（吨）。</w:t>
      </w:r>
    </w:p>
    <w:p w14:paraId="3ACF3C7C">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58" w:name="_Toc18850"/>
      <w:r>
        <w:rPr>
          <w:rFonts w:hint="eastAsia" w:ascii="黑体" w:hAnsi="黑体" w:eastAsia="黑体" w:cs="黑体"/>
          <w:b w:val="0"/>
          <w:bCs/>
          <w:color w:val="000000" w:themeColor="text1"/>
          <w:sz w:val="24"/>
          <w:szCs w:val="24"/>
          <w14:textFill>
            <w14:solidFill>
              <w14:schemeClr w14:val="tx1"/>
            </w14:solidFill>
          </w14:textFill>
        </w:rPr>
        <w:t>6.1.2 间接能源消耗的电力、热力</w:t>
      </w:r>
      <w:bookmarkEnd w:id="58"/>
    </w:p>
    <w:p w14:paraId="2EF116BB">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报告年度内本行自身经营的间接能源消耗的电力、热力情况如下：营业办公消耗的外部输入电力</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1700 </w:t>
      </w:r>
      <w:r>
        <w:rPr>
          <w:rFonts w:ascii="仿宋" w:hAnsi="仿宋" w:eastAsia="仿宋" w:cs="仿宋"/>
          <w:b w:val="0"/>
          <w:bCs/>
          <w:color w:val="000000" w:themeColor="text1"/>
          <w:spacing w:val="6"/>
          <w:sz w:val="24"/>
          <w14:textFill>
            <w14:solidFill>
              <w14:schemeClr w14:val="tx1"/>
            </w14:solidFill>
          </w14:textFill>
        </w:rPr>
        <w:t>MWh</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（兆瓦时）。</w:t>
      </w:r>
    </w:p>
    <w:p w14:paraId="5DF0E943">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59" w:name="_Toc21422"/>
      <w:r>
        <w:rPr>
          <w:rFonts w:hint="eastAsia" w:ascii="黑体" w:hAnsi="黑体" w:eastAsia="黑体" w:cs="黑体"/>
          <w:b w:val="0"/>
          <w:bCs/>
          <w:color w:val="000000" w:themeColor="text1"/>
          <w:sz w:val="24"/>
          <w:szCs w:val="24"/>
          <w14:textFill>
            <w14:solidFill>
              <w14:schemeClr w14:val="tx1"/>
            </w14:solidFill>
          </w14:textFill>
        </w:rPr>
        <w:t>6.1.3 价值链消耗的能源和资源</w:t>
      </w:r>
      <w:bookmarkEnd w:id="59"/>
    </w:p>
    <w:p w14:paraId="45684C7B">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报告年度内本行自身经营的价值链碳排放（范围三（不含投资））如下表6-1。</w:t>
      </w:r>
    </w:p>
    <w:p w14:paraId="1E926C05">
      <w:pPr>
        <w:widowControl/>
        <w:kinsoku w:val="0"/>
        <w:autoSpaceDE w:val="0"/>
        <w:autoSpaceDN w:val="0"/>
        <w:adjustRightInd w:val="0"/>
        <w:snapToGrid w:val="0"/>
        <w:spacing w:before="217" w:beforeLines="50" w:line="240" w:lineRule="auto"/>
        <w:ind w:firstLine="0" w:firstLineChars="0"/>
        <w:jc w:val="center"/>
        <w:textAlignment w:val="baseline"/>
        <w:rPr>
          <w:rFonts w:hint="eastAsia"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6-1 自身经营价值链碳排放（范围3）</w:t>
      </w:r>
    </w:p>
    <w:tbl>
      <w:tblPr>
        <w:tblStyle w:val="22"/>
        <w:tblW w:w="8364" w:type="dxa"/>
        <w:tblInd w:w="-5" w:type="dxa"/>
        <w:tblLayout w:type="autofit"/>
        <w:tblCellMar>
          <w:top w:w="0" w:type="dxa"/>
          <w:left w:w="108" w:type="dxa"/>
          <w:bottom w:w="0" w:type="dxa"/>
          <w:right w:w="108" w:type="dxa"/>
        </w:tblCellMar>
      </w:tblPr>
      <w:tblGrid>
        <w:gridCol w:w="1245"/>
        <w:gridCol w:w="1307"/>
        <w:gridCol w:w="1417"/>
        <w:gridCol w:w="1276"/>
        <w:gridCol w:w="1701"/>
        <w:gridCol w:w="1418"/>
      </w:tblGrid>
      <w:tr w14:paraId="2AABFF41">
        <w:tblPrEx>
          <w:tblCellMar>
            <w:top w:w="0" w:type="dxa"/>
            <w:left w:w="108" w:type="dxa"/>
            <w:bottom w:w="0" w:type="dxa"/>
            <w:right w:w="108" w:type="dxa"/>
          </w:tblCellMar>
        </w:tblPrEx>
        <w:trPr>
          <w:trHeight w:val="270" w:hRule="atLeast"/>
          <w:tblHeader/>
        </w:trPr>
        <w:tc>
          <w:tcPr>
            <w:tcW w:w="25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5F2C87B">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按范围分</w:t>
            </w:r>
          </w:p>
        </w:tc>
        <w:tc>
          <w:tcPr>
            <w:tcW w:w="2693" w:type="dxa"/>
            <w:gridSpan w:val="2"/>
            <w:tcBorders>
              <w:top w:val="single" w:color="auto" w:sz="4" w:space="0"/>
              <w:left w:val="nil"/>
              <w:bottom w:val="single" w:color="auto" w:sz="4" w:space="0"/>
              <w:right w:val="single" w:color="auto" w:sz="4" w:space="0"/>
            </w:tcBorders>
            <w:shd w:val="clear" w:color="auto" w:fill="auto"/>
            <w:vAlign w:val="center"/>
          </w:tcPr>
          <w:p w14:paraId="07E25567">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能源资源及地区分</w:t>
            </w:r>
          </w:p>
        </w:tc>
        <w:tc>
          <w:tcPr>
            <w:tcW w:w="1701" w:type="dxa"/>
            <w:tcBorders>
              <w:top w:val="single" w:color="auto" w:sz="4" w:space="0"/>
              <w:left w:val="nil"/>
              <w:bottom w:val="single" w:color="auto" w:sz="4" w:space="0"/>
              <w:right w:val="single" w:color="auto" w:sz="4" w:space="0"/>
            </w:tcBorders>
            <w:shd w:val="clear" w:color="auto" w:fill="auto"/>
            <w:vAlign w:val="center"/>
          </w:tcPr>
          <w:p w14:paraId="1892D64A">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活动水平</w:t>
            </w:r>
          </w:p>
        </w:tc>
        <w:tc>
          <w:tcPr>
            <w:tcW w:w="1418" w:type="dxa"/>
            <w:tcBorders>
              <w:top w:val="single" w:color="auto" w:sz="4" w:space="0"/>
              <w:left w:val="nil"/>
              <w:bottom w:val="single" w:color="auto" w:sz="4" w:space="0"/>
              <w:right w:val="single" w:color="auto" w:sz="4" w:space="0"/>
            </w:tcBorders>
            <w:shd w:val="clear" w:color="auto" w:fill="auto"/>
            <w:vAlign w:val="center"/>
          </w:tcPr>
          <w:p w14:paraId="2C733271">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单位</w:t>
            </w:r>
          </w:p>
        </w:tc>
      </w:tr>
      <w:tr w14:paraId="5D8437F6">
        <w:tblPrEx>
          <w:tblCellMar>
            <w:top w:w="0" w:type="dxa"/>
            <w:left w:w="108" w:type="dxa"/>
            <w:bottom w:w="0" w:type="dxa"/>
            <w:right w:w="108" w:type="dxa"/>
          </w:tblCellMar>
        </w:tblPrEx>
        <w:trPr>
          <w:trHeight w:val="270" w:hRule="atLeast"/>
        </w:trPr>
        <w:tc>
          <w:tcPr>
            <w:tcW w:w="1245" w:type="dxa"/>
            <w:vMerge w:val="restart"/>
            <w:tcBorders>
              <w:top w:val="nil"/>
              <w:left w:val="single" w:color="auto" w:sz="4" w:space="0"/>
              <w:bottom w:val="single" w:color="auto" w:sz="4" w:space="0"/>
              <w:right w:val="single" w:color="auto" w:sz="4" w:space="0"/>
            </w:tcBorders>
            <w:shd w:val="clear" w:color="auto" w:fill="auto"/>
            <w:vAlign w:val="center"/>
          </w:tcPr>
          <w:p w14:paraId="6F0D6A36">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价值链碳排放量（范围三（不含投资））</w:t>
            </w:r>
          </w:p>
        </w:tc>
        <w:tc>
          <w:tcPr>
            <w:tcW w:w="1307" w:type="dxa"/>
            <w:vMerge w:val="restart"/>
            <w:tcBorders>
              <w:top w:val="nil"/>
              <w:left w:val="single" w:color="auto" w:sz="4" w:space="0"/>
              <w:bottom w:val="single" w:color="auto" w:sz="4" w:space="0"/>
              <w:right w:val="single" w:color="auto" w:sz="4" w:space="0"/>
            </w:tcBorders>
            <w:shd w:val="clear" w:color="auto" w:fill="auto"/>
            <w:vAlign w:val="center"/>
          </w:tcPr>
          <w:p w14:paraId="4600F00A">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购买商品与服务</w:t>
            </w:r>
          </w:p>
        </w:tc>
        <w:tc>
          <w:tcPr>
            <w:tcW w:w="2693" w:type="dxa"/>
            <w:gridSpan w:val="2"/>
            <w:tcBorders>
              <w:top w:val="single" w:color="auto" w:sz="4" w:space="0"/>
              <w:left w:val="nil"/>
              <w:bottom w:val="single" w:color="auto" w:sz="4" w:space="0"/>
              <w:right w:val="single" w:color="auto" w:sz="4" w:space="0"/>
            </w:tcBorders>
            <w:shd w:val="clear" w:color="auto" w:fill="auto"/>
            <w:vAlign w:val="center"/>
          </w:tcPr>
          <w:p w14:paraId="7CA910D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水</w:t>
            </w:r>
          </w:p>
        </w:tc>
        <w:tc>
          <w:tcPr>
            <w:tcW w:w="1701" w:type="dxa"/>
            <w:tcBorders>
              <w:top w:val="nil"/>
              <w:left w:val="nil"/>
              <w:bottom w:val="single" w:color="auto" w:sz="4" w:space="0"/>
              <w:right w:val="single" w:color="auto" w:sz="4" w:space="0"/>
            </w:tcBorders>
            <w:shd w:val="clear" w:color="auto" w:fill="auto"/>
            <w:vAlign w:val="center"/>
          </w:tcPr>
          <w:p w14:paraId="71D37480">
            <w:pPr>
              <w:widowControl/>
              <w:spacing w:line="240" w:lineRule="auto"/>
              <w:ind w:firstLine="0" w:firstLineChars="0"/>
              <w:jc w:val="center"/>
              <w:rPr>
                <w:rFonts w:hint="default" w:ascii="宋体" w:hAnsi="宋体" w:eastAsia="宋体"/>
                <w:b w:val="0"/>
                <w:bCs/>
                <w:color w:val="000000" w:themeColor="text1"/>
                <w:kern w:val="0"/>
                <w:sz w:val="18"/>
                <w:szCs w:val="18"/>
                <w:lang w:val="en-US" w:eastAsia="zh-CN"/>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150000.00000</w:t>
            </w:r>
          </w:p>
        </w:tc>
        <w:tc>
          <w:tcPr>
            <w:tcW w:w="1418" w:type="dxa"/>
            <w:tcBorders>
              <w:top w:val="nil"/>
              <w:left w:val="nil"/>
              <w:bottom w:val="single" w:color="auto" w:sz="4" w:space="0"/>
              <w:right w:val="single" w:color="auto" w:sz="4" w:space="0"/>
            </w:tcBorders>
            <w:shd w:val="clear" w:color="auto" w:fill="auto"/>
            <w:vAlign w:val="center"/>
          </w:tcPr>
          <w:p w14:paraId="6BC16AB7">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吨</w:t>
            </w:r>
          </w:p>
        </w:tc>
      </w:tr>
      <w:tr w14:paraId="2B16FB93">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227AFBFB">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continue"/>
            <w:tcBorders>
              <w:top w:val="nil"/>
              <w:left w:val="single" w:color="auto" w:sz="4" w:space="0"/>
              <w:bottom w:val="single" w:color="auto" w:sz="4" w:space="0"/>
              <w:right w:val="single" w:color="auto" w:sz="4" w:space="0"/>
            </w:tcBorders>
            <w:vAlign w:val="center"/>
          </w:tcPr>
          <w:p w14:paraId="63E5B1AD">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269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924E88A">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纸张（普通A4打印纸）</w:t>
            </w:r>
          </w:p>
        </w:tc>
        <w:tc>
          <w:tcPr>
            <w:tcW w:w="1701" w:type="dxa"/>
            <w:tcBorders>
              <w:top w:val="nil"/>
              <w:left w:val="nil"/>
              <w:bottom w:val="single" w:color="auto" w:sz="4" w:space="0"/>
              <w:right w:val="single" w:color="auto" w:sz="4" w:space="0"/>
            </w:tcBorders>
            <w:shd w:val="clear" w:color="auto" w:fill="auto"/>
            <w:vAlign w:val="center"/>
          </w:tcPr>
          <w:p w14:paraId="3666D8E1">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200.00000</w:t>
            </w:r>
          </w:p>
        </w:tc>
        <w:tc>
          <w:tcPr>
            <w:tcW w:w="1418" w:type="dxa"/>
            <w:tcBorders>
              <w:top w:val="nil"/>
              <w:left w:val="nil"/>
              <w:bottom w:val="single" w:color="auto" w:sz="4" w:space="0"/>
              <w:right w:val="single" w:color="auto" w:sz="4" w:space="0"/>
            </w:tcBorders>
            <w:shd w:val="clear" w:color="auto" w:fill="auto"/>
            <w:vAlign w:val="center"/>
          </w:tcPr>
          <w:p w14:paraId="69D9B607">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万张</w:t>
            </w:r>
          </w:p>
        </w:tc>
      </w:tr>
      <w:tr w14:paraId="552A5387">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7577EDE6">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continue"/>
            <w:tcBorders>
              <w:top w:val="nil"/>
              <w:left w:val="single" w:color="auto" w:sz="4" w:space="0"/>
              <w:bottom w:val="single" w:color="auto" w:sz="4" w:space="0"/>
              <w:right w:val="single" w:color="auto" w:sz="4" w:space="0"/>
            </w:tcBorders>
            <w:vAlign w:val="center"/>
          </w:tcPr>
          <w:p w14:paraId="3F7E6187">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417" w:type="dxa"/>
            <w:tcBorders>
              <w:top w:val="nil"/>
              <w:left w:val="single" w:color="auto" w:sz="4" w:space="0"/>
              <w:bottom w:val="single" w:color="auto" w:sz="4" w:space="0"/>
              <w:right w:val="single" w:color="auto" w:sz="4" w:space="0"/>
            </w:tcBorders>
            <w:shd w:val="clear" w:color="auto" w:fill="auto"/>
            <w:vAlign w:val="center"/>
          </w:tcPr>
          <w:p w14:paraId="5AE20256">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员工食堂就餐</w:t>
            </w:r>
          </w:p>
        </w:tc>
        <w:tc>
          <w:tcPr>
            <w:tcW w:w="1276" w:type="dxa"/>
            <w:tcBorders>
              <w:top w:val="nil"/>
              <w:left w:val="nil"/>
              <w:bottom w:val="single" w:color="auto" w:sz="4" w:space="0"/>
              <w:right w:val="single" w:color="auto" w:sz="4" w:space="0"/>
            </w:tcBorders>
            <w:shd w:val="clear" w:color="auto" w:fill="auto"/>
            <w:vAlign w:val="center"/>
          </w:tcPr>
          <w:p w14:paraId="1ACD786D">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人数</w:t>
            </w:r>
            <w:r>
              <w:rPr>
                <w:rFonts w:ascii="宋体" w:hAnsi="宋体" w:eastAsia="宋体"/>
                <w:b w:val="0"/>
                <w:bCs/>
                <w:color w:val="000000" w:themeColor="text1"/>
                <w:kern w:val="0"/>
                <w:sz w:val="18"/>
                <w:szCs w:val="18"/>
                <w14:textFill>
                  <w14:solidFill>
                    <w14:schemeClr w14:val="tx1"/>
                  </w14:solidFill>
                </w14:textFill>
              </w:rPr>
              <w:t>(</w:t>
            </w:r>
            <w:r>
              <w:rPr>
                <w:rFonts w:hint="eastAsia" w:ascii="宋体" w:hAnsi="宋体" w:eastAsia="宋体"/>
                <w:b w:val="0"/>
                <w:bCs/>
                <w:color w:val="000000" w:themeColor="text1"/>
                <w:kern w:val="0"/>
                <w:sz w:val="18"/>
                <w:szCs w:val="18"/>
                <w14:textFill>
                  <w14:solidFill>
                    <w14:schemeClr w14:val="tx1"/>
                  </w14:solidFill>
                </w14:textFill>
              </w:rPr>
              <w:t>人均法</w:t>
            </w:r>
            <w:r>
              <w:rPr>
                <w:rFonts w:ascii="宋体" w:hAnsi="宋体" w:eastAsia="宋体"/>
                <w:b w:val="0"/>
                <w:bCs/>
                <w:color w:val="000000" w:themeColor="text1"/>
                <w:kern w:val="0"/>
                <w:sz w:val="18"/>
                <w:szCs w:val="18"/>
                <w14:textFill>
                  <w14:solidFill>
                    <w14:schemeClr w14:val="tx1"/>
                  </w14:solidFill>
                </w14:textFill>
              </w:rPr>
              <w:t>)</w:t>
            </w:r>
          </w:p>
        </w:tc>
        <w:tc>
          <w:tcPr>
            <w:tcW w:w="1701" w:type="dxa"/>
            <w:tcBorders>
              <w:top w:val="nil"/>
              <w:left w:val="nil"/>
              <w:bottom w:val="single" w:color="auto" w:sz="4" w:space="0"/>
              <w:right w:val="single" w:color="auto" w:sz="4" w:space="0"/>
            </w:tcBorders>
            <w:shd w:val="clear" w:color="auto" w:fill="auto"/>
            <w:vAlign w:val="center"/>
          </w:tcPr>
          <w:p w14:paraId="1F7E60A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80.00000</w:t>
            </w:r>
          </w:p>
        </w:tc>
        <w:tc>
          <w:tcPr>
            <w:tcW w:w="1418" w:type="dxa"/>
            <w:tcBorders>
              <w:top w:val="nil"/>
              <w:left w:val="nil"/>
              <w:bottom w:val="single" w:color="auto" w:sz="4" w:space="0"/>
              <w:right w:val="single" w:color="auto" w:sz="4" w:space="0"/>
            </w:tcBorders>
            <w:shd w:val="clear" w:color="auto" w:fill="auto"/>
            <w:vAlign w:val="center"/>
          </w:tcPr>
          <w:p w14:paraId="1E4DB425">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人·年</w:t>
            </w:r>
          </w:p>
        </w:tc>
      </w:tr>
      <w:tr w14:paraId="0DDE928E">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32197FEA">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restart"/>
            <w:tcBorders>
              <w:top w:val="nil"/>
              <w:left w:val="single" w:color="auto" w:sz="4" w:space="0"/>
              <w:bottom w:val="nil"/>
              <w:right w:val="single" w:color="auto" w:sz="4" w:space="0"/>
            </w:tcBorders>
            <w:shd w:val="clear" w:color="auto" w:fill="auto"/>
            <w:noWrap/>
            <w:vAlign w:val="center"/>
          </w:tcPr>
          <w:p w14:paraId="0D4E5DB0">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上游运输和配送</w:t>
            </w:r>
          </w:p>
        </w:tc>
        <w:tc>
          <w:tcPr>
            <w:tcW w:w="1417" w:type="dxa"/>
            <w:vMerge w:val="restart"/>
            <w:tcBorders>
              <w:top w:val="nil"/>
              <w:left w:val="single" w:color="auto" w:sz="4" w:space="0"/>
              <w:bottom w:val="single" w:color="000000" w:sz="4" w:space="0"/>
              <w:right w:val="single" w:color="auto" w:sz="4" w:space="0"/>
            </w:tcBorders>
            <w:shd w:val="clear" w:color="auto" w:fill="auto"/>
            <w:vAlign w:val="center"/>
          </w:tcPr>
          <w:p w14:paraId="39895D78">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外包班车</w:t>
            </w:r>
          </w:p>
        </w:tc>
        <w:tc>
          <w:tcPr>
            <w:tcW w:w="1276" w:type="dxa"/>
            <w:tcBorders>
              <w:top w:val="nil"/>
              <w:left w:val="nil"/>
              <w:bottom w:val="single" w:color="auto" w:sz="4" w:space="0"/>
              <w:right w:val="single" w:color="auto" w:sz="4" w:space="0"/>
            </w:tcBorders>
            <w:shd w:val="clear" w:color="auto" w:fill="auto"/>
            <w:vAlign w:val="center"/>
          </w:tcPr>
          <w:p w14:paraId="78E69D71">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汽油小客车</w:t>
            </w:r>
          </w:p>
        </w:tc>
        <w:tc>
          <w:tcPr>
            <w:tcW w:w="1701" w:type="dxa"/>
            <w:tcBorders>
              <w:top w:val="nil"/>
              <w:left w:val="nil"/>
              <w:bottom w:val="single" w:color="auto" w:sz="4" w:space="0"/>
              <w:right w:val="single" w:color="auto" w:sz="4" w:space="0"/>
            </w:tcBorders>
            <w:shd w:val="clear" w:color="auto" w:fill="auto"/>
            <w:vAlign w:val="center"/>
          </w:tcPr>
          <w:p w14:paraId="1710EBD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0.00000</w:t>
            </w:r>
          </w:p>
        </w:tc>
        <w:tc>
          <w:tcPr>
            <w:tcW w:w="1418" w:type="dxa"/>
            <w:tcBorders>
              <w:top w:val="nil"/>
              <w:left w:val="nil"/>
              <w:bottom w:val="single" w:color="auto" w:sz="4" w:space="0"/>
              <w:right w:val="single" w:color="auto" w:sz="4" w:space="0"/>
            </w:tcBorders>
            <w:shd w:val="clear" w:color="auto" w:fill="auto"/>
            <w:vAlign w:val="center"/>
          </w:tcPr>
          <w:p w14:paraId="6814B7C4">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人·千米</w:t>
            </w:r>
          </w:p>
        </w:tc>
      </w:tr>
      <w:tr w14:paraId="674F9D2D">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51A6D825">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continue"/>
            <w:tcBorders>
              <w:top w:val="nil"/>
              <w:left w:val="single" w:color="auto" w:sz="4" w:space="0"/>
              <w:bottom w:val="nil"/>
              <w:right w:val="single" w:color="auto" w:sz="4" w:space="0"/>
            </w:tcBorders>
            <w:vAlign w:val="center"/>
          </w:tcPr>
          <w:p w14:paraId="0CD3A3DB">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417" w:type="dxa"/>
            <w:vMerge w:val="continue"/>
            <w:tcBorders>
              <w:top w:val="nil"/>
              <w:left w:val="single" w:color="auto" w:sz="4" w:space="0"/>
              <w:bottom w:val="single" w:color="000000" w:sz="4" w:space="0"/>
              <w:right w:val="single" w:color="auto" w:sz="4" w:space="0"/>
            </w:tcBorders>
            <w:vAlign w:val="center"/>
          </w:tcPr>
          <w:p w14:paraId="101591DC">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276" w:type="dxa"/>
            <w:tcBorders>
              <w:top w:val="nil"/>
              <w:left w:val="nil"/>
              <w:bottom w:val="single" w:color="auto" w:sz="4" w:space="0"/>
              <w:right w:val="single" w:color="auto" w:sz="4" w:space="0"/>
            </w:tcBorders>
            <w:shd w:val="clear" w:color="auto" w:fill="auto"/>
            <w:vAlign w:val="center"/>
          </w:tcPr>
          <w:p w14:paraId="6C4208C7">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柴油小客车</w:t>
            </w:r>
          </w:p>
        </w:tc>
        <w:tc>
          <w:tcPr>
            <w:tcW w:w="1701" w:type="dxa"/>
            <w:tcBorders>
              <w:top w:val="nil"/>
              <w:left w:val="nil"/>
              <w:bottom w:val="single" w:color="auto" w:sz="4" w:space="0"/>
              <w:right w:val="single" w:color="auto" w:sz="4" w:space="0"/>
            </w:tcBorders>
            <w:shd w:val="clear" w:color="auto" w:fill="auto"/>
            <w:vAlign w:val="center"/>
          </w:tcPr>
          <w:p w14:paraId="7FB9C63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0.00000</w:t>
            </w:r>
          </w:p>
        </w:tc>
        <w:tc>
          <w:tcPr>
            <w:tcW w:w="1418" w:type="dxa"/>
            <w:tcBorders>
              <w:top w:val="nil"/>
              <w:left w:val="nil"/>
              <w:bottom w:val="single" w:color="auto" w:sz="4" w:space="0"/>
              <w:right w:val="single" w:color="auto" w:sz="4" w:space="0"/>
            </w:tcBorders>
            <w:shd w:val="clear" w:color="auto" w:fill="auto"/>
            <w:vAlign w:val="center"/>
          </w:tcPr>
          <w:p w14:paraId="374DF8AA">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人·千米</w:t>
            </w:r>
          </w:p>
        </w:tc>
      </w:tr>
      <w:tr w14:paraId="6A0EEBB2">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7C516119">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continue"/>
            <w:tcBorders>
              <w:top w:val="nil"/>
              <w:left w:val="single" w:color="auto" w:sz="4" w:space="0"/>
              <w:bottom w:val="nil"/>
              <w:right w:val="single" w:color="auto" w:sz="4" w:space="0"/>
            </w:tcBorders>
            <w:vAlign w:val="center"/>
          </w:tcPr>
          <w:p w14:paraId="65DCFE1A">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417" w:type="dxa"/>
            <w:tcBorders>
              <w:top w:val="nil"/>
              <w:left w:val="nil"/>
              <w:bottom w:val="single" w:color="auto" w:sz="4" w:space="0"/>
              <w:right w:val="single" w:color="auto" w:sz="4" w:space="0"/>
            </w:tcBorders>
            <w:shd w:val="clear" w:color="auto" w:fill="auto"/>
            <w:vAlign w:val="center"/>
          </w:tcPr>
          <w:p w14:paraId="31989B7B">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押解车辆</w:t>
            </w:r>
          </w:p>
        </w:tc>
        <w:tc>
          <w:tcPr>
            <w:tcW w:w="1276" w:type="dxa"/>
            <w:tcBorders>
              <w:top w:val="nil"/>
              <w:left w:val="nil"/>
              <w:bottom w:val="single" w:color="auto" w:sz="4" w:space="0"/>
              <w:right w:val="single" w:color="auto" w:sz="4" w:space="0"/>
            </w:tcBorders>
            <w:shd w:val="clear" w:color="auto" w:fill="auto"/>
            <w:vAlign w:val="center"/>
          </w:tcPr>
          <w:p w14:paraId="329F25F2">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轻型货车</w:t>
            </w:r>
          </w:p>
        </w:tc>
        <w:tc>
          <w:tcPr>
            <w:tcW w:w="1701" w:type="dxa"/>
            <w:tcBorders>
              <w:top w:val="nil"/>
              <w:left w:val="nil"/>
              <w:bottom w:val="single" w:color="auto" w:sz="4" w:space="0"/>
              <w:right w:val="single" w:color="auto" w:sz="4" w:space="0"/>
            </w:tcBorders>
            <w:shd w:val="clear" w:color="auto" w:fill="auto"/>
            <w:vAlign w:val="center"/>
          </w:tcPr>
          <w:p w14:paraId="6715D9DC">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372000.00000</w:t>
            </w:r>
          </w:p>
        </w:tc>
        <w:tc>
          <w:tcPr>
            <w:tcW w:w="1418" w:type="dxa"/>
            <w:tcBorders>
              <w:top w:val="nil"/>
              <w:left w:val="nil"/>
              <w:bottom w:val="single" w:color="auto" w:sz="4" w:space="0"/>
              <w:right w:val="single" w:color="auto" w:sz="4" w:space="0"/>
            </w:tcBorders>
            <w:shd w:val="clear" w:color="auto" w:fill="auto"/>
            <w:vAlign w:val="center"/>
          </w:tcPr>
          <w:p w14:paraId="7E02EC28">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吨·千米</w:t>
            </w:r>
          </w:p>
        </w:tc>
      </w:tr>
      <w:tr w14:paraId="05B54E12">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556A409C">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EF2C164">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运营中产生的废物</w:t>
            </w:r>
          </w:p>
        </w:tc>
        <w:tc>
          <w:tcPr>
            <w:tcW w:w="1417" w:type="dxa"/>
            <w:vMerge w:val="restart"/>
            <w:tcBorders>
              <w:top w:val="nil"/>
              <w:left w:val="single" w:color="auto" w:sz="4" w:space="0"/>
              <w:bottom w:val="single" w:color="000000" w:sz="4" w:space="0"/>
              <w:right w:val="single" w:color="auto" w:sz="4" w:space="0"/>
            </w:tcBorders>
            <w:shd w:val="clear" w:color="auto" w:fill="auto"/>
            <w:vAlign w:val="center"/>
          </w:tcPr>
          <w:p w14:paraId="3AFC7CA7">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废弃物处置</w:t>
            </w:r>
          </w:p>
        </w:tc>
        <w:tc>
          <w:tcPr>
            <w:tcW w:w="1276" w:type="dxa"/>
            <w:tcBorders>
              <w:top w:val="nil"/>
              <w:left w:val="nil"/>
              <w:bottom w:val="single" w:color="auto" w:sz="4" w:space="0"/>
              <w:right w:val="single" w:color="auto" w:sz="4" w:space="0"/>
            </w:tcBorders>
            <w:shd w:val="clear" w:color="auto" w:fill="auto"/>
            <w:vAlign w:val="center"/>
          </w:tcPr>
          <w:p w14:paraId="527B2994">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其他垃圾</w:t>
            </w:r>
          </w:p>
        </w:tc>
        <w:tc>
          <w:tcPr>
            <w:tcW w:w="1701" w:type="dxa"/>
            <w:tcBorders>
              <w:top w:val="nil"/>
              <w:left w:val="nil"/>
              <w:bottom w:val="single" w:color="auto" w:sz="4" w:space="0"/>
              <w:right w:val="single" w:color="auto" w:sz="4" w:space="0"/>
            </w:tcBorders>
            <w:shd w:val="clear" w:color="auto" w:fill="auto"/>
            <w:vAlign w:val="center"/>
          </w:tcPr>
          <w:p w14:paraId="5FEA9608">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10.00000</w:t>
            </w:r>
          </w:p>
        </w:tc>
        <w:tc>
          <w:tcPr>
            <w:tcW w:w="1418" w:type="dxa"/>
            <w:tcBorders>
              <w:top w:val="nil"/>
              <w:left w:val="nil"/>
              <w:bottom w:val="single" w:color="auto" w:sz="4" w:space="0"/>
              <w:right w:val="single" w:color="auto" w:sz="4" w:space="0"/>
            </w:tcBorders>
            <w:shd w:val="clear" w:color="auto" w:fill="auto"/>
            <w:vAlign w:val="center"/>
          </w:tcPr>
          <w:p w14:paraId="3C78C67E">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吨</w:t>
            </w:r>
          </w:p>
        </w:tc>
      </w:tr>
      <w:tr w14:paraId="4845420B">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490A707D">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continue"/>
            <w:tcBorders>
              <w:top w:val="single" w:color="auto" w:sz="4" w:space="0"/>
              <w:left w:val="single" w:color="auto" w:sz="4" w:space="0"/>
              <w:bottom w:val="single" w:color="auto" w:sz="4" w:space="0"/>
              <w:right w:val="single" w:color="auto" w:sz="4" w:space="0"/>
            </w:tcBorders>
            <w:vAlign w:val="center"/>
          </w:tcPr>
          <w:p w14:paraId="05F24AEB">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417" w:type="dxa"/>
            <w:vMerge w:val="continue"/>
            <w:tcBorders>
              <w:top w:val="nil"/>
              <w:left w:val="single" w:color="auto" w:sz="4" w:space="0"/>
              <w:bottom w:val="single" w:color="000000" w:sz="4" w:space="0"/>
              <w:right w:val="single" w:color="auto" w:sz="4" w:space="0"/>
            </w:tcBorders>
            <w:vAlign w:val="center"/>
          </w:tcPr>
          <w:p w14:paraId="27113E53">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276" w:type="dxa"/>
            <w:tcBorders>
              <w:top w:val="nil"/>
              <w:left w:val="nil"/>
              <w:bottom w:val="single" w:color="auto" w:sz="4" w:space="0"/>
              <w:right w:val="single" w:color="auto" w:sz="4" w:space="0"/>
            </w:tcBorders>
            <w:shd w:val="clear" w:color="auto" w:fill="auto"/>
            <w:vAlign w:val="center"/>
          </w:tcPr>
          <w:p w14:paraId="7A847D00">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厨余垃圾</w:t>
            </w:r>
          </w:p>
        </w:tc>
        <w:tc>
          <w:tcPr>
            <w:tcW w:w="1701" w:type="dxa"/>
            <w:tcBorders>
              <w:top w:val="nil"/>
              <w:left w:val="nil"/>
              <w:bottom w:val="single" w:color="auto" w:sz="4" w:space="0"/>
              <w:right w:val="single" w:color="auto" w:sz="4" w:space="0"/>
            </w:tcBorders>
            <w:shd w:val="clear" w:color="auto" w:fill="auto"/>
            <w:vAlign w:val="center"/>
          </w:tcPr>
          <w:p w14:paraId="1FEEC4B3">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160.00000</w:t>
            </w:r>
          </w:p>
        </w:tc>
        <w:tc>
          <w:tcPr>
            <w:tcW w:w="1418" w:type="dxa"/>
            <w:tcBorders>
              <w:top w:val="nil"/>
              <w:left w:val="nil"/>
              <w:bottom w:val="single" w:color="auto" w:sz="4" w:space="0"/>
              <w:right w:val="single" w:color="auto" w:sz="4" w:space="0"/>
            </w:tcBorders>
            <w:shd w:val="clear" w:color="auto" w:fill="auto"/>
            <w:vAlign w:val="center"/>
          </w:tcPr>
          <w:p w14:paraId="229B5F30">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吨</w:t>
            </w:r>
          </w:p>
        </w:tc>
      </w:tr>
      <w:tr w14:paraId="77875C7D">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2F430180">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restart"/>
            <w:tcBorders>
              <w:top w:val="nil"/>
              <w:left w:val="single" w:color="auto" w:sz="4" w:space="0"/>
              <w:bottom w:val="single" w:color="auto" w:sz="4" w:space="0"/>
              <w:right w:val="single" w:color="auto" w:sz="4" w:space="0"/>
            </w:tcBorders>
            <w:shd w:val="clear" w:color="auto" w:fill="auto"/>
            <w:vAlign w:val="center"/>
          </w:tcPr>
          <w:p w14:paraId="1AA12B8D">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差旅</w:t>
            </w:r>
          </w:p>
        </w:tc>
        <w:tc>
          <w:tcPr>
            <w:tcW w:w="1417" w:type="dxa"/>
            <w:vMerge w:val="restart"/>
            <w:tcBorders>
              <w:top w:val="nil"/>
              <w:left w:val="single" w:color="auto" w:sz="4" w:space="0"/>
              <w:bottom w:val="single" w:color="auto" w:sz="4" w:space="0"/>
              <w:right w:val="single" w:color="auto" w:sz="4" w:space="0"/>
            </w:tcBorders>
            <w:shd w:val="clear" w:color="auto" w:fill="auto"/>
            <w:vAlign w:val="center"/>
          </w:tcPr>
          <w:p w14:paraId="41D24FB9">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员工差旅出行</w:t>
            </w:r>
          </w:p>
        </w:tc>
        <w:tc>
          <w:tcPr>
            <w:tcW w:w="1276" w:type="dxa"/>
            <w:tcBorders>
              <w:top w:val="nil"/>
              <w:left w:val="nil"/>
              <w:bottom w:val="single" w:color="auto" w:sz="4" w:space="0"/>
              <w:right w:val="single" w:color="auto" w:sz="4" w:space="0"/>
            </w:tcBorders>
            <w:shd w:val="clear" w:color="auto" w:fill="auto"/>
            <w:vAlign w:val="center"/>
          </w:tcPr>
          <w:p w14:paraId="06E2FA88">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航空（客运）</w:t>
            </w:r>
          </w:p>
        </w:tc>
        <w:tc>
          <w:tcPr>
            <w:tcW w:w="1701" w:type="dxa"/>
            <w:tcBorders>
              <w:top w:val="nil"/>
              <w:left w:val="nil"/>
              <w:bottom w:val="single" w:color="auto" w:sz="4" w:space="0"/>
              <w:right w:val="single" w:color="auto" w:sz="4" w:space="0"/>
            </w:tcBorders>
            <w:shd w:val="clear" w:color="auto" w:fill="auto"/>
            <w:vAlign w:val="center"/>
          </w:tcPr>
          <w:p w14:paraId="63B3F939">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0.00000</w:t>
            </w:r>
          </w:p>
        </w:tc>
        <w:tc>
          <w:tcPr>
            <w:tcW w:w="1418" w:type="dxa"/>
            <w:tcBorders>
              <w:top w:val="nil"/>
              <w:left w:val="nil"/>
              <w:bottom w:val="single" w:color="auto" w:sz="4" w:space="0"/>
              <w:right w:val="single" w:color="auto" w:sz="4" w:space="0"/>
            </w:tcBorders>
            <w:shd w:val="clear" w:color="auto" w:fill="auto"/>
            <w:vAlign w:val="center"/>
          </w:tcPr>
          <w:p w14:paraId="044161B3">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人·千米</w:t>
            </w:r>
          </w:p>
        </w:tc>
      </w:tr>
      <w:tr w14:paraId="60BBF421">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150552F5">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continue"/>
            <w:tcBorders>
              <w:top w:val="nil"/>
              <w:left w:val="single" w:color="auto" w:sz="4" w:space="0"/>
              <w:bottom w:val="single" w:color="auto" w:sz="4" w:space="0"/>
              <w:right w:val="single" w:color="auto" w:sz="4" w:space="0"/>
            </w:tcBorders>
            <w:vAlign w:val="center"/>
          </w:tcPr>
          <w:p w14:paraId="7BA10123">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417" w:type="dxa"/>
            <w:vMerge w:val="continue"/>
            <w:tcBorders>
              <w:top w:val="nil"/>
              <w:left w:val="single" w:color="auto" w:sz="4" w:space="0"/>
              <w:bottom w:val="single" w:color="auto" w:sz="4" w:space="0"/>
              <w:right w:val="single" w:color="auto" w:sz="4" w:space="0"/>
            </w:tcBorders>
            <w:vAlign w:val="center"/>
          </w:tcPr>
          <w:p w14:paraId="2CE32848">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276" w:type="dxa"/>
            <w:tcBorders>
              <w:top w:val="nil"/>
              <w:left w:val="nil"/>
              <w:bottom w:val="single" w:color="auto" w:sz="4" w:space="0"/>
              <w:right w:val="single" w:color="auto" w:sz="4" w:space="0"/>
            </w:tcBorders>
            <w:shd w:val="clear" w:color="auto" w:fill="auto"/>
            <w:vAlign w:val="center"/>
          </w:tcPr>
          <w:p w14:paraId="60D3A13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铁路（客运）</w:t>
            </w:r>
          </w:p>
        </w:tc>
        <w:tc>
          <w:tcPr>
            <w:tcW w:w="1701" w:type="dxa"/>
            <w:tcBorders>
              <w:top w:val="nil"/>
              <w:left w:val="nil"/>
              <w:bottom w:val="single" w:color="auto" w:sz="4" w:space="0"/>
              <w:right w:val="single" w:color="auto" w:sz="4" w:space="0"/>
            </w:tcBorders>
            <w:shd w:val="clear" w:color="auto" w:fill="auto"/>
            <w:vAlign w:val="center"/>
          </w:tcPr>
          <w:p w14:paraId="1992DDD6">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400000.00000</w:t>
            </w:r>
          </w:p>
        </w:tc>
        <w:tc>
          <w:tcPr>
            <w:tcW w:w="1418" w:type="dxa"/>
            <w:tcBorders>
              <w:top w:val="nil"/>
              <w:left w:val="nil"/>
              <w:bottom w:val="single" w:color="auto" w:sz="4" w:space="0"/>
              <w:right w:val="single" w:color="auto" w:sz="4" w:space="0"/>
            </w:tcBorders>
            <w:shd w:val="clear" w:color="auto" w:fill="auto"/>
            <w:vAlign w:val="center"/>
          </w:tcPr>
          <w:p w14:paraId="52744A10">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人·千米</w:t>
            </w:r>
          </w:p>
        </w:tc>
      </w:tr>
      <w:tr w14:paraId="14DD50D2">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39C31897">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continue"/>
            <w:tcBorders>
              <w:top w:val="nil"/>
              <w:left w:val="single" w:color="auto" w:sz="4" w:space="0"/>
              <w:bottom w:val="single" w:color="auto" w:sz="4" w:space="0"/>
              <w:right w:val="single" w:color="auto" w:sz="4" w:space="0"/>
            </w:tcBorders>
            <w:vAlign w:val="center"/>
          </w:tcPr>
          <w:p w14:paraId="37057FE4">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417" w:type="dxa"/>
            <w:vMerge w:val="continue"/>
            <w:tcBorders>
              <w:top w:val="nil"/>
              <w:left w:val="single" w:color="auto" w:sz="4" w:space="0"/>
              <w:bottom w:val="single" w:color="auto" w:sz="4" w:space="0"/>
              <w:right w:val="single" w:color="auto" w:sz="4" w:space="0"/>
            </w:tcBorders>
            <w:vAlign w:val="center"/>
          </w:tcPr>
          <w:p w14:paraId="71423717">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276" w:type="dxa"/>
            <w:tcBorders>
              <w:top w:val="nil"/>
              <w:left w:val="nil"/>
              <w:bottom w:val="single" w:color="auto" w:sz="4" w:space="0"/>
              <w:right w:val="single" w:color="auto" w:sz="4" w:space="0"/>
            </w:tcBorders>
            <w:shd w:val="clear" w:color="auto" w:fill="auto"/>
            <w:vAlign w:val="center"/>
          </w:tcPr>
          <w:p w14:paraId="08072564">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道路交通（客运）</w:t>
            </w:r>
          </w:p>
        </w:tc>
        <w:tc>
          <w:tcPr>
            <w:tcW w:w="1701" w:type="dxa"/>
            <w:tcBorders>
              <w:top w:val="nil"/>
              <w:left w:val="nil"/>
              <w:bottom w:val="single" w:color="auto" w:sz="4" w:space="0"/>
              <w:right w:val="single" w:color="auto" w:sz="4" w:space="0"/>
            </w:tcBorders>
            <w:shd w:val="clear" w:color="auto" w:fill="auto"/>
            <w:vAlign w:val="center"/>
          </w:tcPr>
          <w:p w14:paraId="7C6C57C3">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20000.00000</w:t>
            </w:r>
          </w:p>
        </w:tc>
        <w:tc>
          <w:tcPr>
            <w:tcW w:w="1418" w:type="dxa"/>
            <w:tcBorders>
              <w:top w:val="nil"/>
              <w:left w:val="nil"/>
              <w:bottom w:val="single" w:color="auto" w:sz="4" w:space="0"/>
              <w:right w:val="single" w:color="auto" w:sz="4" w:space="0"/>
            </w:tcBorders>
            <w:shd w:val="clear" w:color="auto" w:fill="auto"/>
            <w:vAlign w:val="center"/>
          </w:tcPr>
          <w:p w14:paraId="2D9EEA2D">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人·千米</w:t>
            </w:r>
          </w:p>
        </w:tc>
      </w:tr>
      <w:tr w14:paraId="55381108">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7A1BCEF8">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continue"/>
            <w:tcBorders>
              <w:top w:val="nil"/>
              <w:left w:val="single" w:color="auto" w:sz="4" w:space="0"/>
              <w:bottom w:val="single" w:color="auto" w:sz="4" w:space="0"/>
              <w:right w:val="single" w:color="auto" w:sz="4" w:space="0"/>
            </w:tcBorders>
            <w:vAlign w:val="center"/>
          </w:tcPr>
          <w:p w14:paraId="5AA40DD1">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417" w:type="dxa"/>
            <w:tcBorders>
              <w:top w:val="single" w:color="auto" w:sz="4" w:space="0"/>
              <w:left w:val="nil"/>
              <w:bottom w:val="single" w:color="auto" w:sz="4" w:space="0"/>
              <w:right w:val="single" w:color="auto" w:sz="4" w:space="0"/>
            </w:tcBorders>
            <w:shd w:val="clear" w:color="auto" w:fill="auto"/>
            <w:vAlign w:val="center"/>
          </w:tcPr>
          <w:p w14:paraId="0766911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员工差旅住宿</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15238896">
            <w:pPr>
              <w:widowControl/>
              <w:spacing w:line="240" w:lineRule="auto"/>
              <w:ind w:firstLine="0" w:firstLineChars="0"/>
              <w:jc w:val="center"/>
              <w:rPr>
                <w:rFonts w:hint="eastAsia"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酒店住宿</w:t>
            </w:r>
          </w:p>
        </w:tc>
        <w:tc>
          <w:tcPr>
            <w:tcW w:w="1701" w:type="dxa"/>
            <w:tcBorders>
              <w:top w:val="nil"/>
              <w:left w:val="nil"/>
              <w:bottom w:val="single" w:color="auto" w:sz="4" w:space="0"/>
              <w:right w:val="single" w:color="auto" w:sz="4" w:space="0"/>
            </w:tcBorders>
            <w:shd w:val="clear" w:color="auto" w:fill="auto"/>
            <w:vAlign w:val="center"/>
          </w:tcPr>
          <w:p w14:paraId="2B830C33">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600.00000</w:t>
            </w:r>
          </w:p>
        </w:tc>
        <w:tc>
          <w:tcPr>
            <w:tcW w:w="1418" w:type="dxa"/>
            <w:tcBorders>
              <w:top w:val="nil"/>
              <w:left w:val="nil"/>
              <w:bottom w:val="single" w:color="auto" w:sz="4" w:space="0"/>
              <w:right w:val="single" w:color="auto" w:sz="4" w:space="0"/>
            </w:tcBorders>
            <w:shd w:val="clear" w:color="auto" w:fill="auto"/>
            <w:vAlign w:val="center"/>
          </w:tcPr>
          <w:p w14:paraId="2B5A413E">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晚·房间</w:t>
            </w:r>
          </w:p>
        </w:tc>
      </w:tr>
      <w:tr w14:paraId="6BE10514">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45DA7255">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restart"/>
            <w:tcBorders>
              <w:top w:val="nil"/>
              <w:left w:val="single" w:color="auto" w:sz="4" w:space="0"/>
              <w:bottom w:val="single" w:color="auto" w:sz="4" w:space="0"/>
              <w:right w:val="single" w:color="auto" w:sz="4" w:space="0"/>
            </w:tcBorders>
            <w:shd w:val="clear" w:color="auto" w:fill="auto"/>
            <w:vAlign w:val="center"/>
          </w:tcPr>
          <w:p w14:paraId="718E6F2D">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员工通勤</w:t>
            </w:r>
          </w:p>
        </w:tc>
        <w:tc>
          <w:tcPr>
            <w:tcW w:w="2693" w:type="dxa"/>
            <w:gridSpan w:val="2"/>
            <w:tcBorders>
              <w:top w:val="single" w:color="auto" w:sz="4" w:space="0"/>
              <w:left w:val="nil"/>
              <w:bottom w:val="single" w:color="auto" w:sz="4" w:space="0"/>
              <w:right w:val="single" w:color="auto" w:sz="4" w:space="0"/>
            </w:tcBorders>
            <w:shd w:val="clear" w:color="auto" w:fill="auto"/>
            <w:vAlign w:val="center"/>
          </w:tcPr>
          <w:p w14:paraId="33550D1D">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公交车</w:t>
            </w:r>
          </w:p>
        </w:tc>
        <w:tc>
          <w:tcPr>
            <w:tcW w:w="1701" w:type="dxa"/>
            <w:tcBorders>
              <w:top w:val="nil"/>
              <w:left w:val="nil"/>
              <w:bottom w:val="single" w:color="auto" w:sz="4" w:space="0"/>
              <w:right w:val="single" w:color="auto" w:sz="4" w:space="0"/>
            </w:tcBorders>
            <w:shd w:val="clear" w:color="auto" w:fill="auto"/>
            <w:vAlign w:val="center"/>
          </w:tcPr>
          <w:p w14:paraId="7B76D0B9">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0.00000</w:t>
            </w:r>
          </w:p>
        </w:tc>
        <w:tc>
          <w:tcPr>
            <w:tcW w:w="1418" w:type="dxa"/>
            <w:tcBorders>
              <w:top w:val="nil"/>
              <w:left w:val="nil"/>
              <w:bottom w:val="single" w:color="auto" w:sz="4" w:space="0"/>
              <w:right w:val="single" w:color="auto" w:sz="4" w:space="0"/>
            </w:tcBorders>
            <w:shd w:val="clear" w:color="auto" w:fill="auto"/>
            <w:vAlign w:val="center"/>
          </w:tcPr>
          <w:p w14:paraId="40290C77">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人·千米</w:t>
            </w:r>
          </w:p>
        </w:tc>
      </w:tr>
      <w:tr w14:paraId="614FA70C">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4ECB3B49">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continue"/>
            <w:tcBorders>
              <w:top w:val="nil"/>
              <w:left w:val="single" w:color="auto" w:sz="4" w:space="0"/>
              <w:bottom w:val="single" w:color="auto" w:sz="4" w:space="0"/>
              <w:right w:val="single" w:color="auto" w:sz="4" w:space="0"/>
            </w:tcBorders>
            <w:vAlign w:val="center"/>
          </w:tcPr>
          <w:p w14:paraId="50E6759D">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2693" w:type="dxa"/>
            <w:gridSpan w:val="2"/>
            <w:tcBorders>
              <w:top w:val="single" w:color="auto" w:sz="4" w:space="0"/>
              <w:left w:val="nil"/>
              <w:bottom w:val="single" w:color="auto" w:sz="4" w:space="0"/>
              <w:right w:val="single" w:color="auto" w:sz="4" w:space="0"/>
            </w:tcBorders>
            <w:shd w:val="clear" w:color="auto" w:fill="auto"/>
            <w:vAlign w:val="center"/>
          </w:tcPr>
          <w:p w14:paraId="31954E4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地铁</w:t>
            </w:r>
          </w:p>
        </w:tc>
        <w:tc>
          <w:tcPr>
            <w:tcW w:w="1701" w:type="dxa"/>
            <w:tcBorders>
              <w:top w:val="nil"/>
              <w:left w:val="nil"/>
              <w:bottom w:val="single" w:color="auto" w:sz="4" w:space="0"/>
              <w:right w:val="single" w:color="auto" w:sz="4" w:space="0"/>
            </w:tcBorders>
            <w:shd w:val="clear" w:color="auto" w:fill="auto"/>
            <w:vAlign w:val="center"/>
          </w:tcPr>
          <w:p w14:paraId="40C40E1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0.00000</w:t>
            </w:r>
          </w:p>
        </w:tc>
        <w:tc>
          <w:tcPr>
            <w:tcW w:w="1418" w:type="dxa"/>
            <w:tcBorders>
              <w:top w:val="nil"/>
              <w:left w:val="nil"/>
              <w:bottom w:val="single" w:color="auto" w:sz="4" w:space="0"/>
              <w:right w:val="single" w:color="auto" w:sz="4" w:space="0"/>
            </w:tcBorders>
            <w:shd w:val="clear" w:color="auto" w:fill="auto"/>
            <w:vAlign w:val="center"/>
          </w:tcPr>
          <w:p w14:paraId="23E9BCA7">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人·千米</w:t>
            </w:r>
          </w:p>
        </w:tc>
      </w:tr>
      <w:tr w14:paraId="1EC51838">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7E4BD6E9">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continue"/>
            <w:tcBorders>
              <w:top w:val="nil"/>
              <w:left w:val="single" w:color="auto" w:sz="4" w:space="0"/>
              <w:bottom w:val="single" w:color="auto" w:sz="4" w:space="0"/>
              <w:right w:val="single" w:color="auto" w:sz="4" w:space="0"/>
            </w:tcBorders>
            <w:vAlign w:val="center"/>
          </w:tcPr>
          <w:p w14:paraId="4157BBC4">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2693" w:type="dxa"/>
            <w:gridSpan w:val="2"/>
            <w:tcBorders>
              <w:top w:val="single" w:color="auto" w:sz="4" w:space="0"/>
              <w:left w:val="nil"/>
              <w:bottom w:val="single" w:color="auto" w:sz="4" w:space="0"/>
              <w:right w:val="single" w:color="auto" w:sz="4" w:space="0"/>
            </w:tcBorders>
            <w:shd w:val="clear" w:color="auto" w:fill="auto"/>
            <w:vAlign w:val="center"/>
          </w:tcPr>
          <w:p w14:paraId="6EE2E28E">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私家车（燃油）</w:t>
            </w:r>
          </w:p>
        </w:tc>
        <w:tc>
          <w:tcPr>
            <w:tcW w:w="1701" w:type="dxa"/>
            <w:tcBorders>
              <w:top w:val="nil"/>
              <w:left w:val="nil"/>
              <w:bottom w:val="single" w:color="auto" w:sz="4" w:space="0"/>
              <w:right w:val="single" w:color="auto" w:sz="4" w:space="0"/>
            </w:tcBorders>
            <w:shd w:val="clear" w:color="auto" w:fill="auto"/>
            <w:vAlign w:val="center"/>
          </w:tcPr>
          <w:p w14:paraId="568AE413">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1500000.00000</w:t>
            </w:r>
          </w:p>
        </w:tc>
        <w:tc>
          <w:tcPr>
            <w:tcW w:w="1418" w:type="dxa"/>
            <w:tcBorders>
              <w:top w:val="nil"/>
              <w:left w:val="nil"/>
              <w:bottom w:val="single" w:color="auto" w:sz="4" w:space="0"/>
              <w:right w:val="single" w:color="auto" w:sz="4" w:space="0"/>
            </w:tcBorders>
            <w:shd w:val="clear" w:color="auto" w:fill="auto"/>
            <w:vAlign w:val="center"/>
          </w:tcPr>
          <w:p w14:paraId="0074C47C">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人·千米</w:t>
            </w:r>
          </w:p>
        </w:tc>
      </w:tr>
      <w:tr w14:paraId="1F4573A9">
        <w:tblPrEx>
          <w:tblCellMar>
            <w:top w:w="0" w:type="dxa"/>
            <w:left w:w="108" w:type="dxa"/>
            <w:bottom w:w="0" w:type="dxa"/>
            <w:right w:w="108" w:type="dxa"/>
          </w:tblCellMar>
        </w:tblPrEx>
        <w:trPr>
          <w:trHeight w:val="270" w:hRule="atLeast"/>
        </w:trPr>
        <w:tc>
          <w:tcPr>
            <w:tcW w:w="1245" w:type="dxa"/>
            <w:vMerge w:val="continue"/>
            <w:tcBorders>
              <w:top w:val="nil"/>
              <w:left w:val="single" w:color="auto" w:sz="4" w:space="0"/>
              <w:bottom w:val="single" w:color="auto" w:sz="4" w:space="0"/>
              <w:right w:val="single" w:color="auto" w:sz="4" w:space="0"/>
            </w:tcBorders>
            <w:vAlign w:val="center"/>
          </w:tcPr>
          <w:p w14:paraId="027B2277">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1307" w:type="dxa"/>
            <w:vMerge w:val="continue"/>
            <w:tcBorders>
              <w:top w:val="nil"/>
              <w:left w:val="single" w:color="auto" w:sz="4" w:space="0"/>
              <w:bottom w:val="single" w:color="auto" w:sz="4" w:space="0"/>
              <w:right w:val="single" w:color="auto" w:sz="4" w:space="0"/>
            </w:tcBorders>
            <w:vAlign w:val="center"/>
          </w:tcPr>
          <w:p w14:paraId="67428953">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p>
        </w:tc>
        <w:tc>
          <w:tcPr>
            <w:tcW w:w="2693" w:type="dxa"/>
            <w:gridSpan w:val="2"/>
            <w:tcBorders>
              <w:top w:val="single" w:color="auto" w:sz="4" w:space="0"/>
              <w:left w:val="nil"/>
              <w:bottom w:val="single" w:color="auto" w:sz="4" w:space="0"/>
              <w:right w:val="single" w:color="auto" w:sz="4" w:space="0"/>
            </w:tcBorders>
            <w:shd w:val="clear" w:color="auto" w:fill="auto"/>
            <w:vAlign w:val="center"/>
          </w:tcPr>
          <w:p w14:paraId="62D4C69D">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私家车（电动）</w:t>
            </w:r>
          </w:p>
        </w:tc>
        <w:tc>
          <w:tcPr>
            <w:tcW w:w="1701" w:type="dxa"/>
            <w:tcBorders>
              <w:top w:val="nil"/>
              <w:left w:val="nil"/>
              <w:bottom w:val="single" w:color="auto" w:sz="4" w:space="0"/>
              <w:right w:val="single" w:color="auto" w:sz="4" w:space="0"/>
            </w:tcBorders>
            <w:shd w:val="clear" w:color="auto" w:fill="auto"/>
            <w:vAlign w:val="center"/>
          </w:tcPr>
          <w:p w14:paraId="716AF3EC">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400000.00000</w:t>
            </w:r>
          </w:p>
        </w:tc>
        <w:tc>
          <w:tcPr>
            <w:tcW w:w="1418" w:type="dxa"/>
            <w:tcBorders>
              <w:top w:val="nil"/>
              <w:left w:val="nil"/>
              <w:bottom w:val="single" w:color="auto" w:sz="4" w:space="0"/>
              <w:right w:val="single" w:color="auto" w:sz="4" w:space="0"/>
            </w:tcBorders>
            <w:shd w:val="clear" w:color="auto" w:fill="auto"/>
            <w:vAlign w:val="center"/>
          </w:tcPr>
          <w:p w14:paraId="1B1045C2">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人·千米</w:t>
            </w:r>
          </w:p>
        </w:tc>
      </w:tr>
    </w:tbl>
    <w:p w14:paraId="351BE1E3">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60" w:name="_Toc15013"/>
      <w:r>
        <w:rPr>
          <w:rFonts w:hint="eastAsia" w:ascii="黑体" w:hAnsi="黑体" w:eastAsia="黑体" w:cs="黑体"/>
          <w:b w:val="0"/>
          <w:bCs/>
          <w:color w:val="000000" w:themeColor="text1"/>
          <w:sz w:val="28"/>
          <w:szCs w:val="28"/>
          <w14:textFill>
            <w14:solidFill>
              <w14:schemeClr w14:val="tx1"/>
            </w14:solidFill>
          </w14:textFill>
        </w:rPr>
        <w:t>6.2 自身经营的碳排放</w:t>
      </w:r>
      <w:bookmarkEnd w:id="60"/>
    </w:p>
    <w:p w14:paraId="361BC3E2">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61" w:name="_Toc16160"/>
      <w:r>
        <w:rPr>
          <w:rFonts w:hint="eastAsia" w:ascii="黑体" w:hAnsi="黑体" w:eastAsia="黑体" w:cs="黑体"/>
          <w:b w:val="0"/>
          <w:bCs/>
          <w:color w:val="000000" w:themeColor="text1"/>
          <w:sz w:val="24"/>
          <w:szCs w:val="24"/>
          <w14:textFill>
            <w14:solidFill>
              <w14:schemeClr w14:val="tx1"/>
            </w14:solidFill>
          </w14:textFill>
        </w:rPr>
        <w:t>6.2.1 范围一：经营活动的直接碳排放</w:t>
      </w:r>
      <w:bookmarkEnd w:id="61"/>
    </w:p>
    <w:p w14:paraId="699E8913">
      <w:pPr>
        <w:widowControl/>
        <w:kinsoku w:val="0"/>
        <w:autoSpaceDE w:val="0"/>
        <w:autoSpaceDN w:val="0"/>
        <w:adjustRightInd w:val="0"/>
        <w:snapToGrid w:val="0"/>
        <w:spacing w:before="217" w:beforeLines="50" w:line="240" w:lineRule="auto"/>
        <w:ind w:firstLine="504"/>
        <w:textAlignment w:val="baseline"/>
        <w:rPr>
          <w:b w:val="0"/>
          <w:bCs/>
          <w:color w:val="000000" w:themeColor="text1"/>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报告年度内本行自身经营活动的直接碳排放总量为</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43.88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e（吨二氧化碳当量，下同）。</w:t>
      </w:r>
    </w:p>
    <w:p w14:paraId="3C9C319E">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62" w:name="_Toc27515"/>
      <w:r>
        <w:rPr>
          <w:rFonts w:hint="eastAsia" w:ascii="黑体" w:hAnsi="黑体" w:eastAsia="黑体" w:cs="黑体"/>
          <w:b w:val="0"/>
          <w:bCs/>
          <w:color w:val="000000" w:themeColor="text1"/>
          <w:sz w:val="24"/>
          <w:szCs w:val="24"/>
          <w14:textFill>
            <w14:solidFill>
              <w14:schemeClr w14:val="tx1"/>
            </w14:solidFill>
          </w14:textFill>
        </w:rPr>
        <w:t>6.2.2 范围二：经营活动的间接碳排放</w:t>
      </w:r>
      <w:bookmarkEnd w:id="62"/>
    </w:p>
    <w:p w14:paraId="2D2E5CE9">
      <w:pPr>
        <w:widowControl/>
        <w:kinsoku w:val="0"/>
        <w:autoSpaceDE w:val="0"/>
        <w:autoSpaceDN w:val="0"/>
        <w:adjustRightInd w:val="0"/>
        <w:snapToGrid w:val="0"/>
        <w:spacing w:before="217" w:beforeLines="50" w:line="240" w:lineRule="auto"/>
        <w:ind w:firstLine="504"/>
        <w:textAlignment w:val="baseline"/>
        <w:rPr>
          <w:b w:val="0"/>
          <w:bCs/>
          <w:color w:val="000000" w:themeColor="text1"/>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报告年度内本行自身经营活动的间接碳排放总量为</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954.89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e，排放源主要来自于本行营业办公消耗的外部输入的电力、热、冷或蒸汽。</w:t>
      </w:r>
    </w:p>
    <w:p w14:paraId="1ECF37A0">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63" w:name="_Toc18225"/>
      <w:r>
        <w:rPr>
          <w:rFonts w:hint="eastAsia" w:ascii="黑体" w:hAnsi="黑体" w:eastAsia="黑体" w:cs="黑体"/>
          <w:b w:val="0"/>
          <w:bCs/>
          <w:color w:val="000000" w:themeColor="text1"/>
          <w:sz w:val="24"/>
          <w:szCs w:val="24"/>
          <w14:textFill>
            <w14:solidFill>
              <w14:schemeClr w14:val="tx1"/>
            </w14:solidFill>
          </w14:textFill>
        </w:rPr>
        <w:t>6.2.3 范围三：经营活动的价值链碳排放</w:t>
      </w:r>
      <w:bookmarkEnd w:id="63"/>
    </w:p>
    <w:p w14:paraId="5E503740">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本行自身经营的价值链碳排放（范围三（不含投资））为</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578.22062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e。其中，购买商品与服务产生的碳排放</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451.86832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e，上游运输和配送产生的碳排放</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30.876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e，运营中产生的废弃物产生的碳排放</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4.2423</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e，差旅产生的碳排放</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22.934</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e，员工通勤产生的碳排放</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68.3</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w:t>
      </w:r>
    </w:p>
    <w:p w14:paraId="6954C561">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64" w:name="_Toc10028"/>
      <w:r>
        <w:rPr>
          <w:rFonts w:hint="eastAsia" w:ascii="黑体" w:hAnsi="黑体" w:eastAsia="黑体" w:cs="黑体"/>
          <w:b w:val="0"/>
          <w:bCs/>
          <w:color w:val="000000" w:themeColor="text1"/>
          <w:sz w:val="24"/>
          <w:szCs w:val="24"/>
          <w14:textFill>
            <w14:solidFill>
              <w14:schemeClr w14:val="tx1"/>
            </w14:solidFill>
          </w14:textFill>
        </w:rPr>
        <w:t>6.2.4 经营活动碳排放强度</w:t>
      </w:r>
      <w:bookmarkEnd w:id="64"/>
    </w:p>
    <w:p w14:paraId="26D4B240">
      <w:pPr>
        <w:spacing w:line="240" w:lineRule="auto"/>
        <w:ind w:firstLine="504"/>
        <w:rPr>
          <w:rFonts w:ascii="仿宋" w:hAnsi="仿宋" w:eastAsia="仿宋" w:cs="仿宋"/>
          <w:b w:val="0"/>
          <w:bCs/>
          <w:snapToGrid w:val="0"/>
          <w:color w:val="000000" w:themeColor="text1"/>
          <w:spacing w:val="6"/>
          <w:kern w:val="0"/>
          <w:sz w:val="24"/>
          <w:szCs w:val="24"/>
          <w14:textFill>
            <w14:solidFill>
              <w14:schemeClr w14:val="tx1"/>
            </w14:solidFill>
          </w14:textFill>
        </w:rPr>
        <w:sectPr>
          <w:pgSz w:w="11906" w:h="16838"/>
          <w:pgMar w:top="1440" w:right="1800" w:bottom="1440" w:left="1800" w:header="851" w:footer="992" w:gutter="0"/>
          <w:cols w:space="720" w:num="1"/>
          <w:docGrid w:type="lines" w:linePitch="435" w:charSpace="0"/>
        </w:sect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本行自身经营碳排放总量（不含范围三）为</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color w:val="000000" w:themeColor="text1"/>
          <w:spacing w:val="6"/>
          <w:sz w:val="24"/>
          <w:u w:val="single"/>
          <w:lang w:val="en-US" w:eastAsia="zh-CN"/>
          <w14:textFill>
            <w14:solidFill>
              <w14:schemeClr w14:val="tx1"/>
            </w14:solidFill>
          </w14:textFill>
        </w:rPr>
        <w:t>998.77</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e，人均碳排放为</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color w:val="000000" w:themeColor="text1"/>
          <w:spacing w:val="6"/>
          <w:sz w:val="24"/>
          <w:u w:val="single"/>
          <w:lang w:val="en-US" w:eastAsia="zh-CN"/>
          <w14:textFill>
            <w14:solidFill>
              <w14:schemeClr w14:val="tx1"/>
            </w14:solidFill>
          </w14:textFill>
        </w:rPr>
        <w:t>1.95837</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e/人，单位面积碳排放为</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0.24969</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e/平方米。</w:t>
      </w:r>
    </w:p>
    <w:p w14:paraId="5E283EFD">
      <w:pPr>
        <w:widowControl/>
        <w:spacing w:line="240" w:lineRule="auto"/>
        <w:ind w:firstLine="0" w:firstLineChars="0"/>
        <w:jc w:val="center"/>
        <w:outlineLvl w:val="2"/>
        <w:rPr>
          <w:rFonts w:hint="eastAsia" w:ascii="宋体" w:hAnsi="宋体" w:eastAsia="宋体"/>
          <w:b w:val="0"/>
          <w:bCs/>
          <w:color w:val="000000" w:themeColor="text1"/>
          <w:kern w:val="0"/>
          <w:sz w:val="18"/>
          <w:szCs w:val="18"/>
          <w14:textFill>
            <w14:solidFill>
              <w14:schemeClr w14:val="tx1"/>
            </w14:solidFill>
          </w14:textFill>
        </w:rPr>
      </w:pPr>
      <w:bookmarkStart w:id="65" w:name="_Toc11672"/>
      <w:r>
        <w:rPr>
          <w:rFonts w:hint="eastAsia" w:ascii="宋体" w:hAnsi="宋体" w:eastAsia="宋体"/>
          <w:b w:val="0"/>
          <w:bCs/>
          <w:color w:val="000000" w:themeColor="text1"/>
          <w:kern w:val="0"/>
          <w:sz w:val="18"/>
          <w:szCs w:val="18"/>
          <w14:textFill>
            <w14:solidFill>
              <w14:schemeClr w14:val="tx1"/>
            </w14:solidFill>
          </w14:textFill>
        </w:rPr>
        <w:t>6-2经营活动碳排放（范围一+范围二）</w:t>
      </w:r>
      <w:bookmarkEnd w:id="65"/>
    </w:p>
    <w:tbl>
      <w:tblPr>
        <w:tblStyle w:val="22"/>
        <w:tblW w:w="4999" w:type="pct"/>
        <w:tblInd w:w="0" w:type="dxa"/>
        <w:tblLayout w:type="autofit"/>
        <w:tblCellMar>
          <w:top w:w="0" w:type="dxa"/>
          <w:left w:w="108" w:type="dxa"/>
          <w:bottom w:w="0" w:type="dxa"/>
          <w:right w:w="108" w:type="dxa"/>
        </w:tblCellMar>
      </w:tblPr>
      <w:tblGrid>
        <w:gridCol w:w="5616"/>
        <w:gridCol w:w="1751"/>
        <w:gridCol w:w="1006"/>
        <w:gridCol w:w="888"/>
        <w:gridCol w:w="846"/>
        <w:gridCol w:w="1026"/>
        <w:gridCol w:w="1379"/>
        <w:gridCol w:w="1659"/>
      </w:tblGrid>
      <w:tr w14:paraId="4CCF79DB">
        <w:tblPrEx>
          <w:tblCellMar>
            <w:top w:w="0" w:type="dxa"/>
            <w:left w:w="108" w:type="dxa"/>
            <w:bottom w:w="0" w:type="dxa"/>
            <w:right w:w="108" w:type="dxa"/>
          </w:tblCellMar>
        </w:tblPrEx>
        <w:trPr>
          <w:cantSplit/>
          <w:trHeight w:val="367" w:hRule="atLeast"/>
          <w:tblHeader/>
        </w:trPr>
        <w:tc>
          <w:tcPr>
            <w:tcW w:w="1072" w:type="pct"/>
            <w:vMerge w:val="restart"/>
            <w:tcBorders>
              <w:top w:val="single" w:color="000000" w:sz="4" w:space="0"/>
              <w:left w:val="single" w:color="000000" w:sz="4" w:space="0"/>
              <w:bottom w:val="single" w:color="000000" w:sz="4" w:space="0"/>
              <w:right w:val="single" w:color="000000" w:sz="4" w:space="0"/>
            </w:tcBorders>
            <w:noWrap w:val="0"/>
            <w:vAlign w:val="center"/>
          </w:tcPr>
          <w:p w14:paraId="1E1016AB">
            <w:pPr>
              <w:rPr>
                <w:b w:val="0"/>
                <w:bCs/>
              </w:rPr>
            </w:pPr>
            <w:r>
              <w:rPr>
                <w:rFonts w:ascii="宋体" w:hAnsi="宋体" w:eastAsia="宋体" w:cs="宋体"/>
                <w:b w:val="0"/>
                <w:bCs/>
                <w:sz w:val="18"/>
              </w:rPr>
              <w:t>核算要素</w:t>
            </w:r>
          </w:p>
        </w:tc>
        <w:tc>
          <w:tcPr>
            <w:tcW w:w="747" w:type="pct"/>
            <w:vMerge w:val="restart"/>
            <w:tcBorders>
              <w:top w:val="single" w:color="000000" w:sz="4" w:space="0"/>
              <w:left w:val="single" w:color="000000" w:sz="4" w:space="0"/>
              <w:bottom w:val="single" w:color="000000" w:sz="4" w:space="0"/>
              <w:right w:val="single" w:color="000000" w:sz="4" w:space="0"/>
            </w:tcBorders>
            <w:noWrap w:val="0"/>
            <w:vAlign w:val="center"/>
          </w:tcPr>
          <w:p w14:paraId="5ED85CB3">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核算细项</w:t>
            </w:r>
          </w:p>
        </w:tc>
        <w:tc>
          <w:tcPr>
            <w:tcW w:w="485" w:type="pct"/>
            <w:vMerge w:val="restart"/>
            <w:tcBorders>
              <w:top w:val="single" w:color="000000" w:sz="4" w:space="0"/>
              <w:left w:val="single" w:color="000000" w:sz="4" w:space="0"/>
              <w:bottom w:val="single" w:color="000000" w:sz="4" w:space="0"/>
              <w:right w:val="single" w:color="000000" w:sz="4" w:space="0"/>
            </w:tcBorders>
            <w:noWrap w:val="0"/>
            <w:vAlign w:val="center"/>
          </w:tcPr>
          <w:p w14:paraId="329107B9">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数量对应单位</w:t>
            </w:r>
          </w:p>
        </w:tc>
        <w:tc>
          <w:tcPr>
            <w:tcW w:w="2694" w:type="pct"/>
            <w:gridSpan w:val="5"/>
            <w:tcBorders>
              <w:top w:val="single" w:color="000000" w:sz="4" w:space="0"/>
              <w:left w:val="single" w:color="000000" w:sz="4" w:space="0"/>
              <w:bottom w:val="single" w:color="000000" w:sz="4" w:space="0"/>
              <w:right w:val="single" w:color="000000" w:sz="4" w:space="0"/>
            </w:tcBorders>
            <w:noWrap/>
            <w:vAlign w:val="center"/>
          </w:tcPr>
          <w:p w14:paraId="2E45505A">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2024</w:t>
            </w:r>
            <w:r>
              <w:rPr>
                <w:rFonts w:hint="eastAsia" w:ascii="宋体" w:hAnsi="宋体" w:eastAsia="宋体" w:cs="宋体"/>
                <w:b w:val="0"/>
                <w:bCs/>
                <w:color w:val="000000" w:themeColor="text1"/>
                <w:kern w:val="0"/>
                <w:sz w:val="18"/>
                <w:szCs w:val="18"/>
                <w14:textFill>
                  <w14:solidFill>
                    <w14:schemeClr w14:val="tx1"/>
                  </w14:solidFill>
                </w14:textFill>
              </w:rPr>
              <w:t>年</w:t>
            </w:r>
          </w:p>
        </w:tc>
      </w:tr>
      <w:tr w14:paraId="06028E3B">
        <w:tblPrEx>
          <w:tblCellMar>
            <w:top w:w="0" w:type="dxa"/>
            <w:left w:w="108" w:type="dxa"/>
            <w:bottom w:w="0" w:type="dxa"/>
            <w:right w:w="108" w:type="dxa"/>
          </w:tblCellMar>
        </w:tblPrEx>
        <w:trPr>
          <w:cantSplit/>
          <w:trHeight w:val="725" w:hRule="atLeast"/>
          <w:tblHeader/>
        </w:trPr>
        <w:tc>
          <w:tcPr>
            <w:tcW w:w="10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66D935">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p>
        </w:tc>
        <w:tc>
          <w:tcPr>
            <w:tcW w:w="7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E51633">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p>
        </w:tc>
        <w:tc>
          <w:tcPr>
            <w:tcW w:w="48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7D76411">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p>
        </w:tc>
        <w:tc>
          <w:tcPr>
            <w:tcW w:w="443" w:type="pct"/>
            <w:tcBorders>
              <w:top w:val="single" w:color="000000" w:sz="4" w:space="0"/>
              <w:left w:val="single" w:color="000000" w:sz="4" w:space="0"/>
              <w:bottom w:val="single" w:color="000000" w:sz="4" w:space="0"/>
              <w:right w:val="single" w:color="000000" w:sz="4" w:space="0"/>
            </w:tcBorders>
            <w:noWrap w:val="0"/>
            <w:vAlign w:val="center"/>
          </w:tcPr>
          <w:p w14:paraId="19F3207F">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数量</w:t>
            </w:r>
          </w:p>
        </w:tc>
        <w:tc>
          <w:tcPr>
            <w:tcW w:w="352" w:type="pct"/>
            <w:tcBorders>
              <w:top w:val="single" w:color="000000" w:sz="4" w:space="0"/>
              <w:left w:val="single" w:color="000000" w:sz="4" w:space="0"/>
              <w:bottom w:val="single" w:color="000000" w:sz="4" w:space="0"/>
              <w:right w:val="single" w:color="000000" w:sz="4" w:space="0"/>
            </w:tcBorders>
            <w:noWrap w:val="0"/>
            <w:vAlign w:val="center"/>
          </w:tcPr>
          <w:p w14:paraId="11D15D9C">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人均数量</w:t>
            </w:r>
            <w:r>
              <w:rPr>
                <w:rFonts w:hint="eastAsia" w:ascii="宋体" w:hAnsi="宋体" w:eastAsia="宋体" w:cs="宋体"/>
                <w:b w:val="0"/>
                <w:bCs/>
                <w:color w:val="000000" w:themeColor="text1"/>
                <w:kern w:val="0"/>
                <w:sz w:val="18"/>
                <w:szCs w:val="18"/>
                <w:vertAlign w:val="superscript"/>
                <w14:textFill>
                  <w14:solidFill>
                    <w14:schemeClr w14:val="tx1"/>
                  </w14:solidFill>
                </w14:textFill>
              </w:rPr>
              <w:t>*</w:t>
            </w:r>
          </w:p>
        </w:tc>
        <w:tc>
          <w:tcPr>
            <w:tcW w:w="534" w:type="pct"/>
            <w:tcBorders>
              <w:top w:val="single" w:color="000000" w:sz="4" w:space="0"/>
              <w:left w:val="single" w:color="000000" w:sz="4" w:space="0"/>
              <w:bottom w:val="single" w:color="000000" w:sz="4" w:space="0"/>
              <w:right w:val="single" w:color="000000" w:sz="4" w:space="0"/>
            </w:tcBorders>
            <w:noWrap w:val="0"/>
            <w:vAlign w:val="center"/>
          </w:tcPr>
          <w:p w14:paraId="2D3C083B">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碳排放（</w:t>
            </w:r>
            <w:r>
              <w:rPr>
                <w:rFonts w:hint="default" w:ascii="宋体" w:hAnsi="宋体" w:eastAsia="宋体" w:cs="宋体"/>
                <w:b w:val="0"/>
                <w:bCs/>
                <w:color w:val="000000" w:themeColor="text1"/>
                <w:kern w:val="0"/>
                <w:sz w:val="18"/>
                <w:szCs w:val="18"/>
                <w:lang w:val="en-US"/>
                <w14:textFill>
                  <w14:solidFill>
                    <w14:schemeClr w14:val="tx1"/>
                  </w14:solidFill>
                </w14:textFill>
              </w:rPr>
              <w:t>tCO2e</w:t>
            </w:r>
            <w:r>
              <w:rPr>
                <w:rFonts w:hint="eastAsia" w:ascii="宋体" w:hAnsi="宋体" w:eastAsia="宋体" w:cs="宋体"/>
                <w:b w:val="0"/>
                <w:bCs/>
                <w:color w:val="000000" w:themeColor="text1"/>
                <w:kern w:val="0"/>
                <w:sz w:val="18"/>
                <w:szCs w:val="18"/>
                <w14:textFill>
                  <w14:solidFill>
                    <w14:schemeClr w14:val="tx1"/>
                  </w14:solidFill>
                </w14:textFill>
              </w:rPr>
              <w:t>）</w:t>
            </w:r>
          </w:p>
        </w:tc>
        <w:tc>
          <w:tcPr>
            <w:tcW w:w="650" w:type="pct"/>
            <w:tcBorders>
              <w:top w:val="single" w:color="000000" w:sz="4" w:space="0"/>
              <w:left w:val="single" w:color="000000" w:sz="4" w:space="0"/>
              <w:bottom w:val="single" w:color="000000" w:sz="4" w:space="0"/>
              <w:right w:val="single" w:color="000000" w:sz="4" w:space="0"/>
            </w:tcBorders>
            <w:noWrap w:val="0"/>
            <w:vAlign w:val="center"/>
          </w:tcPr>
          <w:p w14:paraId="66302F58">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人均碳排放（</w:t>
            </w:r>
            <w:r>
              <w:rPr>
                <w:rFonts w:hint="default" w:ascii="宋体" w:hAnsi="宋体" w:eastAsia="宋体" w:cs="宋体"/>
                <w:b w:val="0"/>
                <w:bCs/>
                <w:color w:val="000000" w:themeColor="text1"/>
                <w:kern w:val="0"/>
                <w:sz w:val="18"/>
                <w:szCs w:val="18"/>
                <w:lang w:val="en-US"/>
                <w14:textFill>
                  <w14:solidFill>
                    <w14:schemeClr w14:val="tx1"/>
                  </w14:solidFill>
                </w14:textFill>
              </w:rPr>
              <w:t>tCO2e</w:t>
            </w:r>
            <w:r>
              <w:rPr>
                <w:rFonts w:hint="eastAsia" w:ascii="宋体" w:hAnsi="宋体" w:eastAsia="宋体" w:cs="宋体"/>
                <w:b w:val="0"/>
                <w:bCs/>
                <w:color w:val="000000" w:themeColor="text1"/>
                <w:kern w:val="0"/>
                <w:sz w:val="18"/>
                <w:szCs w:val="18"/>
                <w14:textFill>
                  <w14:solidFill>
                    <w14:schemeClr w14:val="tx1"/>
                  </w14:solidFill>
                </w14:textFill>
              </w:rPr>
              <w:t>/人）</w:t>
            </w:r>
          </w:p>
        </w:tc>
        <w:tc>
          <w:tcPr>
            <w:tcW w:w="713" w:type="pct"/>
            <w:tcBorders>
              <w:top w:val="single" w:color="000000" w:sz="4" w:space="0"/>
              <w:left w:val="single" w:color="000000" w:sz="4" w:space="0"/>
              <w:bottom w:val="single" w:color="000000" w:sz="4" w:space="0"/>
              <w:right w:val="single" w:color="000000" w:sz="4" w:space="0"/>
            </w:tcBorders>
            <w:noWrap w:val="0"/>
            <w:vAlign w:val="center"/>
          </w:tcPr>
          <w:p w14:paraId="5DAEA3C1">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单位面积碳排放（</w:t>
            </w:r>
            <w:r>
              <w:rPr>
                <w:rFonts w:hint="default" w:ascii="宋体" w:hAnsi="宋体" w:eastAsia="宋体" w:cs="宋体"/>
                <w:b w:val="0"/>
                <w:bCs/>
                <w:color w:val="000000" w:themeColor="text1"/>
                <w:kern w:val="0"/>
                <w:sz w:val="18"/>
                <w:szCs w:val="18"/>
                <w:lang w:val="en-US"/>
                <w14:textFill>
                  <w14:solidFill>
                    <w14:schemeClr w14:val="tx1"/>
                  </w14:solidFill>
                </w14:textFill>
              </w:rPr>
              <w:t>tCO2e</w:t>
            </w:r>
            <w:r>
              <w:rPr>
                <w:rFonts w:hint="eastAsia" w:ascii="宋体" w:hAnsi="宋体" w:eastAsia="宋体" w:cs="宋体"/>
                <w:b w:val="0"/>
                <w:bCs/>
                <w:color w:val="000000" w:themeColor="text1"/>
                <w:kern w:val="0"/>
                <w:sz w:val="18"/>
                <w:szCs w:val="18"/>
                <w14:textFill>
                  <w14:solidFill>
                    <w14:schemeClr w14:val="tx1"/>
                  </w14:solidFill>
                </w14:textFill>
              </w:rPr>
              <w:t>/平方米）</w:t>
            </w:r>
          </w:p>
        </w:tc>
      </w:tr>
      <w:tr w14:paraId="4EFEBFC8">
        <w:tblPrEx>
          <w:tblCellMar>
            <w:top w:w="0" w:type="dxa"/>
            <w:left w:w="108" w:type="dxa"/>
            <w:bottom w:w="0" w:type="dxa"/>
            <w:right w:w="108" w:type="dxa"/>
          </w:tblCellMar>
        </w:tblPrEx>
        <w:trPr>
          <w:cantSplit/>
          <w:trHeight w:val="367" w:hRule="atLeast"/>
        </w:trPr>
        <w:tc>
          <w:tcPr>
            <w:tcW w:w="1820" w:type="pct"/>
            <w:gridSpan w:val="2"/>
            <w:tcBorders>
              <w:top w:val="single" w:color="000000" w:sz="4" w:space="0"/>
              <w:left w:val="single" w:color="000000" w:sz="4" w:space="0"/>
              <w:bottom w:val="single" w:color="000000" w:sz="4" w:space="0"/>
              <w:right w:val="single" w:color="000000" w:sz="4" w:space="0"/>
            </w:tcBorders>
            <w:noWrap/>
            <w:vAlign w:val="center"/>
          </w:tcPr>
          <w:p w14:paraId="3FE35589">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全年平均员工总人数</w:t>
            </w:r>
          </w:p>
        </w:tc>
        <w:tc>
          <w:tcPr>
            <w:tcW w:w="485" w:type="pct"/>
            <w:tcBorders>
              <w:top w:val="single" w:color="000000" w:sz="4" w:space="0"/>
              <w:left w:val="single" w:color="000000" w:sz="4" w:space="0"/>
              <w:bottom w:val="single" w:color="000000" w:sz="4" w:space="0"/>
              <w:right w:val="single" w:color="000000" w:sz="4" w:space="0"/>
            </w:tcBorders>
            <w:noWrap/>
            <w:vAlign w:val="center"/>
          </w:tcPr>
          <w:p w14:paraId="1A076517">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人</w:t>
            </w: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3EA951A6">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510</w:t>
            </w:r>
          </w:p>
        </w:tc>
        <w:tc>
          <w:tcPr>
            <w:tcW w:w="352" w:type="pct"/>
            <w:tcBorders>
              <w:top w:val="single" w:color="000000" w:sz="4" w:space="0"/>
              <w:left w:val="single" w:color="000000" w:sz="4" w:space="0"/>
              <w:bottom w:val="single" w:color="000000" w:sz="4" w:space="0"/>
              <w:right w:val="single" w:color="000000" w:sz="4" w:space="0"/>
            </w:tcBorders>
            <w:noWrap/>
            <w:vAlign w:val="center"/>
          </w:tcPr>
          <w:p w14:paraId="74ADA6B7">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098EC461">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650" w:type="pct"/>
            <w:tcBorders>
              <w:top w:val="single" w:color="000000" w:sz="4" w:space="0"/>
              <w:left w:val="single" w:color="000000" w:sz="4" w:space="0"/>
              <w:bottom w:val="single" w:color="000000" w:sz="4" w:space="0"/>
              <w:right w:val="single" w:color="000000" w:sz="4" w:space="0"/>
            </w:tcBorders>
            <w:noWrap/>
            <w:vAlign w:val="center"/>
          </w:tcPr>
          <w:p w14:paraId="1D7E250B">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1.95837</w:t>
            </w:r>
          </w:p>
        </w:tc>
        <w:tc>
          <w:tcPr>
            <w:tcW w:w="713" w:type="pct"/>
            <w:tcBorders>
              <w:top w:val="single" w:color="000000" w:sz="4" w:space="0"/>
              <w:left w:val="single" w:color="000000" w:sz="4" w:space="0"/>
              <w:bottom w:val="single" w:color="000000" w:sz="4" w:space="0"/>
              <w:right w:val="single" w:color="000000" w:sz="4" w:space="0"/>
            </w:tcBorders>
            <w:noWrap/>
            <w:vAlign w:val="center"/>
          </w:tcPr>
          <w:p w14:paraId="5EE44165">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14:paraId="393D593B">
        <w:tblPrEx>
          <w:tblCellMar>
            <w:top w:w="0" w:type="dxa"/>
            <w:left w:w="108" w:type="dxa"/>
            <w:bottom w:w="0" w:type="dxa"/>
            <w:right w:w="108" w:type="dxa"/>
          </w:tblCellMar>
        </w:tblPrEx>
        <w:trPr>
          <w:cantSplit/>
          <w:trHeight w:val="367" w:hRule="atLeast"/>
        </w:trPr>
        <w:tc>
          <w:tcPr>
            <w:tcW w:w="1820" w:type="pct"/>
            <w:gridSpan w:val="2"/>
            <w:tcBorders>
              <w:top w:val="single" w:color="000000" w:sz="4" w:space="0"/>
              <w:left w:val="single" w:color="000000" w:sz="4" w:space="0"/>
              <w:bottom w:val="single" w:color="000000" w:sz="4" w:space="0"/>
              <w:right w:val="single" w:color="000000" w:sz="4" w:space="0"/>
            </w:tcBorders>
            <w:noWrap/>
            <w:vAlign w:val="center"/>
          </w:tcPr>
          <w:p w14:paraId="309020E4">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全年平均办公面积*</w:t>
            </w:r>
          </w:p>
        </w:tc>
        <w:tc>
          <w:tcPr>
            <w:tcW w:w="485" w:type="pct"/>
            <w:tcBorders>
              <w:top w:val="single" w:color="000000" w:sz="4" w:space="0"/>
              <w:left w:val="single" w:color="000000" w:sz="4" w:space="0"/>
              <w:bottom w:val="single" w:color="000000" w:sz="4" w:space="0"/>
              <w:right w:val="single" w:color="000000" w:sz="4" w:space="0"/>
            </w:tcBorders>
            <w:noWrap/>
            <w:vAlign w:val="center"/>
          </w:tcPr>
          <w:p w14:paraId="52E946AC">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平方米</w:t>
            </w: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192EEB9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4000</w:t>
            </w:r>
          </w:p>
        </w:tc>
        <w:tc>
          <w:tcPr>
            <w:tcW w:w="352" w:type="pct"/>
            <w:tcBorders>
              <w:top w:val="single" w:color="000000" w:sz="4" w:space="0"/>
              <w:left w:val="single" w:color="000000" w:sz="4" w:space="0"/>
              <w:bottom w:val="single" w:color="000000" w:sz="4" w:space="0"/>
              <w:right w:val="single" w:color="000000" w:sz="4" w:space="0"/>
            </w:tcBorders>
            <w:noWrap/>
            <w:vAlign w:val="center"/>
          </w:tcPr>
          <w:p w14:paraId="6DA99EE7">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7B59BF2D">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650" w:type="pct"/>
            <w:tcBorders>
              <w:top w:val="single" w:color="000000" w:sz="4" w:space="0"/>
              <w:left w:val="single" w:color="000000" w:sz="4" w:space="0"/>
              <w:bottom w:val="single" w:color="000000" w:sz="4" w:space="0"/>
              <w:right w:val="single" w:color="000000" w:sz="4" w:space="0"/>
            </w:tcBorders>
            <w:noWrap/>
            <w:vAlign w:val="center"/>
          </w:tcPr>
          <w:p w14:paraId="707E781F">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713" w:type="pct"/>
            <w:tcBorders>
              <w:top w:val="single" w:color="000000" w:sz="4" w:space="0"/>
              <w:left w:val="single" w:color="000000" w:sz="4" w:space="0"/>
              <w:bottom w:val="single" w:color="000000" w:sz="4" w:space="0"/>
              <w:right w:val="single" w:color="000000" w:sz="4" w:space="0"/>
            </w:tcBorders>
            <w:noWrap/>
            <w:vAlign w:val="center"/>
          </w:tcPr>
          <w:p w14:paraId="635DEFF2">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0.24969</w:t>
            </w:r>
          </w:p>
        </w:tc>
      </w:tr>
      <w:tr w14:paraId="7FEE10F5">
        <w:tblPrEx>
          <w:tblCellMar>
            <w:top w:w="0" w:type="dxa"/>
            <w:left w:w="108" w:type="dxa"/>
            <w:bottom w:w="0" w:type="dxa"/>
            <w:right w:w="108" w:type="dxa"/>
          </w:tblCellMar>
        </w:tblPrEx>
        <w:trPr>
          <w:cantSplit/>
          <w:trHeight w:val="367" w:hRule="atLeast"/>
        </w:trPr>
        <w:tc>
          <w:tcPr>
            <w:tcW w:w="1820" w:type="pct"/>
            <w:gridSpan w:val="2"/>
            <w:tcBorders>
              <w:top w:val="single" w:color="000000" w:sz="4" w:space="0"/>
              <w:left w:val="single" w:color="000000" w:sz="4" w:space="0"/>
              <w:bottom w:val="single" w:color="000000" w:sz="4" w:space="0"/>
              <w:right w:val="single" w:color="000000" w:sz="4" w:space="0"/>
            </w:tcBorders>
            <w:noWrap/>
            <w:vAlign w:val="center"/>
          </w:tcPr>
          <w:p w14:paraId="377AFA6C">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能源直接及间接温室气体排放总量（范围一+范围二）</w:t>
            </w:r>
          </w:p>
        </w:tc>
        <w:tc>
          <w:tcPr>
            <w:tcW w:w="485" w:type="pct"/>
            <w:tcBorders>
              <w:top w:val="single" w:color="000000" w:sz="4" w:space="0"/>
              <w:left w:val="single" w:color="000000" w:sz="4" w:space="0"/>
              <w:bottom w:val="single" w:color="000000" w:sz="4" w:space="0"/>
              <w:right w:val="single" w:color="000000" w:sz="4" w:space="0"/>
            </w:tcBorders>
            <w:noWrap/>
            <w:vAlign w:val="center"/>
          </w:tcPr>
          <w:p w14:paraId="123CAD35">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tCO2e</w:t>
            </w: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5D1CACE7">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998.77</w:t>
            </w:r>
          </w:p>
        </w:tc>
        <w:tc>
          <w:tcPr>
            <w:tcW w:w="352" w:type="pct"/>
            <w:tcBorders>
              <w:top w:val="single" w:color="000000" w:sz="4" w:space="0"/>
              <w:left w:val="single" w:color="000000" w:sz="4" w:space="0"/>
              <w:bottom w:val="single" w:color="000000" w:sz="4" w:space="0"/>
              <w:right w:val="single" w:color="000000" w:sz="4" w:space="0"/>
            </w:tcBorders>
            <w:noWrap/>
            <w:vAlign w:val="center"/>
          </w:tcPr>
          <w:p w14:paraId="2A4394C7">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2D9CBB5C">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650" w:type="pct"/>
            <w:tcBorders>
              <w:top w:val="single" w:color="000000" w:sz="4" w:space="0"/>
              <w:left w:val="single" w:color="000000" w:sz="4" w:space="0"/>
              <w:bottom w:val="single" w:color="000000" w:sz="4" w:space="0"/>
              <w:right w:val="single" w:color="000000" w:sz="4" w:space="0"/>
            </w:tcBorders>
            <w:noWrap/>
            <w:vAlign w:val="center"/>
          </w:tcPr>
          <w:p w14:paraId="7F8010C4">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713" w:type="pct"/>
            <w:tcBorders>
              <w:top w:val="single" w:color="000000" w:sz="4" w:space="0"/>
              <w:left w:val="single" w:color="000000" w:sz="4" w:space="0"/>
              <w:bottom w:val="single" w:color="000000" w:sz="4" w:space="0"/>
              <w:right w:val="single" w:color="000000" w:sz="4" w:space="0"/>
            </w:tcBorders>
            <w:noWrap/>
            <w:vAlign w:val="center"/>
          </w:tcPr>
          <w:p w14:paraId="6DD3F996">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14:paraId="385C945B">
        <w:tblPrEx>
          <w:tblCellMar>
            <w:top w:w="0" w:type="dxa"/>
            <w:left w:w="108" w:type="dxa"/>
            <w:bottom w:w="0" w:type="dxa"/>
            <w:right w:w="108" w:type="dxa"/>
          </w:tblCellMar>
        </w:tblPrEx>
        <w:trPr>
          <w:cantSplit/>
          <w:trHeight w:val="367" w:hRule="atLeast"/>
        </w:trPr>
        <w:tc>
          <w:tcPr>
            <w:tcW w:w="1820" w:type="pct"/>
            <w:gridSpan w:val="2"/>
            <w:tcBorders>
              <w:top w:val="single" w:color="000000" w:sz="4" w:space="0"/>
              <w:left w:val="single" w:color="000000" w:sz="4" w:space="0"/>
              <w:bottom w:val="single" w:color="000000" w:sz="4" w:space="0"/>
              <w:right w:val="single" w:color="000000" w:sz="4" w:space="0"/>
            </w:tcBorders>
            <w:noWrap/>
            <w:vAlign w:val="center"/>
          </w:tcPr>
          <w:p w14:paraId="1661AFFE">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直接温室气体排放量（范围一）</w:t>
            </w:r>
          </w:p>
        </w:tc>
        <w:tc>
          <w:tcPr>
            <w:tcW w:w="485" w:type="pct"/>
            <w:tcBorders>
              <w:top w:val="single" w:color="000000" w:sz="4" w:space="0"/>
              <w:left w:val="single" w:color="000000" w:sz="4" w:space="0"/>
              <w:bottom w:val="single" w:color="000000" w:sz="4" w:space="0"/>
              <w:right w:val="single" w:color="000000" w:sz="4" w:space="0"/>
            </w:tcBorders>
            <w:noWrap/>
            <w:vAlign w:val="center"/>
          </w:tcPr>
          <w:p w14:paraId="748F2795">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tCO2e</w:t>
            </w: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5801EE1C">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43.88</w:t>
            </w:r>
          </w:p>
        </w:tc>
        <w:tc>
          <w:tcPr>
            <w:tcW w:w="352" w:type="pct"/>
            <w:tcBorders>
              <w:top w:val="single" w:color="000000" w:sz="4" w:space="0"/>
              <w:left w:val="single" w:color="000000" w:sz="4" w:space="0"/>
              <w:bottom w:val="single" w:color="000000" w:sz="4" w:space="0"/>
              <w:right w:val="single" w:color="000000" w:sz="4" w:space="0"/>
            </w:tcBorders>
            <w:noWrap/>
            <w:vAlign w:val="center"/>
          </w:tcPr>
          <w:p w14:paraId="51B98CE1">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4381F58C">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650" w:type="pct"/>
            <w:tcBorders>
              <w:top w:val="single" w:color="000000" w:sz="4" w:space="0"/>
              <w:left w:val="single" w:color="000000" w:sz="4" w:space="0"/>
              <w:bottom w:val="single" w:color="000000" w:sz="4" w:space="0"/>
              <w:right w:val="single" w:color="000000" w:sz="4" w:space="0"/>
            </w:tcBorders>
            <w:noWrap/>
            <w:vAlign w:val="center"/>
          </w:tcPr>
          <w:p w14:paraId="7901CA06">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713" w:type="pct"/>
            <w:tcBorders>
              <w:top w:val="single" w:color="000000" w:sz="4" w:space="0"/>
              <w:left w:val="single" w:color="000000" w:sz="4" w:space="0"/>
              <w:bottom w:val="single" w:color="000000" w:sz="4" w:space="0"/>
              <w:right w:val="single" w:color="000000" w:sz="4" w:space="0"/>
            </w:tcBorders>
            <w:noWrap/>
            <w:vAlign w:val="center"/>
          </w:tcPr>
          <w:p w14:paraId="465F879A">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14:paraId="10D2259B">
        <w:tblPrEx>
          <w:tblCellMar>
            <w:top w:w="0" w:type="dxa"/>
            <w:left w:w="108" w:type="dxa"/>
            <w:bottom w:w="0" w:type="dxa"/>
            <w:right w:w="108" w:type="dxa"/>
          </w:tblCellMar>
        </w:tblPrEx>
        <w:trPr>
          <w:cantSplit/>
          <w:trHeight w:val="367" w:hRule="atLeast"/>
        </w:trPr>
        <w:tc>
          <w:tcPr>
            <w:tcW w:w="1072" w:type="pct"/>
            <w:vMerge w:val="restart"/>
            <w:tcBorders>
              <w:top w:val="single" w:color="000000" w:sz="4" w:space="0"/>
              <w:left w:val="single" w:color="000000" w:sz="4" w:space="0"/>
              <w:bottom w:val="single" w:color="000000" w:sz="4" w:space="0"/>
              <w:right w:val="single" w:color="000000" w:sz="4" w:space="0"/>
            </w:tcBorders>
            <w:noWrap/>
            <w:vAlign w:val="center"/>
          </w:tcPr>
          <w:p w14:paraId="6A5EB31A">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营业办公（含固定源、移动源）和采暖（制冷）设备消耗的化石能源</w:t>
            </w:r>
          </w:p>
        </w:tc>
        <w:tc>
          <w:tcPr>
            <w:tcW w:w="747" w:type="pct"/>
            <w:tcBorders>
              <w:top w:val="single" w:color="000000" w:sz="4" w:space="0"/>
              <w:left w:val="single" w:color="000000" w:sz="4" w:space="0"/>
              <w:bottom w:val="single" w:color="000000" w:sz="4" w:space="0"/>
              <w:right w:val="single" w:color="000000" w:sz="4" w:space="0"/>
            </w:tcBorders>
            <w:noWrap/>
            <w:vAlign w:val="center"/>
          </w:tcPr>
          <w:p w14:paraId="3BF0D776">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无烟煤</w:t>
            </w:r>
          </w:p>
        </w:tc>
        <w:tc>
          <w:tcPr>
            <w:tcW w:w="485" w:type="pct"/>
            <w:tcBorders>
              <w:top w:val="single" w:color="000000" w:sz="4" w:space="0"/>
              <w:left w:val="single" w:color="000000" w:sz="4" w:space="0"/>
              <w:bottom w:val="single" w:color="000000" w:sz="4" w:space="0"/>
              <w:right w:val="single" w:color="000000" w:sz="4" w:space="0"/>
            </w:tcBorders>
            <w:noWrap/>
            <w:vAlign w:val="center"/>
          </w:tcPr>
          <w:p w14:paraId="788F66F8">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t</w:t>
            </w: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105E38A5">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352" w:type="pct"/>
            <w:tcBorders>
              <w:top w:val="single" w:color="000000" w:sz="4" w:space="0"/>
              <w:left w:val="single" w:color="000000" w:sz="4" w:space="0"/>
              <w:bottom w:val="single" w:color="000000" w:sz="4" w:space="0"/>
              <w:right w:val="single" w:color="000000" w:sz="4" w:space="0"/>
            </w:tcBorders>
            <w:noWrap/>
            <w:vAlign w:val="center"/>
          </w:tcPr>
          <w:p w14:paraId="675DDEF1">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0575FED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650" w:type="pct"/>
            <w:tcBorders>
              <w:top w:val="single" w:color="000000" w:sz="4" w:space="0"/>
              <w:left w:val="single" w:color="000000" w:sz="4" w:space="0"/>
              <w:bottom w:val="single" w:color="000000" w:sz="4" w:space="0"/>
              <w:right w:val="single" w:color="000000" w:sz="4" w:space="0"/>
            </w:tcBorders>
            <w:noWrap/>
            <w:vAlign w:val="center"/>
          </w:tcPr>
          <w:p w14:paraId="641D2317">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713" w:type="pct"/>
            <w:tcBorders>
              <w:top w:val="single" w:color="000000" w:sz="4" w:space="0"/>
              <w:left w:val="single" w:color="000000" w:sz="4" w:space="0"/>
              <w:bottom w:val="single" w:color="000000" w:sz="4" w:space="0"/>
              <w:right w:val="single" w:color="000000" w:sz="4" w:space="0"/>
            </w:tcBorders>
            <w:noWrap/>
            <w:vAlign w:val="center"/>
          </w:tcPr>
          <w:p w14:paraId="69472944">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14:paraId="32B21B30">
        <w:tblPrEx>
          <w:tblCellMar>
            <w:top w:w="0" w:type="dxa"/>
            <w:left w:w="108" w:type="dxa"/>
            <w:bottom w:w="0" w:type="dxa"/>
            <w:right w:w="108" w:type="dxa"/>
          </w:tblCellMar>
        </w:tblPrEx>
        <w:trPr>
          <w:cantSplit/>
          <w:trHeight w:val="367" w:hRule="atLeast"/>
        </w:trPr>
        <w:tc>
          <w:tcPr>
            <w:tcW w:w="1072" w:type="pct"/>
            <w:vMerge w:val="continue"/>
            <w:tcBorders>
              <w:top w:val="single" w:color="000000" w:sz="4" w:space="0"/>
              <w:left w:val="single" w:color="000000" w:sz="4" w:space="0"/>
              <w:bottom w:val="single" w:color="000000" w:sz="4" w:space="0"/>
              <w:right w:val="single" w:color="000000" w:sz="4" w:space="0"/>
            </w:tcBorders>
            <w:noWrap/>
            <w:vAlign w:val="center"/>
          </w:tcPr>
          <w:p w14:paraId="5BFB130D">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营业办公（含固定源、移动源）和采暖（制冷）设备消耗的化石能源</w:t>
            </w:r>
          </w:p>
        </w:tc>
        <w:tc>
          <w:tcPr>
            <w:tcW w:w="747" w:type="pct"/>
            <w:tcBorders>
              <w:top w:val="single" w:color="000000" w:sz="4" w:space="0"/>
              <w:left w:val="single" w:color="000000" w:sz="4" w:space="0"/>
              <w:bottom w:val="single" w:color="000000" w:sz="4" w:space="0"/>
              <w:right w:val="single" w:color="000000" w:sz="4" w:space="0"/>
            </w:tcBorders>
            <w:noWrap/>
            <w:vAlign w:val="center"/>
          </w:tcPr>
          <w:p w14:paraId="4B934883">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柴油</w:t>
            </w:r>
          </w:p>
        </w:tc>
        <w:tc>
          <w:tcPr>
            <w:tcW w:w="485" w:type="pct"/>
            <w:tcBorders>
              <w:top w:val="single" w:color="000000" w:sz="4" w:space="0"/>
              <w:left w:val="single" w:color="000000" w:sz="4" w:space="0"/>
              <w:bottom w:val="single" w:color="000000" w:sz="4" w:space="0"/>
              <w:right w:val="single" w:color="000000" w:sz="4" w:space="0"/>
            </w:tcBorders>
            <w:noWrap/>
            <w:vAlign w:val="center"/>
          </w:tcPr>
          <w:p w14:paraId="3CFD246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t</w:t>
            </w: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38F23F4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352" w:type="pct"/>
            <w:tcBorders>
              <w:top w:val="single" w:color="000000" w:sz="4" w:space="0"/>
              <w:left w:val="single" w:color="000000" w:sz="4" w:space="0"/>
              <w:bottom w:val="single" w:color="000000" w:sz="4" w:space="0"/>
              <w:right w:val="single" w:color="000000" w:sz="4" w:space="0"/>
            </w:tcBorders>
            <w:noWrap/>
            <w:vAlign w:val="center"/>
          </w:tcPr>
          <w:p w14:paraId="394991F5">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71A1D0F9">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650" w:type="pct"/>
            <w:tcBorders>
              <w:top w:val="single" w:color="000000" w:sz="4" w:space="0"/>
              <w:left w:val="single" w:color="000000" w:sz="4" w:space="0"/>
              <w:bottom w:val="single" w:color="000000" w:sz="4" w:space="0"/>
              <w:right w:val="single" w:color="000000" w:sz="4" w:space="0"/>
            </w:tcBorders>
            <w:noWrap/>
            <w:vAlign w:val="center"/>
          </w:tcPr>
          <w:p w14:paraId="7D8E9D4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713" w:type="pct"/>
            <w:tcBorders>
              <w:top w:val="single" w:color="000000" w:sz="4" w:space="0"/>
              <w:left w:val="single" w:color="000000" w:sz="4" w:space="0"/>
              <w:bottom w:val="single" w:color="000000" w:sz="4" w:space="0"/>
              <w:right w:val="single" w:color="000000" w:sz="4" w:space="0"/>
            </w:tcBorders>
            <w:noWrap/>
            <w:vAlign w:val="center"/>
          </w:tcPr>
          <w:p w14:paraId="08CECA6F">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14:paraId="1918ABD0">
        <w:tblPrEx>
          <w:tblCellMar>
            <w:top w:w="0" w:type="dxa"/>
            <w:left w:w="108" w:type="dxa"/>
            <w:bottom w:w="0" w:type="dxa"/>
            <w:right w:w="108" w:type="dxa"/>
          </w:tblCellMar>
        </w:tblPrEx>
        <w:trPr>
          <w:cantSplit/>
          <w:trHeight w:val="367" w:hRule="atLeast"/>
        </w:trPr>
        <w:tc>
          <w:tcPr>
            <w:tcW w:w="1072" w:type="pct"/>
            <w:vMerge w:val="continue"/>
            <w:tcBorders>
              <w:top w:val="single" w:color="000000" w:sz="4" w:space="0"/>
              <w:left w:val="single" w:color="000000" w:sz="4" w:space="0"/>
              <w:bottom w:val="single" w:color="000000" w:sz="4" w:space="0"/>
              <w:right w:val="single" w:color="000000" w:sz="4" w:space="0"/>
            </w:tcBorders>
            <w:noWrap/>
            <w:vAlign w:val="center"/>
          </w:tcPr>
          <w:p w14:paraId="707EF6CF">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营业办公（含固定源、移动源）和采暖（制冷）设备消耗的化石能源</w:t>
            </w:r>
          </w:p>
        </w:tc>
        <w:tc>
          <w:tcPr>
            <w:tcW w:w="747" w:type="pct"/>
            <w:tcBorders>
              <w:top w:val="single" w:color="000000" w:sz="4" w:space="0"/>
              <w:left w:val="single" w:color="000000" w:sz="4" w:space="0"/>
              <w:bottom w:val="single" w:color="000000" w:sz="4" w:space="0"/>
              <w:right w:val="single" w:color="000000" w:sz="4" w:space="0"/>
            </w:tcBorders>
            <w:noWrap/>
            <w:vAlign w:val="center"/>
          </w:tcPr>
          <w:p w14:paraId="3DB2207C">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汽油</w:t>
            </w:r>
          </w:p>
        </w:tc>
        <w:tc>
          <w:tcPr>
            <w:tcW w:w="485" w:type="pct"/>
            <w:tcBorders>
              <w:top w:val="single" w:color="000000" w:sz="4" w:space="0"/>
              <w:left w:val="single" w:color="000000" w:sz="4" w:space="0"/>
              <w:bottom w:val="single" w:color="000000" w:sz="4" w:space="0"/>
              <w:right w:val="single" w:color="000000" w:sz="4" w:space="0"/>
            </w:tcBorders>
            <w:noWrap/>
            <w:vAlign w:val="center"/>
          </w:tcPr>
          <w:p w14:paraId="48BF7E08">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t</w:t>
            </w: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7018E097">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15</w:t>
            </w:r>
          </w:p>
        </w:tc>
        <w:tc>
          <w:tcPr>
            <w:tcW w:w="352" w:type="pct"/>
            <w:tcBorders>
              <w:top w:val="single" w:color="000000" w:sz="4" w:space="0"/>
              <w:left w:val="single" w:color="000000" w:sz="4" w:space="0"/>
              <w:bottom w:val="single" w:color="000000" w:sz="4" w:space="0"/>
              <w:right w:val="single" w:color="000000" w:sz="4" w:space="0"/>
            </w:tcBorders>
            <w:noWrap/>
            <w:vAlign w:val="center"/>
          </w:tcPr>
          <w:p w14:paraId="039F0805">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0.02941</w:t>
            </w: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15DCB6DD">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43.88</w:t>
            </w:r>
          </w:p>
        </w:tc>
        <w:tc>
          <w:tcPr>
            <w:tcW w:w="650" w:type="pct"/>
            <w:tcBorders>
              <w:top w:val="single" w:color="000000" w:sz="4" w:space="0"/>
              <w:left w:val="single" w:color="000000" w:sz="4" w:space="0"/>
              <w:bottom w:val="single" w:color="000000" w:sz="4" w:space="0"/>
              <w:right w:val="single" w:color="000000" w:sz="4" w:space="0"/>
            </w:tcBorders>
            <w:noWrap/>
            <w:vAlign w:val="center"/>
          </w:tcPr>
          <w:p w14:paraId="469673B1">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713" w:type="pct"/>
            <w:tcBorders>
              <w:top w:val="single" w:color="000000" w:sz="4" w:space="0"/>
              <w:left w:val="single" w:color="000000" w:sz="4" w:space="0"/>
              <w:bottom w:val="single" w:color="000000" w:sz="4" w:space="0"/>
              <w:right w:val="single" w:color="000000" w:sz="4" w:space="0"/>
            </w:tcBorders>
            <w:noWrap/>
            <w:vAlign w:val="center"/>
          </w:tcPr>
          <w:p w14:paraId="026BCAC8">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14:paraId="2F8FC1D8">
        <w:tblPrEx>
          <w:tblCellMar>
            <w:top w:w="0" w:type="dxa"/>
            <w:left w:w="108" w:type="dxa"/>
            <w:bottom w:w="0" w:type="dxa"/>
            <w:right w:w="108" w:type="dxa"/>
          </w:tblCellMar>
        </w:tblPrEx>
        <w:trPr>
          <w:cantSplit/>
          <w:trHeight w:val="367" w:hRule="atLeast"/>
        </w:trPr>
        <w:tc>
          <w:tcPr>
            <w:tcW w:w="1072" w:type="pct"/>
            <w:vMerge w:val="continue"/>
            <w:tcBorders>
              <w:top w:val="single" w:color="000000" w:sz="4" w:space="0"/>
              <w:left w:val="single" w:color="000000" w:sz="4" w:space="0"/>
              <w:bottom w:val="single" w:color="000000" w:sz="4" w:space="0"/>
              <w:right w:val="single" w:color="000000" w:sz="4" w:space="0"/>
            </w:tcBorders>
            <w:noWrap/>
            <w:vAlign w:val="center"/>
          </w:tcPr>
          <w:p w14:paraId="78F8755E">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营业办公（含固定源、移动源）和采暖（制冷）设备消耗的化石能源</w:t>
            </w:r>
          </w:p>
        </w:tc>
        <w:tc>
          <w:tcPr>
            <w:tcW w:w="747" w:type="pct"/>
            <w:tcBorders>
              <w:top w:val="single" w:color="000000" w:sz="4" w:space="0"/>
              <w:left w:val="single" w:color="000000" w:sz="4" w:space="0"/>
              <w:bottom w:val="single" w:color="000000" w:sz="4" w:space="0"/>
              <w:right w:val="single" w:color="000000" w:sz="4" w:space="0"/>
            </w:tcBorders>
            <w:noWrap/>
            <w:vAlign w:val="center"/>
          </w:tcPr>
          <w:p w14:paraId="0D3B592B">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天然气</w:t>
            </w:r>
          </w:p>
        </w:tc>
        <w:tc>
          <w:tcPr>
            <w:tcW w:w="485" w:type="pct"/>
            <w:tcBorders>
              <w:top w:val="single" w:color="000000" w:sz="4" w:space="0"/>
              <w:left w:val="single" w:color="000000" w:sz="4" w:space="0"/>
              <w:bottom w:val="single" w:color="000000" w:sz="4" w:space="0"/>
              <w:right w:val="single" w:color="000000" w:sz="4" w:space="0"/>
            </w:tcBorders>
            <w:noWrap/>
            <w:vAlign w:val="center"/>
          </w:tcPr>
          <w:p w14:paraId="7A7E6658">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万Nm3</w:t>
            </w: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249FE9A6">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352" w:type="pct"/>
            <w:tcBorders>
              <w:top w:val="single" w:color="000000" w:sz="4" w:space="0"/>
              <w:left w:val="single" w:color="000000" w:sz="4" w:space="0"/>
              <w:bottom w:val="single" w:color="000000" w:sz="4" w:space="0"/>
              <w:right w:val="single" w:color="000000" w:sz="4" w:space="0"/>
            </w:tcBorders>
            <w:noWrap/>
            <w:vAlign w:val="center"/>
          </w:tcPr>
          <w:p w14:paraId="3CBFBB5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2B6C4088">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650" w:type="pct"/>
            <w:tcBorders>
              <w:top w:val="single" w:color="000000" w:sz="4" w:space="0"/>
              <w:left w:val="single" w:color="000000" w:sz="4" w:space="0"/>
              <w:bottom w:val="single" w:color="000000" w:sz="4" w:space="0"/>
              <w:right w:val="single" w:color="000000" w:sz="4" w:space="0"/>
            </w:tcBorders>
            <w:noWrap/>
            <w:vAlign w:val="center"/>
          </w:tcPr>
          <w:p w14:paraId="598AEF95">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713" w:type="pct"/>
            <w:tcBorders>
              <w:top w:val="single" w:color="000000" w:sz="4" w:space="0"/>
              <w:left w:val="single" w:color="000000" w:sz="4" w:space="0"/>
              <w:bottom w:val="single" w:color="000000" w:sz="4" w:space="0"/>
              <w:right w:val="single" w:color="000000" w:sz="4" w:space="0"/>
            </w:tcBorders>
            <w:noWrap/>
            <w:vAlign w:val="center"/>
          </w:tcPr>
          <w:p w14:paraId="6BC974E7">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14:paraId="429EF44B">
        <w:tblPrEx>
          <w:tblCellMar>
            <w:top w:w="0" w:type="dxa"/>
            <w:left w:w="108" w:type="dxa"/>
            <w:bottom w:w="0" w:type="dxa"/>
            <w:right w:w="108" w:type="dxa"/>
          </w:tblCellMar>
        </w:tblPrEx>
        <w:trPr>
          <w:cantSplit/>
          <w:trHeight w:val="367" w:hRule="atLeast"/>
        </w:trPr>
        <w:tc>
          <w:tcPr>
            <w:tcW w:w="1820" w:type="pct"/>
            <w:gridSpan w:val="2"/>
            <w:tcBorders>
              <w:top w:val="single" w:color="000000" w:sz="4" w:space="0"/>
              <w:left w:val="single" w:color="000000" w:sz="4" w:space="0"/>
              <w:bottom w:val="single" w:color="000000" w:sz="4" w:space="0"/>
              <w:right w:val="single" w:color="000000" w:sz="4" w:space="0"/>
            </w:tcBorders>
            <w:noWrap/>
            <w:vAlign w:val="center"/>
          </w:tcPr>
          <w:p w14:paraId="33A55AF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能源间接温室气体排放量（范围二）</w:t>
            </w:r>
          </w:p>
        </w:tc>
        <w:tc>
          <w:tcPr>
            <w:tcW w:w="485" w:type="pct"/>
            <w:tcBorders>
              <w:top w:val="single" w:color="000000" w:sz="4" w:space="0"/>
              <w:left w:val="single" w:color="000000" w:sz="4" w:space="0"/>
              <w:bottom w:val="single" w:color="000000" w:sz="4" w:space="0"/>
              <w:right w:val="single" w:color="000000" w:sz="4" w:space="0"/>
            </w:tcBorders>
            <w:noWrap/>
            <w:vAlign w:val="center"/>
          </w:tcPr>
          <w:p w14:paraId="2691BE9E">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tCO2e</w:t>
            </w: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1288DBAD">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954.89</w:t>
            </w:r>
          </w:p>
        </w:tc>
        <w:tc>
          <w:tcPr>
            <w:tcW w:w="352" w:type="pct"/>
            <w:tcBorders>
              <w:top w:val="single" w:color="000000" w:sz="4" w:space="0"/>
              <w:left w:val="single" w:color="000000" w:sz="4" w:space="0"/>
              <w:bottom w:val="single" w:color="000000" w:sz="4" w:space="0"/>
              <w:right w:val="single" w:color="000000" w:sz="4" w:space="0"/>
            </w:tcBorders>
            <w:noWrap/>
            <w:vAlign w:val="center"/>
          </w:tcPr>
          <w:p w14:paraId="64860EC3">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0E8A269E">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650" w:type="pct"/>
            <w:tcBorders>
              <w:top w:val="single" w:color="000000" w:sz="4" w:space="0"/>
              <w:left w:val="single" w:color="000000" w:sz="4" w:space="0"/>
              <w:bottom w:val="single" w:color="000000" w:sz="4" w:space="0"/>
              <w:right w:val="single" w:color="000000" w:sz="4" w:space="0"/>
            </w:tcBorders>
            <w:noWrap/>
            <w:vAlign w:val="center"/>
          </w:tcPr>
          <w:p w14:paraId="4CFA5259">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713" w:type="pct"/>
            <w:tcBorders>
              <w:top w:val="single" w:color="000000" w:sz="4" w:space="0"/>
              <w:left w:val="single" w:color="000000" w:sz="4" w:space="0"/>
              <w:bottom w:val="single" w:color="000000" w:sz="4" w:space="0"/>
              <w:right w:val="single" w:color="000000" w:sz="4" w:space="0"/>
            </w:tcBorders>
            <w:noWrap/>
            <w:vAlign w:val="center"/>
          </w:tcPr>
          <w:p w14:paraId="50DA4527">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14:paraId="6DAC1BBD">
        <w:tblPrEx>
          <w:tblCellMar>
            <w:top w:w="0" w:type="dxa"/>
            <w:left w:w="108" w:type="dxa"/>
            <w:bottom w:w="0" w:type="dxa"/>
            <w:right w:w="108" w:type="dxa"/>
          </w:tblCellMar>
        </w:tblPrEx>
        <w:trPr>
          <w:cantSplit/>
          <w:trHeight w:val="367" w:hRule="atLeast"/>
        </w:trPr>
        <w:tc>
          <w:tcPr>
            <w:tcW w:w="1072" w:type="pct"/>
            <w:vMerge w:val="restart"/>
            <w:tcBorders>
              <w:top w:val="single" w:color="000000" w:sz="4" w:space="0"/>
              <w:left w:val="single" w:color="000000" w:sz="4" w:space="0"/>
              <w:bottom w:val="single" w:color="000000" w:sz="4" w:space="0"/>
              <w:right w:val="single" w:color="000000" w:sz="4" w:space="0"/>
            </w:tcBorders>
            <w:noWrap/>
            <w:vAlign w:val="center"/>
          </w:tcPr>
          <w:p w14:paraId="2AB1503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消耗的外部输入的电力、热、冷或蒸汽</w:t>
            </w:r>
          </w:p>
        </w:tc>
        <w:tc>
          <w:tcPr>
            <w:tcW w:w="747" w:type="pct"/>
            <w:tcBorders>
              <w:top w:val="single" w:color="000000" w:sz="4" w:space="0"/>
              <w:left w:val="single" w:color="000000" w:sz="4" w:space="0"/>
              <w:bottom w:val="single" w:color="000000" w:sz="4" w:space="0"/>
              <w:right w:val="single" w:color="000000" w:sz="4" w:space="0"/>
            </w:tcBorders>
            <w:noWrap/>
            <w:vAlign w:val="center"/>
          </w:tcPr>
          <w:p w14:paraId="40F8BC6A">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电力</w:t>
            </w:r>
          </w:p>
        </w:tc>
        <w:tc>
          <w:tcPr>
            <w:tcW w:w="485" w:type="pct"/>
            <w:tcBorders>
              <w:top w:val="single" w:color="000000" w:sz="4" w:space="0"/>
              <w:left w:val="single" w:color="000000" w:sz="4" w:space="0"/>
              <w:bottom w:val="single" w:color="000000" w:sz="4" w:space="0"/>
              <w:right w:val="single" w:color="000000" w:sz="4" w:space="0"/>
            </w:tcBorders>
            <w:noWrap/>
            <w:vAlign w:val="center"/>
          </w:tcPr>
          <w:p w14:paraId="5B49E099">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MWh</w:t>
            </w: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5C23F543">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1700</w:t>
            </w:r>
          </w:p>
        </w:tc>
        <w:tc>
          <w:tcPr>
            <w:tcW w:w="352" w:type="pct"/>
            <w:tcBorders>
              <w:top w:val="single" w:color="000000" w:sz="4" w:space="0"/>
              <w:left w:val="single" w:color="000000" w:sz="4" w:space="0"/>
              <w:bottom w:val="single" w:color="000000" w:sz="4" w:space="0"/>
              <w:right w:val="single" w:color="000000" w:sz="4" w:space="0"/>
            </w:tcBorders>
            <w:noWrap/>
            <w:vAlign w:val="center"/>
          </w:tcPr>
          <w:p w14:paraId="35A0160E">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3.33333</w:t>
            </w: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5A16C858">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954.89</w:t>
            </w:r>
          </w:p>
        </w:tc>
        <w:tc>
          <w:tcPr>
            <w:tcW w:w="650" w:type="pct"/>
            <w:tcBorders>
              <w:top w:val="single" w:color="000000" w:sz="4" w:space="0"/>
              <w:left w:val="single" w:color="000000" w:sz="4" w:space="0"/>
              <w:bottom w:val="single" w:color="000000" w:sz="4" w:space="0"/>
              <w:right w:val="single" w:color="000000" w:sz="4" w:space="0"/>
            </w:tcBorders>
            <w:noWrap/>
            <w:vAlign w:val="center"/>
          </w:tcPr>
          <w:p w14:paraId="0E45EDF9">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713" w:type="pct"/>
            <w:tcBorders>
              <w:top w:val="single" w:color="000000" w:sz="4" w:space="0"/>
              <w:left w:val="single" w:color="000000" w:sz="4" w:space="0"/>
              <w:bottom w:val="single" w:color="000000" w:sz="4" w:space="0"/>
              <w:right w:val="single" w:color="000000" w:sz="4" w:space="0"/>
            </w:tcBorders>
            <w:noWrap/>
            <w:vAlign w:val="center"/>
          </w:tcPr>
          <w:p w14:paraId="18FAE53F">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14:paraId="0B658B7C">
        <w:tblPrEx>
          <w:tblCellMar>
            <w:top w:w="0" w:type="dxa"/>
            <w:left w:w="108" w:type="dxa"/>
            <w:bottom w:w="0" w:type="dxa"/>
            <w:right w:w="108" w:type="dxa"/>
          </w:tblCellMar>
        </w:tblPrEx>
        <w:trPr>
          <w:cantSplit/>
          <w:trHeight w:val="367" w:hRule="atLeast"/>
        </w:trPr>
        <w:tc>
          <w:tcPr>
            <w:tcW w:w="1072" w:type="pct"/>
            <w:vMerge w:val="continue"/>
            <w:tcBorders>
              <w:top w:val="single" w:color="000000" w:sz="4" w:space="0"/>
              <w:left w:val="single" w:color="000000" w:sz="4" w:space="0"/>
              <w:bottom w:val="single" w:color="000000" w:sz="4" w:space="0"/>
              <w:right w:val="single" w:color="000000" w:sz="4" w:space="0"/>
            </w:tcBorders>
            <w:noWrap/>
            <w:vAlign w:val="center"/>
          </w:tcPr>
          <w:p w14:paraId="4945AD6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消耗的外部输入的电力、热、冷或蒸汽</w:t>
            </w:r>
          </w:p>
        </w:tc>
        <w:tc>
          <w:tcPr>
            <w:tcW w:w="747" w:type="pct"/>
            <w:tcBorders>
              <w:top w:val="single" w:color="000000" w:sz="4" w:space="0"/>
              <w:left w:val="single" w:color="000000" w:sz="4" w:space="0"/>
              <w:bottom w:val="single" w:color="000000" w:sz="4" w:space="0"/>
              <w:right w:val="single" w:color="000000" w:sz="4" w:space="0"/>
            </w:tcBorders>
            <w:noWrap/>
            <w:vAlign w:val="center"/>
          </w:tcPr>
          <w:p w14:paraId="46D404B4">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热力</w:t>
            </w:r>
          </w:p>
        </w:tc>
        <w:tc>
          <w:tcPr>
            <w:tcW w:w="485" w:type="pct"/>
            <w:tcBorders>
              <w:top w:val="single" w:color="000000" w:sz="4" w:space="0"/>
              <w:left w:val="single" w:color="000000" w:sz="4" w:space="0"/>
              <w:bottom w:val="single" w:color="000000" w:sz="4" w:space="0"/>
              <w:right w:val="single" w:color="000000" w:sz="4" w:space="0"/>
            </w:tcBorders>
            <w:noWrap/>
            <w:vAlign w:val="center"/>
          </w:tcPr>
          <w:p w14:paraId="4DE0D5A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GJ</w:t>
            </w:r>
          </w:p>
        </w:tc>
        <w:tc>
          <w:tcPr>
            <w:tcW w:w="443" w:type="pct"/>
            <w:tcBorders>
              <w:top w:val="single" w:color="000000" w:sz="4" w:space="0"/>
              <w:left w:val="single" w:color="000000" w:sz="4" w:space="0"/>
              <w:bottom w:val="single" w:color="000000" w:sz="4" w:space="0"/>
              <w:right w:val="single" w:color="000000" w:sz="4" w:space="0"/>
            </w:tcBorders>
            <w:noWrap/>
            <w:vAlign w:val="center"/>
          </w:tcPr>
          <w:p w14:paraId="52B4C545">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352" w:type="pct"/>
            <w:tcBorders>
              <w:top w:val="single" w:color="000000" w:sz="4" w:space="0"/>
              <w:left w:val="single" w:color="000000" w:sz="4" w:space="0"/>
              <w:bottom w:val="single" w:color="000000" w:sz="4" w:space="0"/>
              <w:right w:val="single" w:color="000000" w:sz="4" w:space="0"/>
            </w:tcBorders>
            <w:noWrap/>
            <w:vAlign w:val="center"/>
          </w:tcPr>
          <w:p w14:paraId="18C43F8B">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534" w:type="pct"/>
            <w:tcBorders>
              <w:top w:val="single" w:color="000000" w:sz="4" w:space="0"/>
              <w:left w:val="single" w:color="000000" w:sz="4" w:space="0"/>
              <w:bottom w:val="single" w:color="000000" w:sz="4" w:space="0"/>
              <w:right w:val="single" w:color="000000" w:sz="4" w:space="0"/>
            </w:tcBorders>
            <w:noWrap/>
            <w:vAlign w:val="center"/>
          </w:tcPr>
          <w:p w14:paraId="172771BF">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650" w:type="pct"/>
            <w:tcBorders>
              <w:top w:val="single" w:color="000000" w:sz="4" w:space="0"/>
              <w:left w:val="single" w:color="000000" w:sz="4" w:space="0"/>
              <w:bottom w:val="single" w:color="000000" w:sz="4" w:space="0"/>
              <w:right w:val="single" w:color="000000" w:sz="4" w:space="0"/>
            </w:tcBorders>
            <w:noWrap/>
            <w:vAlign w:val="center"/>
          </w:tcPr>
          <w:p w14:paraId="1D979DB7">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713" w:type="pct"/>
            <w:tcBorders>
              <w:top w:val="single" w:color="000000" w:sz="4" w:space="0"/>
              <w:left w:val="single" w:color="000000" w:sz="4" w:space="0"/>
              <w:bottom w:val="single" w:color="000000" w:sz="4" w:space="0"/>
              <w:right w:val="single" w:color="000000" w:sz="4" w:space="0"/>
            </w:tcBorders>
            <w:noWrap/>
            <w:vAlign w:val="center"/>
          </w:tcPr>
          <w:p w14:paraId="2CB4AF0A">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bl>
    <w:p w14:paraId="7E70B424">
      <w:pPr>
        <w:pStyle w:val="2"/>
        <w:ind w:left="0" w:leftChars="0" w:firstLine="0" w:firstLineChars="0"/>
        <w:rPr>
          <w:rFonts w:hint="eastAsia" w:ascii="宋体" w:hAnsi="宋体" w:eastAsia="宋体"/>
          <w:b w:val="0"/>
          <w:bCs/>
          <w:color w:val="000000" w:themeColor="text1"/>
          <w:kern w:val="0"/>
          <w:sz w:val="18"/>
          <w:szCs w:val="18"/>
          <w14:textFill>
            <w14:solidFill>
              <w14:schemeClr w14:val="tx1"/>
            </w14:solidFill>
          </w14:textFill>
        </w:rPr>
      </w:pPr>
    </w:p>
    <w:p w14:paraId="60DBCD68">
      <w:pPr>
        <w:pStyle w:val="2"/>
        <w:rPr>
          <w:rFonts w:hint="eastAsia" w:ascii="宋体" w:hAnsi="宋体" w:eastAsia="宋体"/>
          <w:b w:val="0"/>
          <w:bCs/>
          <w:color w:val="000000" w:themeColor="text1"/>
          <w:kern w:val="0"/>
          <w:sz w:val="18"/>
          <w:szCs w:val="18"/>
          <w14:textFill>
            <w14:solidFill>
              <w14:schemeClr w14:val="tx1"/>
            </w14:solidFill>
          </w14:textFill>
        </w:rPr>
      </w:pPr>
    </w:p>
    <w:p w14:paraId="2032793A">
      <w:pPr>
        <w:pStyle w:val="2"/>
        <w:rPr>
          <w:rFonts w:hint="eastAsia" w:ascii="宋体" w:hAnsi="宋体" w:eastAsia="宋体"/>
          <w:b w:val="0"/>
          <w:bCs/>
          <w:color w:val="000000" w:themeColor="text1"/>
          <w:kern w:val="0"/>
          <w:sz w:val="18"/>
          <w:szCs w:val="18"/>
          <w14:textFill>
            <w14:solidFill>
              <w14:schemeClr w14:val="tx1"/>
            </w14:solidFill>
          </w14:textFill>
        </w:rPr>
      </w:pPr>
    </w:p>
    <w:p w14:paraId="54222A4E">
      <w:pPr>
        <w:ind w:firstLine="367"/>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br w:type="page"/>
      </w:r>
    </w:p>
    <w:p w14:paraId="21AD220E">
      <w:pPr>
        <w:widowControl/>
        <w:tabs>
          <w:tab w:val="left" w:pos="3119"/>
        </w:tabs>
        <w:spacing w:line="240" w:lineRule="auto"/>
        <w:ind w:firstLine="0" w:firstLineChars="0"/>
        <w:jc w:val="center"/>
        <w:outlineLvl w:val="2"/>
        <w:rPr>
          <w:rFonts w:hint="eastAsia" w:ascii="宋体" w:hAnsi="宋体" w:eastAsia="宋体"/>
          <w:b w:val="0"/>
          <w:bCs/>
          <w:color w:val="000000" w:themeColor="text1"/>
          <w:kern w:val="0"/>
          <w:sz w:val="18"/>
          <w:szCs w:val="18"/>
          <w14:textFill>
            <w14:solidFill>
              <w14:schemeClr w14:val="tx1"/>
            </w14:solidFill>
          </w14:textFill>
        </w:rPr>
      </w:pPr>
      <w:bookmarkStart w:id="66" w:name="_Toc26673"/>
      <w:r>
        <w:rPr>
          <w:rFonts w:hint="eastAsia" w:ascii="宋体" w:hAnsi="宋体" w:eastAsia="宋体"/>
          <w:b w:val="0"/>
          <w:bCs/>
          <w:color w:val="000000" w:themeColor="text1"/>
          <w:kern w:val="0"/>
          <w:sz w:val="18"/>
          <w:szCs w:val="18"/>
          <w14:textFill>
            <w14:solidFill>
              <w14:schemeClr w14:val="tx1"/>
            </w14:solidFill>
          </w14:textFill>
        </w:rPr>
        <w:t>6-3经营活动碳排放（范围三）</w:t>
      </w:r>
      <w:bookmarkEnd w:id="66"/>
    </w:p>
    <w:tbl>
      <w:tblPr>
        <w:tblStyle w:val="22"/>
        <w:tblW w:w="4999" w:type="pct"/>
        <w:tblInd w:w="0" w:type="dxa"/>
        <w:tblLayout w:type="autofit"/>
        <w:tblCellMar>
          <w:top w:w="0" w:type="dxa"/>
          <w:left w:w="108" w:type="dxa"/>
          <w:bottom w:w="0" w:type="dxa"/>
          <w:right w:w="108" w:type="dxa"/>
        </w:tblCellMar>
      </w:tblPr>
      <w:tblGrid>
        <w:gridCol w:w="2607"/>
        <w:gridCol w:w="4591"/>
        <w:gridCol w:w="2113"/>
        <w:gridCol w:w="2250"/>
        <w:gridCol w:w="2610"/>
      </w:tblGrid>
      <w:tr w14:paraId="47B0434C">
        <w:tblPrEx>
          <w:tblCellMar>
            <w:top w:w="0" w:type="dxa"/>
            <w:left w:w="108" w:type="dxa"/>
            <w:bottom w:w="0" w:type="dxa"/>
            <w:right w:w="108" w:type="dxa"/>
          </w:tblCellMar>
        </w:tblPrEx>
        <w:trPr>
          <w:trHeight w:val="206" w:hRule="atLeast"/>
          <w:tblHeader/>
        </w:trPr>
        <w:tc>
          <w:tcPr>
            <w:tcW w:w="964" w:type="pct"/>
            <w:vMerge w:val="restart"/>
            <w:tcBorders>
              <w:top w:val="single" w:color="000000" w:sz="4" w:space="0"/>
              <w:left w:val="single" w:color="000000" w:sz="4" w:space="0"/>
              <w:bottom w:val="single" w:color="000000" w:sz="4" w:space="0"/>
              <w:right w:val="single" w:color="000000" w:sz="4" w:space="0"/>
            </w:tcBorders>
            <w:noWrap w:val="0"/>
            <w:vAlign w:val="center"/>
          </w:tcPr>
          <w:p w14:paraId="0E1C332A">
            <w:pPr>
              <w:rPr>
                <w:b w:val="0"/>
                <w:bCs/>
              </w:rPr>
            </w:pPr>
            <w:r>
              <w:rPr>
                <w:rFonts w:ascii="宋体" w:hAnsi="宋体" w:eastAsia="宋体" w:cs="宋体"/>
                <w:b w:val="0"/>
                <w:bCs/>
                <w:sz w:val="18"/>
              </w:rPr>
              <w:t>核算要素</w:t>
            </w:r>
          </w:p>
        </w:tc>
        <w:tc>
          <w:tcPr>
            <w:tcW w:w="1441" w:type="pct"/>
            <w:vMerge w:val="restart"/>
            <w:tcBorders>
              <w:top w:val="single" w:color="000000" w:sz="4" w:space="0"/>
              <w:left w:val="single" w:color="000000" w:sz="4" w:space="0"/>
              <w:bottom w:val="single" w:color="000000" w:sz="4" w:space="0"/>
              <w:right w:val="single" w:color="000000" w:sz="4" w:space="0"/>
            </w:tcBorders>
            <w:noWrap w:val="0"/>
            <w:vAlign w:val="center"/>
          </w:tcPr>
          <w:p w14:paraId="3BECD92D">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核算细项</w:t>
            </w:r>
          </w:p>
        </w:tc>
        <w:tc>
          <w:tcPr>
            <w:tcW w:w="2593" w:type="pct"/>
            <w:gridSpan w:val="3"/>
            <w:tcBorders>
              <w:top w:val="single" w:color="000000" w:sz="4" w:space="0"/>
              <w:left w:val="single" w:color="auto" w:sz="4" w:space="0"/>
              <w:bottom w:val="single" w:color="000000" w:sz="4" w:space="0"/>
              <w:right w:val="single" w:color="000000" w:sz="4" w:space="0"/>
            </w:tcBorders>
            <w:noWrap w:val="0"/>
            <w:vAlign w:val="center"/>
          </w:tcPr>
          <w:p w14:paraId="362879F1">
            <w:pPr>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2024</w:t>
            </w:r>
            <w:r>
              <w:rPr>
                <w:rFonts w:hint="eastAsia" w:ascii="宋体" w:hAnsi="宋体" w:eastAsia="宋体" w:cs="宋体"/>
                <w:b w:val="0"/>
                <w:bCs/>
                <w:color w:val="000000" w:themeColor="text1"/>
                <w:kern w:val="0"/>
                <w:sz w:val="18"/>
                <w:szCs w:val="18"/>
                <w14:textFill>
                  <w14:solidFill>
                    <w14:schemeClr w14:val="tx1"/>
                  </w14:solidFill>
                </w14:textFill>
              </w:rPr>
              <w:t>年</w:t>
            </w:r>
          </w:p>
        </w:tc>
      </w:tr>
      <w:tr w14:paraId="505E32B0">
        <w:tblPrEx>
          <w:tblCellMar>
            <w:top w:w="0" w:type="dxa"/>
            <w:left w:w="108" w:type="dxa"/>
            <w:bottom w:w="0" w:type="dxa"/>
            <w:right w:w="108" w:type="dxa"/>
          </w:tblCellMar>
        </w:tblPrEx>
        <w:trPr>
          <w:trHeight w:val="407" w:hRule="atLeast"/>
          <w:tblHeader/>
        </w:trPr>
        <w:tc>
          <w:tcPr>
            <w:tcW w:w="96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3171A3E">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p>
        </w:tc>
        <w:tc>
          <w:tcPr>
            <w:tcW w:w="1441"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CEE3C3">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p>
        </w:tc>
        <w:tc>
          <w:tcPr>
            <w:tcW w:w="790" w:type="pct"/>
            <w:tcBorders>
              <w:top w:val="single" w:color="000000" w:sz="4" w:space="0"/>
              <w:left w:val="single" w:color="auto" w:sz="4" w:space="0"/>
              <w:bottom w:val="single" w:color="000000" w:sz="4" w:space="0"/>
              <w:right w:val="single" w:color="000000" w:sz="4" w:space="0"/>
            </w:tcBorders>
            <w:noWrap w:val="0"/>
            <w:vAlign w:val="center"/>
          </w:tcPr>
          <w:p w14:paraId="66E57AE7">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碳排放量（</w:t>
            </w:r>
            <w:r>
              <w:rPr>
                <w:rFonts w:hint="default" w:ascii="宋体" w:hAnsi="宋体" w:eastAsia="宋体" w:cs="宋体"/>
                <w:b w:val="0"/>
                <w:bCs/>
                <w:color w:val="000000" w:themeColor="text1"/>
                <w:kern w:val="0"/>
                <w:sz w:val="18"/>
                <w:szCs w:val="18"/>
                <w:lang w:val="en-US"/>
                <w14:textFill>
                  <w14:solidFill>
                    <w14:schemeClr w14:val="tx1"/>
                  </w14:solidFill>
                </w14:textFill>
              </w:rPr>
              <w:t>tCO2e</w:t>
            </w:r>
            <w:r>
              <w:rPr>
                <w:rFonts w:hint="eastAsia" w:ascii="宋体" w:hAnsi="宋体" w:eastAsia="宋体" w:cs="宋体"/>
                <w:b w:val="0"/>
                <w:bCs/>
                <w:color w:val="000000" w:themeColor="text1"/>
                <w:kern w:val="0"/>
                <w:sz w:val="18"/>
                <w:szCs w:val="18"/>
                <w14:textFill>
                  <w14:solidFill>
                    <w14:schemeClr w14:val="tx1"/>
                  </w14:solidFill>
                </w14:textFill>
              </w:rPr>
              <w:t>）</w:t>
            </w:r>
          </w:p>
        </w:tc>
        <w:tc>
          <w:tcPr>
            <w:tcW w:w="838" w:type="pct"/>
            <w:tcBorders>
              <w:top w:val="single" w:color="000000" w:sz="4" w:space="0"/>
              <w:left w:val="single" w:color="000000" w:sz="4" w:space="0"/>
              <w:bottom w:val="single" w:color="000000" w:sz="4" w:space="0"/>
              <w:right w:val="single" w:color="000000" w:sz="4" w:space="0"/>
            </w:tcBorders>
            <w:noWrap w:val="0"/>
            <w:vAlign w:val="center"/>
          </w:tcPr>
          <w:p w14:paraId="1C1595A4">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人均碳排放量（</w:t>
            </w:r>
            <w:r>
              <w:rPr>
                <w:rFonts w:hint="default" w:ascii="宋体" w:hAnsi="宋体" w:eastAsia="宋体" w:cs="宋体"/>
                <w:b w:val="0"/>
                <w:bCs/>
                <w:color w:val="000000" w:themeColor="text1"/>
                <w:kern w:val="0"/>
                <w:sz w:val="18"/>
                <w:szCs w:val="18"/>
                <w:lang w:val="en-US"/>
                <w14:textFill>
                  <w14:solidFill>
                    <w14:schemeClr w14:val="tx1"/>
                  </w14:solidFill>
                </w14:textFill>
              </w:rPr>
              <w:t>tCO2e</w:t>
            </w:r>
            <w:r>
              <w:rPr>
                <w:rFonts w:hint="eastAsia" w:ascii="宋体" w:hAnsi="宋体" w:eastAsia="宋体" w:cs="宋体"/>
                <w:b w:val="0"/>
                <w:bCs/>
                <w:color w:val="000000" w:themeColor="text1"/>
                <w:kern w:val="0"/>
                <w:sz w:val="18"/>
                <w:szCs w:val="18"/>
                <w14:textFill>
                  <w14:solidFill>
                    <w14:schemeClr w14:val="tx1"/>
                  </w14:solidFill>
                </w14:textFill>
              </w:rPr>
              <w:t>/人）</w:t>
            </w:r>
          </w:p>
        </w:tc>
        <w:tc>
          <w:tcPr>
            <w:tcW w:w="964" w:type="pct"/>
            <w:tcBorders>
              <w:top w:val="single" w:color="000000" w:sz="4" w:space="0"/>
              <w:left w:val="single" w:color="000000" w:sz="4" w:space="0"/>
              <w:bottom w:val="single" w:color="000000" w:sz="4" w:space="0"/>
              <w:right w:val="single" w:color="000000" w:sz="4" w:space="0"/>
            </w:tcBorders>
            <w:noWrap w:val="0"/>
            <w:vAlign w:val="center"/>
          </w:tcPr>
          <w:p w14:paraId="7F6A597E">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单位面积碳排放量（</w:t>
            </w:r>
            <w:r>
              <w:rPr>
                <w:rFonts w:hint="default" w:ascii="宋体" w:hAnsi="宋体" w:eastAsia="宋体" w:cs="宋体"/>
                <w:b w:val="0"/>
                <w:bCs/>
                <w:color w:val="000000" w:themeColor="text1"/>
                <w:kern w:val="0"/>
                <w:sz w:val="18"/>
                <w:szCs w:val="18"/>
                <w:lang w:val="en-US"/>
                <w14:textFill>
                  <w14:solidFill>
                    <w14:schemeClr w14:val="tx1"/>
                  </w14:solidFill>
                </w14:textFill>
              </w:rPr>
              <w:t>tCO2e</w:t>
            </w:r>
            <w:r>
              <w:rPr>
                <w:rFonts w:hint="eastAsia" w:ascii="宋体" w:hAnsi="宋体" w:eastAsia="宋体" w:cs="宋体"/>
                <w:b w:val="0"/>
                <w:bCs/>
                <w:color w:val="000000" w:themeColor="text1"/>
                <w:kern w:val="0"/>
                <w:sz w:val="18"/>
                <w:szCs w:val="18"/>
                <w14:textFill>
                  <w14:solidFill>
                    <w14:schemeClr w14:val="tx1"/>
                  </w14:solidFill>
                </w14:textFill>
              </w:rPr>
              <w:t>/平方米）</w:t>
            </w:r>
          </w:p>
        </w:tc>
      </w:tr>
      <w:tr w14:paraId="10C4C008">
        <w:tblPrEx>
          <w:tblCellMar>
            <w:top w:w="0" w:type="dxa"/>
            <w:left w:w="108" w:type="dxa"/>
            <w:bottom w:w="0" w:type="dxa"/>
            <w:right w:w="108" w:type="dxa"/>
          </w:tblCellMar>
        </w:tblPrEx>
        <w:trPr>
          <w:trHeight w:val="682" w:hRule="atLeast"/>
        </w:trPr>
        <w:tc>
          <w:tcPr>
            <w:tcW w:w="2406" w:type="pct"/>
            <w:gridSpan w:val="2"/>
            <w:tcBorders>
              <w:top w:val="single" w:color="000000" w:sz="4" w:space="0"/>
              <w:left w:val="single" w:color="000000" w:sz="4" w:space="0"/>
              <w:bottom w:val="single" w:color="000000" w:sz="4" w:space="0"/>
              <w:right w:val="single" w:color="000000" w:sz="4" w:space="0"/>
            </w:tcBorders>
            <w:noWrap/>
            <w:vAlign w:val="center"/>
          </w:tcPr>
          <w:p w14:paraId="2BEFC375">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其他间接温室气体排放（范围三（不含投资））</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5F2F055B">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578.22062</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16808B77">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1.13377</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2563B452">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0.14456</w:t>
            </w:r>
          </w:p>
        </w:tc>
      </w:tr>
      <w:tr w14:paraId="135ECD5D">
        <w:tblPrEx>
          <w:tblCellMar>
            <w:top w:w="0" w:type="dxa"/>
            <w:left w:w="108" w:type="dxa"/>
            <w:bottom w:w="0" w:type="dxa"/>
            <w:right w:w="108" w:type="dxa"/>
          </w:tblCellMar>
        </w:tblPrEx>
        <w:trPr>
          <w:trHeight w:val="682" w:hRule="atLeast"/>
        </w:trPr>
        <w:tc>
          <w:tcPr>
            <w:tcW w:w="964" w:type="pct"/>
            <w:vMerge w:val="restart"/>
            <w:tcBorders>
              <w:top w:val="single" w:color="000000" w:sz="4" w:space="0"/>
              <w:left w:val="single" w:color="000000" w:sz="4" w:space="0"/>
              <w:bottom w:val="single" w:color="000000" w:sz="4" w:space="0"/>
              <w:right w:val="single" w:color="000000" w:sz="4" w:space="0"/>
            </w:tcBorders>
            <w:noWrap/>
            <w:vAlign w:val="center"/>
          </w:tcPr>
          <w:p w14:paraId="57CE81D2">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26DD2286">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3.1购买商品与服务</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1F2CB2B6">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451.86832</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5C3B8039">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24F77C70">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14:paraId="539BFAC4">
        <w:tblPrEx>
          <w:tblCellMar>
            <w:top w:w="0" w:type="dxa"/>
            <w:left w:w="108" w:type="dxa"/>
            <w:bottom w:w="0" w:type="dxa"/>
            <w:right w:w="108" w:type="dxa"/>
          </w:tblCellMar>
        </w:tblPrEx>
        <w:trPr>
          <w:trHeight w:val="682" w:hRule="atLeast"/>
        </w:trPr>
        <w:tc>
          <w:tcPr>
            <w:tcW w:w="964" w:type="pct"/>
            <w:vMerge w:val="continue"/>
            <w:tcBorders>
              <w:top w:val="single" w:color="000000" w:sz="4" w:space="0"/>
              <w:left w:val="single" w:color="000000" w:sz="4" w:space="0"/>
              <w:bottom w:val="single" w:color="000000" w:sz="4" w:space="0"/>
              <w:right w:val="single" w:color="000000" w:sz="4" w:space="0"/>
            </w:tcBorders>
            <w:noWrap/>
            <w:vAlign w:val="center"/>
          </w:tcPr>
          <w:p w14:paraId="62BF3A6C">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49DCFF98">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3.2资本商品</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7C8663F5">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7BE1BEF8">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62F9F94A">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14:paraId="5E1D75C2">
        <w:tblPrEx>
          <w:tblCellMar>
            <w:top w:w="0" w:type="dxa"/>
            <w:left w:w="108" w:type="dxa"/>
            <w:bottom w:w="0" w:type="dxa"/>
            <w:right w:w="108" w:type="dxa"/>
          </w:tblCellMar>
        </w:tblPrEx>
        <w:trPr>
          <w:trHeight w:val="682" w:hRule="atLeast"/>
        </w:trPr>
        <w:tc>
          <w:tcPr>
            <w:tcW w:w="964" w:type="pct"/>
            <w:vMerge w:val="continue"/>
            <w:tcBorders>
              <w:top w:val="single" w:color="000000" w:sz="4" w:space="0"/>
              <w:left w:val="single" w:color="000000" w:sz="4" w:space="0"/>
              <w:bottom w:val="single" w:color="000000" w:sz="4" w:space="0"/>
              <w:right w:val="single" w:color="000000" w:sz="4" w:space="0"/>
            </w:tcBorders>
            <w:noWrap/>
            <w:vAlign w:val="center"/>
          </w:tcPr>
          <w:p w14:paraId="767549EC">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5CD9C3F6">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3.3范围一、二中未包含的燃料和能源相关活动</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2FAE6EF7">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40EA0F06">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326181E3">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14:paraId="4D809F48">
        <w:tblPrEx>
          <w:tblCellMar>
            <w:top w:w="0" w:type="dxa"/>
            <w:left w:w="108" w:type="dxa"/>
            <w:bottom w:w="0" w:type="dxa"/>
            <w:right w:w="108" w:type="dxa"/>
          </w:tblCellMar>
        </w:tblPrEx>
        <w:trPr>
          <w:trHeight w:val="682" w:hRule="atLeast"/>
        </w:trPr>
        <w:tc>
          <w:tcPr>
            <w:tcW w:w="964" w:type="pct"/>
            <w:vMerge w:val="continue"/>
            <w:tcBorders>
              <w:top w:val="single" w:color="000000" w:sz="4" w:space="0"/>
              <w:left w:val="single" w:color="000000" w:sz="4" w:space="0"/>
              <w:bottom w:val="single" w:color="000000" w:sz="4" w:space="0"/>
              <w:right w:val="single" w:color="000000" w:sz="4" w:space="0"/>
            </w:tcBorders>
            <w:noWrap/>
            <w:vAlign w:val="center"/>
          </w:tcPr>
          <w:p w14:paraId="1A0B0240">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4F1A83D1">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3.4上游运输和配送</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00493F15">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30.876</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7F20A0FC">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17BFBA91">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14:paraId="4A3CF4EC">
        <w:tblPrEx>
          <w:tblCellMar>
            <w:top w:w="0" w:type="dxa"/>
            <w:left w:w="108" w:type="dxa"/>
            <w:bottom w:w="0" w:type="dxa"/>
            <w:right w:w="108" w:type="dxa"/>
          </w:tblCellMar>
        </w:tblPrEx>
        <w:trPr>
          <w:trHeight w:val="682" w:hRule="atLeast"/>
        </w:trPr>
        <w:tc>
          <w:tcPr>
            <w:tcW w:w="964" w:type="pct"/>
            <w:vMerge w:val="continue"/>
            <w:tcBorders>
              <w:top w:val="single" w:color="000000" w:sz="4" w:space="0"/>
              <w:left w:val="single" w:color="000000" w:sz="4" w:space="0"/>
              <w:bottom w:val="single" w:color="000000" w:sz="4" w:space="0"/>
              <w:right w:val="single" w:color="000000" w:sz="4" w:space="0"/>
            </w:tcBorders>
            <w:noWrap/>
            <w:vAlign w:val="center"/>
          </w:tcPr>
          <w:p w14:paraId="0CE3F73E">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453483BC">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3.5运营中产生的废物</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7C0BF003">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4.2423</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41853880">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1D638E42">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14:paraId="0CF9C2F3">
        <w:tblPrEx>
          <w:tblCellMar>
            <w:top w:w="0" w:type="dxa"/>
            <w:left w:w="108" w:type="dxa"/>
            <w:bottom w:w="0" w:type="dxa"/>
            <w:right w:w="108" w:type="dxa"/>
          </w:tblCellMar>
        </w:tblPrEx>
        <w:trPr>
          <w:trHeight w:val="682" w:hRule="atLeast"/>
        </w:trPr>
        <w:tc>
          <w:tcPr>
            <w:tcW w:w="964" w:type="pct"/>
            <w:vMerge w:val="continue"/>
            <w:tcBorders>
              <w:top w:val="single" w:color="000000" w:sz="4" w:space="0"/>
              <w:left w:val="single" w:color="000000" w:sz="4" w:space="0"/>
              <w:bottom w:val="single" w:color="000000" w:sz="4" w:space="0"/>
              <w:right w:val="single" w:color="000000" w:sz="4" w:space="0"/>
            </w:tcBorders>
            <w:noWrap/>
            <w:vAlign w:val="center"/>
          </w:tcPr>
          <w:p w14:paraId="50E7EFDA">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37D71A6E">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3.6 差旅</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2BA77F71">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22.934</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19E9F572">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5B08B18A">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14:paraId="40D697E0">
        <w:tblPrEx>
          <w:tblCellMar>
            <w:top w:w="0" w:type="dxa"/>
            <w:left w:w="108" w:type="dxa"/>
            <w:bottom w:w="0" w:type="dxa"/>
            <w:right w:w="108" w:type="dxa"/>
          </w:tblCellMar>
        </w:tblPrEx>
        <w:trPr>
          <w:trHeight w:val="682" w:hRule="atLeast"/>
        </w:trPr>
        <w:tc>
          <w:tcPr>
            <w:tcW w:w="964" w:type="pct"/>
            <w:vMerge w:val="continue"/>
            <w:tcBorders>
              <w:top w:val="single" w:color="000000" w:sz="4" w:space="0"/>
              <w:left w:val="single" w:color="000000" w:sz="4" w:space="0"/>
              <w:bottom w:val="single" w:color="000000" w:sz="4" w:space="0"/>
              <w:right w:val="single" w:color="000000" w:sz="4" w:space="0"/>
            </w:tcBorders>
            <w:noWrap/>
            <w:vAlign w:val="center"/>
          </w:tcPr>
          <w:p w14:paraId="73F4330C">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52764A52">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3.7 员工通勤</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53E304CF">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68.3</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7AC6ABE7">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5EADCEFB">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14:paraId="2637834E">
        <w:tblPrEx>
          <w:tblCellMar>
            <w:top w:w="0" w:type="dxa"/>
            <w:left w:w="108" w:type="dxa"/>
            <w:bottom w:w="0" w:type="dxa"/>
            <w:right w:w="108" w:type="dxa"/>
          </w:tblCellMar>
        </w:tblPrEx>
        <w:trPr>
          <w:trHeight w:val="682" w:hRule="atLeast"/>
        </w:trPr>
        <w:tc>
          <w:tcPr>
            <w:tcW w:w="964" w:type="pct"/>
            <w:vMerge w:val="continue"/>
            <w:tcBorders>
              <w:top w:val="single" w:color="000000" w:sz="4" w:space="0"/>
              <w:left w:val="single" w:color="000000" w:sz="4" w:space="0"/>
              <w:bottom w:val="single" w:color="000000" w:sz="4" w:space="0"/>
              <w:right w:val="single" w:color="000000" w:sz="4" w:space="0"/>
            </w:tcBorders>
            <w:noWrap/>
            <w:vAlign w:val="center"/>
          </w:tcPr>
          <w:p w14:paraId="451F5866">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50317398">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3.8上游租赁资产</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38DAFE2E">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391C5D35">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21DE1E7A">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14:paraId="258AD931">
        <w:tblPrEx>
          <w:tblCellMar>
            <w:top w:w="0" w:type="dxa"/>
            <w:left w:w="108" w:type="dxa"/>
            <w:bottom w:w="0" w:type="dxa"/>
            <w:right w:w="108" w:type="dxa"/>
          </w:tblCellMar>
        </w:tblPrEx>
        <w:trPr>
          <w:trHeight w:val="682" w:hRule="atLeast"/>
        </w:trPr>
        <w:tc>
          <w:tcPr>
            <w:tcW w:w="964" w:type="pct"/>
            <w:vMerge w:val="restart"/>
            <w:tcBorders>
              <w:top w:val="single" w:color="000000" w:sz="4" w:space="0"/>
              <w:left w:val="single" w:color="000000" w:sz="4" w:space="0"/>
              <w:bottom w:val="single" w:color="000000" w:sz="4" w:space="0"/>
              <w:right w:val="single" w:color="000000" w:sz="4" w:space="0"/>
            </w:tcBorders>
            <w:noWrap/>
            <w:vAlign w:val="center"/>
          </w:tcPr>
          <w:p w14:paraId="3D2ED59B">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下游排放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6F412F18">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3.9下游运输和配送</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3A781743">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76593B39">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3A2B40B1">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14:paraId="3A73F39A">
        <w:tblPrEx>
          <w:tblCellMar>
            <w:top w:w="0" w:type="dxa"/>
            <w:left w:w="108" w:type="dxa"/>
            <w:bottom w:w="0" w:type="dxa"/>
            <w:right w:w="108" w:type="dxa"/>
          </w:tblCellMar>
        </w:tblPrEx>
        <w:trPr>
          <w:trHeight w:val="682" w:hRule="atLeast"/>
        </w:trPr>
        <w:tc>
          <w:tcPr>
            <w:tcW w:w="964" w:type="pct"/>
            <w:vMerge w:val="continue"/>
            <w:tcBorders>
              <w:top w:val="single" w:color="000000" w:sz="4" w:space="0"/>
              <w:left w:val="single" w:color="000000" w:sz="4" w:space="0"/>
              <w:bottom w:val="single" w:color="000000" w:sz="4" w:space="0"/>
              <w:right w:val="single" w:color="000000" w:sz="4" w:space="0"/>
            </w:tcBorders>
            <w:noWrap/>
            <w:vAlign w:val="center"/>
          </w:tcPr>
          <w:p w14:paraId="1E03B472">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下游排放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66DB22C4">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3.10售出产品的加工</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63C72614">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61861CDA">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28A97417">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14:paraId="4175640E">
        <w:tblPrEx>
          <w:tblCellMar>
            <w:top w:w="0" w:type="dxa"/>
            <w:left w:w="108" w:type="dxa"/>
            <w:bottom w:w="0" w:type="dxa"/>
            <w:right w:w="108" w:type="dxa"/>
          </w:tblCellMar>
        </w:tblPrEx>
        <w:trPr>
          <w:trHeight w:val="682" w:hRule="atLeast"/>
        </w:trPr>
        <w:tc>
          <w:tcPr>
            <w:tcW w:w="964" w:type="pct"/>
            <w:vMerge w:val="continue"/>
            <w:tcBorders>
              <w:top w:val="single" w:color="000000" w:sz="4" w:space="0"/>
              <w:left w:val="single" w:color="000000" w:sz="4" w:space="0"/>
              <w:bottom w:val="single" w:color="000000" w:sz="4" w:space="0"/>
              <w:right w:val="single" w:color="000000" w:sz="4" w:space="0"/>
            </w:tcBorders>
            <w:noWrap/>
            <w:vAlign w:val="center"/>
          </w:tcPr>
          <w:p w14:paraId="3EE14FF8">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下游排放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224BE964">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3.11售出产品的使用</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6F31B228">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630836AC">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37EE8AE5">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14:paraId="0B5FF179">
        <w:tblPrEx>
          <w:tblCellMar>
            <w:top w:w="0" w:type="dxa"/>
            <w:left w:w="108" w:type="dxa"/>
            <w:bottom w:w="0" w:type="dxa"/>
            <w:right w:w="108" w:type="dxa"/>
          </w:tblCellMar>
        </w:tblPrEx>
        <w:trPr>
          <w:trHeight w:val="682" w:hRule="atLeast"/>
        </w:trPr>
        <w:tc>
          <w:tcPr>
            <w:tcW w:w="964" w:type="pct"/>
            <w:vMerge w:val="continue"/>
            <w:tcBorders>
              <w:top w:val="single" w:color="000000" w:sz="4" w:space="0"/>
              <w:left w:val="single" w:color="000000" w:sz="4" w:space="0"/>
              <w:bottom w:val="single" w:color="000000" w:sz="4" w:space="0"/>
              <w:right w:val="single" w:color="000000" w:sz="4" w:space="0"/>
            </w:tcBorders>
            <w:noWrap/>
            <w:vAlign w:val="center"/>
          </w:tcPr>
          <w:p w14:paraId="2B5C4EDB">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下游排放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004C99C2">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3.12售出产品的报废处理</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5F40CF4B">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2DDE8E3B">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0C945AA6">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14:paraId="1D7E1E56">
        <w:tblPrEx>
          <w:tblCellMar>
            <w:top w:w="0" w:type="dxa"/>
            <w:left w:w="108" w:type="dxa"/>
            <w:bottom w:w="0" w:type="dxa"/>
            <w:right w:w="108" w:type="dxa"/>
          </w:tblCellMar>
        </w:tblPrEx>
        <w:trPr>
          <w:trHeight w:val="682" w:hRule="atLeast"/>
        </w:trPr>
        <w:tc>
          <w:tcPr>
            <w:tcW w:w="964" w:type="pct"/>
            <w:vMerge w:val="continue"/>
            <w:tcBorders>
              <w:top w:val="single" w:color="000000" w:sz="4" w:space="0"/>
              <w:left w:val="single" w:color="000000" w:sz="4" w:space="0"/>
              <w:bottom w:val="single" w:color="000000" w:sz="4" w:space="0"/>
              <w:right w:val="single" w:color="000000" w:sz="4" w:space="0"/>
            </w:tcBorders>
            <w:noWrap/>
            <w:vAlign w:val="center"/>
          </w:tcPr>
          <w:p w14:paraId="35E19A34">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下游排放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028E9BAC">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3.13下游租赁资产</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389D1DC0">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1447B38A">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0D9B1237">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14:paraId="3CA14A7C">
        <w:tblPrEx>
          <w:tblCellMar>
            <w:top w:w="0" w:type="dxa"/>
            <w:left w:w="108" w:type="dxa"/>
            <w:bottom w:w="0" w:type="dxa"/>
            <w:right w:w="108" w:type="dxa"/>
          </w:tblCellMar>
        </w:tblPrEx>
        <w:trPr>
          <w:trHeight w:val="682" w:hRule="atLeast"/>
        </w:trPr>
        <w:tc>
          <w:tcPr>
            <w:tcW w:w="964" w:type="pct"/>
            <w:vMerge w:val="continue"/>
            <w:tcBorders>
              <w:top w:val="single" w:color="000000" w:sz="4" w:space="0"/>
              <w:left w:val="single" w:color="000000" w:sz="4" w:space="0"/>
              <w:bottom w:val="single" w:color="000000" w:sz="4" w:space="0"/>
              <w:right w:val="single" w:color="000000" w:sz="4" w:space="0"/>
            </w:tcBorders>
            <w:noWrap/>
            <w:vAlign w:val="center"/>
          </w:tcPr>
          <w:p w14:paraId="1C8F29E8">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下游排放</w:t>
            </w:r>
          </w:p>
        </w:tc>
        <w:tc>
          <w:tcPr>
            <w:tcW w:w="1441" w:type="pct"/>
            <w:tcBorders>
              <w:top w:val="single" w:color="000000" w:sz="4" w:space="0"/>
              <w:left w:val="single" w:color="000000" w:sz="4" w:space="0"/>
              <w:bottom w:val="single" w:color="000000" w:sz="4" w:space="0"/>
              <w:right w:val="single" w:color="000000" w:sz="4" w:space="0"/>
            </w:tcBorders>
            <w:noWrap/>
            <w:vAlign w:val="center"/>
          </w:tcPr>
          <w:p w14:paraId="22A5BBF2">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3.14特许经营权</w:t>
            </w:r>
          </w:p>
        </w:tc>
        <w:tc>
          <w:tcPr>
            <w:tcW w:w="790" w:type="pct"/>
            <w:tcBorders>
              <w:top w:val="single" w:color="000000" w:sz="4" w:space="0"/>
              <w:left w:val="single" w:color="000000" w:sz="4" w:space="0"/>
              <w:bottom w:val="single" w:color="000000" w:sz="4" w:space="0"/>
              <w:right w:val="single" w:color="000000" w:sz="4" w:space="0"/>
            </w:tcBorders>
            <w:noWrap/>
            <w:vAlign w:val="center"/>
          </w:tcPr>
          <w:p w14:paraId="556072C5">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838" w:type="pct"/>
            <w:tcBorders>
              <w:top w:val="single" w:color="000000" w:sz="4" w:space="0"/>
              <w:left w:val="single" w:color="000000" w:sz="4" w:space="0"/>
              <w:bottom w:val="single" w:color="000000" w:sz="4" w:space="0"/>
              <w:right w:val="single" w:color="000000" w:sz="4" w:space="0"/>
            </w:tcBorders>
            <w:noWrap/>
            <w:vAlign w:val="center"/>
          </w:tcPr>
          <w:p w14:paraId="3525BAB5">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964" w:type="pct"/>
            <w:tcBorders>
              <w:top w:val="single" w:color="000000" w:sz="4" w:space="0"/>
              <w:left w:val="single" w:color="000000" w:sz="4" w:space="0"/>
              <w:bottom w:val="single" w:color="000000" w:sz="4" w:space="0"/>
              <w:right w:val="single" w:color="000000" w:sz="4" w:space="0"/>
            </w:tcBorders>
            <w:noWrap/>
            <w:vAlign w:val="center"/>
          </w:tcPr>
          <w:p w14:paraId="02A4738C">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bl>
    <w:p w14:paraId="3A9899B9">
      <w:pPr>
        <w:pStyle w:val="2"/>
        <w:ind w:left="0" w:leftChars="0" w:firstLine="0" w:firstLineChars="0"/>
        <w:rPr>
          <w:rFonts w:hint="eastAsia" w:ascii="宋体" w:hAnsi="宋体" w:eastAsia="宋体"/>
          <w:b w:val="0"/>
          <w:bCs/>
          <w:color w:val="000000" w:themeColor="text1"/>
          <w:kern w:val="0"/>
          <w:sz w:val="18"/>
          <w:szCs w:val="18"/>
          <w14:textFill>
            <w14:solidFill>
              <w14:schemeClr w14:val="tx1"/>
            </w14:solidFill>
          </w14:textFill>
        </w:rPr>
      </w:pPr>
    </w:p>
    <w:p w14:paraId="2F0C06F1">
      <w:pPr>
        <w:pStyle w:val="2"/>
        <w:ind w:left="0" w:leftChars="0" w:firstLine="0" w:firstLineChars="0"/>
        <w:rPr>
          <w:rFonts w:hint="eastAsia" w:ascii="宋体" w:hAnsi="宋体" w:eastAsia="宋体"/>
          <w:b w:val="0"/>
          <w:bCs/>
          <w:color w:val="000000" w:themeColor="text1"/>
          <w:kern w:val="0"/>
          <w:sz w:val="18"/>
          <w:szCs w:val="18"/>
          <w14:textFill>
            <w14:solidFill>
              <w14:schemeClr w14:val="tx1"/>
            </w14:solidFill>
          </w14:textFill>
        </w:rPr>
      </w:pPr>
    </w:p>
    <w:p w14:paraId="1E640AC2">
      <w:pPr>
        <w:pStyle w:val="2"/>
        <w:rPr>
          <w:rFonts w:hint="eastAsia" w:ascii="宋体" w:hAnsi="宋体" w:eastAsia="宋体"/>
          <w:b w:val="0"/>
          <w:bCs/>
          <w:color w:val="000000" w:themeColor="text1"/>
          <w:kern w:val="0"/>
          <w:sz w:val="18"/>
          <w:szCs w:val="18"/>
          <w14:textFill>
            <w14:solidFill>
              <w14:schemeClr w14:val="tx1"/>
            </w14:solidFill>
          </w14:textFill>
        </w:rPr>
      </w:pPr>
    </w:p>
    <w:p w14:paraId="6027CCC1">
      <w:pPr>
        <w:ind w:firstLine="0" w:firstLineChars="0"/>
        <w:rPr>
          <w:rFonts w:ascii="宋体" w:hAnsi="宋体" w:eastAsia="宋体"/>
          <w:b w:val="0"/>
          <w:bCs/>
          <w:color w:val="000000" w:themeColor="text1"/>
          <w14:textFill>
            <w14:solidFill>
              <w14:schemeClr w14:val="tx1"/>
            </w14:solidFill>
          </w14:textFill>
        </w:rPr>
      </w:pPr>
    </w:p>
    <w:p w14:paraId="27AF117E">
      <w:pPr>
        <w:ind w:firstLine="640"/>
        <w:rPr>
          <w:rFonts w:ascii="宋体" w:hAnsi="宋体" w:eastAsia="宋体"/>
          <w:b w:val="0"/>
          <w:bCs/>
          <w:color w:val="000000" w:themeColor="text1"/>
          <w14:textFill>
            <w14:solidFill>
              <w14:schemeClr w14:val="tx1"/>
            </w14:solidFill>
          </w14:textFill>
        </w:rPr>
        <w:sectPr>
          <w:headerReference r:id="rId20" w:type="first"/>
          <w:footerReference r:id="rId22" w:type="first"/>
          <w:footerReference r:id="rId21" w:type="default"/>
          <w:headerReference r:id="rId19" w:type="even"/>
          <w:pgSz w:w="16838" w:h="11906" w:orient="landscape"/>
          <w:pgMar w:top="1480" w:right="1440" w:bottom="1146" w:left="1440" w:header="851" w:footer="992" w:gutter="0"/>
          <w:cols w:space="720" w:num="1"/>
          <w:docGrid w:type="lines" w:linePitch="435" w:charSpace="0"/>
        </w:sectPr>
      </w:pPr>
    </w:p>
    <w:p w14:paraId="44F9C2B6">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67" w:name="_Toc19451"/>
      <w:bookmarkStart w:id="68" w:name="_Toc156994198"/>
      <w:r>
        <w:rPr>
          <w:rFonts w:hint="eastAsia" w:ascii="黑体" w:hAnsi="黑体" w:eastAsia="黑体" w:cs="黑体"/>
          <w:b w:val="0"/>
          <w:bCs/>
          <w:color w:val="000000" w:themeColor="text1"/>
          <w:sz w:val="28"/>
          <w:szCs w:val="28"/>
          <w14:textFill>
            <w14:solidFill>
              <w14:schemeClr w14:val="tx1"/>
            </w14:solidFill>
          </w14:textFill>
        </w:rPr>
        <w:t>6.3 自身经营的碳减排</w:t>
      </w:r>
      <w:bookmarkEnd w:id="67"/>
    </w:p>
    <w:p w14:paraId="1C495810">
      <w:pPr>
        <w:widowControl/>
        <w:kinsoku w:val="0"/>
        <w:autoSpaceDE w:val="0"/>
        <w:autoSpaceDN w:val="0"/>
        <w:adjustRightInd w:val="0"/>
        <w:snapToGrid w:val="0"/>
        <w:spacing w:before="217" w:beforeLines="50" w:line="240" w:lineRule="auto"/>
        <w:ind w:firstLine="480" w:firstLineChars="200"/>
        <w:textAlignment w:val="baseline"/>
        <w:outlineLvl w:val="1"/>
        <w:rPr>
          <w:rFonts w:hint="eastAsia" w:ascii="黑体" w:hAnsi="黑体" w:eastAsia="黑体" w:cs="黑体"/>
          <w:b w:val="0"/>
          <w:bCs/>
          <w:color w:val="000000" w:themeColor="text1"/>
          <w:sz w:val="24"/>
          <w:szCs w:val="24"/>
          <w14:textFill>
            <w14:solidFill>
              <w14:schemeClr w14:val="tx1"/>
            </w14:solidFill>
          </w14:textFill>
        </w:rPr>
      </w:pPr>
      <w:bookmarkStart w:id="69" w:name="_Toc11848"/>
      <w:r>
        <w:rPr>
          <w:rFonts w:hint="eastAsia" w:ascii="黑体" w:hAnsi="黑体" w:eastAsia="黑体" w:cs="黑体"/>
          <w:b w:val="0"/>
          <w:bCs/>
          <w:color w:val="000000" w:themeColor="text1"/>
          <w:sz w:val="24"/>
          <w:szCs w:val="24"/>
          <w14:textFill>
            <w14:solidFill>
              <w14:schemeClr w14:val="tx1"/>
            </w14:solidFill>
          </w14:textFill>
        </w:rPr>
        <w:t>6.3.1 实施环保措施及对环境的影响</w:t>
      </w:r>
      <w:bookmarkEnd w:id="69"/>
    </w:p>
    <w:p w14:paraId="53782566">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 xml:space="preserve">1）绿色办公：本行推行绿色办公理念，通过实施电子对账、无纸化办公、节能灯具、节能空调、节约用水、垃圾分类、新能源公务车替换等环保措施，有效降低了本行自身经营办公过程中的资源消耗强度和总体碳排放水平。 </w:t>
      </w:r>
    </w:p>
    <w:p w14:paraId="3203DFB8">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 xml:space="preserve">2）绿色采购：本行在采购过程中优先选择绿色低碳产品和服务，如采购节能灯具、节能设备、环保包装和再生资源纸等，从源头上控制资源浪费和不必要碳排放。 </w:t>
      </w:r>
    </w:p>
    <w:p w14:paraId="10433946">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 xml:space="preserve">3）绿色生活：本行积极倡导全体领导干部和在职员工带头践行低碳工作、低碳出行、低碳生活、低碳消费，以点带面推动绿色生活理念的普及。 </w:t>
      </w:r>
    </w:p>
    <w:p w14:paraId="4E53F092">
      <w:pPr>
        <w:widowControl/>
        <w:kinsoku w:val="0"/>
        <w:autoSpaceDE w:val="0"/>
        <w:autoSpaceDN w:val="0"/>
        <w:adjustRightInd w:val="0"/>
        <w:snapToGrid w:val="0"/>
        <w:spacing w:before="156" w:beforeLines="50" w:line="240" w:lineRule="auto"/>
        <w:ind w:firstLine="513"/>
        <w:textAlignment w:val="baseline"/>
        <w:rPr>
          <w:rFonts w:ascii="微软雅黑" w:hAnsi="微软雅黑" w:eastAsia="微软雅黑" w:cs="微软雅黑"/>
          <w:b w:val="0"/>
          <w:bCs/>
          <w:color w:val="000000" w:themeColor="text1"/>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4）低碳宣传：本行积极开展绿色低碳主题宣传活动，通过内部培训、宣传海报、公益活动等形式，提升环保意识，倡导绿色生活方式，形成良好的环保氛围。</w:t>
      </w:r>
    </w:p>
    <w:p w14:paraId="1BFD393F">
      <w:pPr>
        <w:ind w:firstLine="504"/>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br w:type="page"/>
      </w:r>
    </w:p>
    <w:p w14:paraId="182F89AC">
      <w:pPr>
        <w:pStyle w:val="19"/>
        <w:keepNext w:val="0"/>
        <w:keepLines w:val="0"/>
        <w:pageBreakBefore w:val="0"/>
        <w:widowControl/>
        <w:numPr>
          <w:ilvl w:val="0"/>
          <w:numId w:val="0"/>
        </w:numPr>
        <w:tabs>
          <w:tab w:val="right" w:leader="dot" w:pos="9897"/>
        </w:tabs>
        <w:kinsoku/>
        <w:wordWrap/>
        <w:overflowPunct/>
        <w:topLinePunct w:val="0"/>
        <w:autoSpaceDE/>
        <w:autoSpaceDN/>
        <w:bidi w:val="0"/>
        <w:adjustRightInd w:val="0"/>
        <w:snapToGrid w:val="0"/>
        <w:spacing w:before="872" w:beforeLines="200" w:after="20" w:line="360" w:lineRule="auto"/>
        <w:ind w:left="0" w:leftChars="0" w:firstLine="0" w:firstLineChars="0"/>
        <w:jc w:val="center"/>
        <w:textAlignment w:val="auto"/>
        <w:outlineLvl w:val="0"/>
        <w:rPr>
          <w:rFonts w:hint="eastAsia" w:ascii="黑体" w:hAnsi="黑体" w:eastAsia="黑体" w:cs="黑体"/>
          <w:b w:val="0"/>
          <w:bCs/>
          <w:color w:val="000000" w:themeColor="text1"/>
          <w:kern w:val="2"/>
          <w:sz w:val="32"/>
          <w:szCs w:val="32"/>
          <w:lang w:val="en-US" w:eastAsia="zh-CN"/>
          <w14:textFill>
            <w14:solidFill>
              <w14:schemeClr w14:val="tx1"/>
            </w14:solidFill>
          </w14:textFill>
        </w:rPr>
      </w:pPr>
      <w:bookmarkStart w:id="70" w:name="_Toc21386"/>
      <w:r>
        <w:rPr>
          <w:rFonts w:hint="eastAsia" w:ascii="黑体" w:hAnsi="黑体" w:eastAsia="黑体" w:cs="黑体"/>
          <w:b w:val="0"/>
          <w:bCs/>
          <w:color w:val="000000" w:themeColor="text1"/>
          <w:kern w:val="2"/>
          <w:sz w:val="32"/>
          <w:szCs w:val="32"/>
          <w:lang w:val="en-US" w:eastAsia="zh-CN"/>
          <w14:textFill>
            <w14:solidFill>
              <w14:schemeClr w14:val="tx1"/>
            </w14:solidFill>
          </w14:textFill>
        </w:rPr>
        <w:t>第七章 投融资活动的碳排放</w:t>
      </w:r>
      <w:bookmarkEnd w:id="70"/>
    </w:p>
    <w:bookmarkEnd w:id="68"/>
    <w:p w14:paraId="543FC090">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14:textFill>
            <w14:solidFill>
              <w14:schemeClr w14:val="tx1"/>
            </w14:solidFill>
          </w14:textFill>
        </w:rPr>
      </w:pPr>
      <w:bookmarkStart w:id="71" w:name="_Toc19402"/>
      <w:r>
        <w:rPr>
          <w:rFonts w:hint="eastAsia" w:ascii="黑体" w:hAnsi="黑体" w:eastAsia="黑体" w:cs="黑体"/>
          <w:b w:val="0"/>
          <w:bCs/>
          <w:color w:val="000000" w:themeColor="text1"/>
          <w:sz w:val="28"/>
          <w:szCs w:val="28"/>
          <w14:textFill>
            <w14:solidFill>
              <w14:schemeClr w14:val="tx1"/>
            </w14:solidFill>
          </w14:textFill>
        </w:rPr>
        <w:t>7.1 信贷资产</w:t>
      </w:r>
      <w:bookmarkEnd w:id="71"/>
    </w:p>
    <w:p w14:paraId="1A1945C5">
      <w:pPr>
        <w:pageBreakBefore w:val="0"/>
        <w:widowControl/>
        <w:kinsoku w:val="0"/>
        <w:wordWrap/>
        <w:topLinePunct w:val="0"/>
        <w:autoSpaceDE w:val="0"/>
        <w:autoSpaceDN w:val="0"/>
        <w:bidi w:val="0"/>
        <w:adjustRightInd w:val="0"/>
        <w:snapToGrid w:val="0"/>
        <w:spacing w:before="149" w:beforeLines="50" w:line="240" w:lineRule="auto"/>
        <w:ind w:firstLine="504" w:firstLineChars="200"/>
        <w:textAlignment w:val="baseline"/>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报告年度内本行应纳入投融资活动碳排放核算的贷款企业共计</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1239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家，实际核算</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796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家，核算户数比例为</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64.2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 xml:space="preserve">%。  </w:t>
      </w:r>
    </w:p>
    <w:p w14:paraId="0656943E">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经核算，报告年度内本行投融资活动中信贷资产碳排放合计为</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26923.74804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e，其中非项目贷款产生的碳排放</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26923.74804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w:t>
      </w:r>
    </w:p>
    <w:p w14:paraId="10E6A3C9">
      <w:pPr>
        <w:widowControl/>
        <w:spacing w:line="240" w:lineRule="auto"/>
        <w:ind w:firstLine="0" w:firstLineChars="0"/>
        <w:jc w:val="center"/>
        <w:rPr>
          <w:rFonts w:hint="eastAsia"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7-1信贷资产碳排放</w:t>
      </w:r>
    </w:p>
    <w:tbl>
      <w:tblPr>
        <w:tblStyle w:val="22"/>
        <w:tblW w:w="4998" w:type="pct"/>
        <w:jc w:val="center"/>
        <w:tblLayout w:type="autofit"/>
        <w:tblCellMar>
          <w:top w:w="0" w:type="dxa"/>
          <w:left w:w="108" w:type="dxa"/>
          <w:bottom w:w="0" w:type="dxa"/>
          <w:right w:w="108" w:type="dxa"/>
        </w:tblCellMar>
      </w:tblPr>
      <w:tblGrid>
        <w:gridCol w:w="2309"/>
        <w:gridCol w:w="4265"/>
        <w:gridCol w:w="1619"/>
        <w:gridCol w:w="1589"/>
      </w:tblGrid>
      <w:tr w14:paraId="11FB99DF">
        <w:tblPrEx>
          <w:tblCellMar>
            <w:top w:w="0" w:type="dxa"/>
            <w:left w:w="108" w:type="dxa"/>
            <w:bottom w:w="0" w:type="dxa"/>
            <w:right w:w="108" w:type="dxa"/>
          </w:tblCellMar>
        </w:tblPrEx>
        <w:trPr>
          <w:trHeight w:val="392" w:hRule="atLeast"/>
          <w:tblHeader/>
          <w:jc w:val="center"/>
        </w:trPr>
        <w:tc>
          <w:tcPr>
            <w:tcW w:w="1180" w:type="pct"/>
            <w:tcBorders>
              <w:top w:val="single" w:color="000000" w:sz="4" w:space="0"/>
              <w:left w:val="single" w:color="000000" w:sz="4" w:space="0"/>
              <w:bottom w:val="single" w:color="000000" w:sz="4" w:space="0"/>
              <w:right w:val="single" w:color="000000" w:sz="4" w:space="0"/>
            </w:tcBorders>
            <w:noWrap/>
            <w:vAlign w:val="center"/>
          </w:tcPr>
          <w:p w14:paraId="1466E870">
            <w:pPr>
              <w:rPr>
                <w:b w:val="0"/>
                <w:bCs/>
              </w:rPr>
            </w:pPr>
            <w:r>
              <w:rPr>
                <w:rFonts w:ascii="宋体" w:hAnsi="宋体" w:eastAsia="宋体" w:cs="宋体"/>
                <w:b w:val="0"/>
                <w:bCs/>
                <w:sz w:val="18"/>
              </w:rPr>
              <w:t>资产类别</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2A52974C">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指标名称</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486E99F9">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单位</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7FE4881F">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i w:val="0"/>
                <w:iCs w:val="0"/>
                <w:color w:val="000000" w:themeColor="text1"/>
                <w:kern w:val="0"/>
                <w:sz w:val="18"/>
                <w:szCs w:val="18"/>
                <w:u w:val="none"/>
                <w:lang w:val="en-US" w:eastAsia="zh-CN" w:bidi="ar"/>
                <w14:textFill>
                  <w14:solidFill>
                    <w14:schemeClr w14:val="tx1"/>
                  </w14:solidFill>
                </w14:textFill>
              </w:rPr>
              <w:t>2024</w:t>
            </w:r>
            <w:r>
              <w:rPr>
                <w:rFonts w:hint="eastAsia" w:ascii="宋体" w:hAnsi="宋体" w:eastAsia="宋体" w:cs="宋体"/>
                <w:b w:val="0"/>
                <w:bCs/>
                <w:color w:val="000000" w:themeColor="text1"/>
                <w:kern w:val="0"/>
                <w:sz w:val="18"/>
                <w:szCs w:val="18"/>
                <w14:textFill>
                  <w14:solidFill>
                    <w14:schemeClr w14:val="tx1"/>
                  </w14:solidFill>
                </w14:textFill>
              </w:rPr>
              <w:t>年</w:t>
            </w:r>
          </w:p>
        </w:tc>
      </w:tr>
      <w:tr w14:paraId="70692335">
        <w:tblPrEx>
          <w:tblCellMar>
            <w:top w:w="0" w:type="dxa"/>
            <w:left w:w="108" w:type="dxa"/>
            <w:bottom w:w="0" w:type="dxa"/>
            <w:right w:w="108" w:type="dxa"/>
          </w:tblCellMar>
        </w:tblPrEx>
        <w:trPr>
          <w:trHeight w:val="437" w:hRule="atLeast"/>
          <w:jc w:val="center"/>
        </w:trPr>
        <w:tc>
          <w:tcPr>
            <w:tcW w:w="1180" w:type="pct"/>
            <w:vMerge w:val="restart"/>
            <w:tcBorders>
              <w:top w:val="single" w:color="000000" w:sz="4" w:space="0"/>
              <w:left w:val="single" w:color="000000" w:sz="4" w:space="0"/>
              <w:bottom w:val="single" w:color="000000" w:sz="4" w:space="0"/>
              <w:right w:val="single" w:color="000000" w:sz="4" w:space="0"/>
            </w:tcBorders>
            <w:noWrap/>
            <w:vAlign w:val="center"/>
          </w:tcPr>
          <w:p w14:paraId="0A95B983">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项目贷款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0CF6FCC8">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投融资碳排放量</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6961C3B9">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158CDFE3">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r>
      <w:tr w14:paraId="658FCD42">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4E84DE14">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项目贷款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099CBCD9">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纳入碳排放核算的投融资业务比例</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6C1E89F7">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4F658743">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lang w:val="en-US" w:eastAsia="zh-CN"/>
                <w14:textFill>
                  <w14:solidFill>
                    <w14:schemeClr w14:val="tx1"/>
                  </w14:solidFill>
                </w14:textFill>
              </w:rPr>
            </w:pPr>
            <w:r>
              <w:rPr>
                <w:rFonts w:hint="eastAsia" w:ascii="宋体" w:hAnsi="宋体" w:eastAsia="宋体" w:cs="宋体"/>
                <w:b w:val="0"/>
                <w:bCs/>
                <w:color w:val="000000" w:themeColor="text1"/>
                <w:kern w:val="0"/>
                <w:sz w:val="18"/>
                <w:szCs w:val="18"/>
                <w:lang w:val="en-US" w:eastAsia="zh-CN"/>
                <w14:textFill>
                  <w14:solidFill>
                    <w14:schemeClr w14:val="tx1"/>
                  </w14:solidFill>
                </w14:textFill>
              </w:rPr>
              <w:t>/</w:t>
            </w:r>
          </w:p>
        </w:tc>
      </w:tr>
      <w:tr w14:paraId="2E0DC089">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619DD6B2">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项目贷款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1819B60D">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纳入碳排放核算的贷款月均融资余额</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4FB34CA5">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万元</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3952F9C4">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r>
      <w:tr w14:paraId="2B126D33">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2C442AFB">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项目贷款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1F71D764">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投融资碳排放强度*</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39B888F2">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tCO2e/万元</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61425F15">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r>
      <w:tr w14:paraId="4357927C">
        <w:tblPrEx>
          <w:tblCellMar>
            <w:top w:w="0" w:type="dxa"/>
            <w:left w:w="108" w:type="dxa"/>
            <w:bottom w:w="0" w:type="dxa"/>
            <w:right w:w="108" w:type="dxa"/>
          </w:tblCellMar>
        </w:tblPrEx>
        <w:trPr>
          <w:trHeight w:val="437" w:hRule="atLeast"/>
          <w:jc w:val="center"/>
        </w:trPr>
        <w:tc>
          <w:tcPr>
            <w:tcW w:w="1180" w:type="pct"/>
            <w:vMerge w:val="restart"/>
            <w:tcBorders>
              <w:top w:val="single" w:color="000000" w:sz="4" w:space="0"/>
              <w:left w:val="single" w:color="000000" w:sz="4" w:space="0"/>
              <w:bottom w:val="single" w:color="000000" w:sz="4" w:space="0"/>
              <w:right w:val="single" w:color="000000" w:sz="4" w:space="0"/>
            </w:tcBorders>
            <w:noWrap/>
            <w:vAlign w:val="center"/>
          </w:tcPr>
          <w:p w14:paraId="5C0D38A8">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非项目贷款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39706A9C">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投融资碳排放量</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0340B624">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1A7E8F43">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26923.74804</w:t>
            </w:r>
          </w:p>
        </w:tc>
      </w:tr>
      <w:tr w14:paraId="03D4538D">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12340A94">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非项目贷款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4B96FC8E">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纳入碳排放核算的投融资业务比例</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1C5C3166">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10E6902F">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lang w:val="en-US" w:eastAsia="zh-CN"/>
                <w14:textFill>
                  <w14:solidFill>
                    <w14:schemeClr w14:val="tx1"/>
                  </w14:solidFill>
                </w14:textFill>
              </w:rPr>
            </w:pPr>
            <w:r>
              <w:rPr>
                <w:rFonts w:hint="eastAsia" w:ascii="宋体" w:hAnsi="宋体" w:eastAsia="宋体" w:cs="宋体"/>
                <w:b w:val="0"/>
                <w:bCs/>
                <w:color w:val="000000" w:themeColor="text1"/>
                <w:kern w:val="0"/>
                <w:sz w:val="18"/>
                <w:szCs w:val="18"/>
                <w:lang w:val="en-US" w:eastAsia="zh-CN"/>
                <w14:textFill>
                  <w14:solidFill>
                    <w14:schemeClr w14:val="tx1"/>
                  </w14:solidFill>
                </w14:textFill>
              </w:rPr>
              <w:t>/</w:t>
            </w:r>
          </w:p>
        </w:tc>
      </w:tr>
      <w:tr w14:paraId="25FC55EC">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71E32844">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非项目贷款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27BC541F">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纳入碳排放核算的贷款月均融资余额</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7F81A4A7">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万元</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246976E4">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460664.64</w:t>
            </w:r>
          </w:p>
        </w:tc>
      </w:tr>
      <w:tr w14:paraId="5120E3AA">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24BEC37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非项目贷款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5FBCBD98">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投融资碳排放强度*</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49E1424B">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tCO2e/万元</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700006A4">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0.05845</w:t>
            </w:r>
          </w:p>
        </w:tc>
      </w:tr>
      <w:tr w14:paraId="7B81C961">
        <w:tblPrEx>
          <w:tblCellMar>
            <w:top w:w="0" w:type="dxa"/>
            <w:left w:w="108" w:type="dxa"/>
            <w:bottom w:w="0" w:type="dxa"/>
            <w:right w:w="108" w:type="dxa"/>
          </w:tblCellMar>
        </w:tblPrEx>
        <w:trPr>
          <w:trHeight w:val="437" w:hRule="atLeast"/>
          <w:jc w:val="center"/>
        </w:trPr>
        <w:tc>
          <w:tcPr>
            <w:tcW w:w="1180" w:type="pct"/>
            <w:vMerge w:val="restart"/>
            <w:tcBorders>
              <w:top w:val="single" w:color="000000" w:sz="4" w:space="0"/>
              <w:left w:val="single" w:color="000000" w:sz="4" w:space="0"/>
              <w:bottom w:val="single" w:color="000000" w:sz="4" w:space="0"/>
              <w:right w:val="single" w:color="000000" w:sz="4" w:space="0"/>
            </w:tcBorders>
            <w:noWrap/>
            <w:vAlign w:val="center"/>
          </w:tcPr>
          <w:p w14:paraId="5D07A976">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房地产贷款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4CE7F089">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投融资碳排放量</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2BE300A2">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1DF6A874">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不核算</w:t>
            </w:r>
          </w:p>
        </w:tc>
      </w:tr>
      <w:tr w14:paraId="66053B24">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70C57F86">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房地产贷款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15077C9A">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纳入碳排放核算的投融资业务比例</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14DE7702">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2BCF44E4">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不核算</w:t>
            </w:r>
          </w:p>
        </w:tc>
      </w:tr>
      <w:tr w14:paraId="6F5E4FBE">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7AEB9998">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房地产贷款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430E684F">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纳入碳排放核算的贷款月均融资余额</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05D17AD3">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万元</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6E91C8C1">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不核算</w:t>
            </w:r>
          </w:p>
        </w:tc>
      </w:tr>
      <w:tr w14:paraId="5A752421">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6B1C19F9">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房地产贷款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5060F469">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投融资碳排放强度*</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76353D48">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tCO2e/万元</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3C03B2B0">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不核算</w:t>
            </w:r>
          </w:p>
        </w:tc>
      </w:tr>
      <w:tr w14:paraId="5E86A049">
        <w:tblPrEx>
          <w:tblCellMar>
            <w:top w:w="0" w:type="dxa"/>
            <w:left w:w="108" w:type="dxa"/>
            <w:bottom w:w="0" w:type="dxa"/>
            <w:right w:w="108" w:type="dxa"/>
          </w:tblCellMar>
        </w:tblPrEx>
        <w:trPr>
          <w:trHeight w:val="437" w:hRule="atLeast"/>
          <w:jc w:val="center"/>
        </w:trPr>
        <w:tc>
          <w:tcPr>
            <w:tcW w:w="1180" w:type="pct"/>
            <w:vMerge w:val="restart"/>
            <w:tcBorders>
              <w:top w:val="single" w:color="000000" w:sz="4" w:space="0"/>
              <w:left w:val="single" w:color="000000" w:sz="4" w:space="0"/>
              <w:bottom w:val="single" w:color="000000" w:sz="4" w:space="0"/>
              <w:right w:val="single" w:color="000000" w:sz="4" w:space="0"/>
            </w:tcBorders>
            <w:noWrap/>
            <w:vAlign w:val="center"/>
          </w:tcPr>
          <w:p w14:paraId="261E160D">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汽车贷款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7CE0F3F5">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投融资碳排放量</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0BDBA955">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31438EE2">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不核算</w:t>
            </w:r>
          </w:p>
        </w:tc>
      </w:tr>
      <w:tr w14:paraId="281FF423">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4083DA45">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汽车贷款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7FA10C79">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纳入碳排放核算的投融资业务比例</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4983BD30">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026CFA7E">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不核算</w:t>
            </w:r>
          </w:p>
        </w:tc>
      </w:tr>
      <w:tr w14:paraId="12907D1E">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49257BE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汽车贷款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00BC0EAB">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纳入碳排放核算的贷款月均融资余额</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2C068602">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万元</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43A211D5">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不核算</w:t>
            </w:r>
          </w:p>
        </w:tc>
      </w:tr>
      <w:tr w14:paraId="1136CA16">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4F0F1CA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汽车贷款</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1FB55189">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投融资碳排放强度*</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662A8F62">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tCO2e/万元</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310E1B58">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不核算</w:t>
            </w:r>
          </w:p>
        </w:tc>
      </w:tr>
      <w:tr w14:paraId="3E513289">
        <w:tblPrEx>
          <w:tblCellMar>
            <w:top w:w="0" w:type="dxa"/>
            <w:left w:w="108" w:type="dxa"/>
            <w:bottom w:w="0" w:type="dxa"/>
            <w:right w:w="108" w:type="dxa"/>
          </w:tblCellMar>
        </w:tblPrEx>
        <w:trPr>
          <w:trHeight w:val="437" w:hRule="atLeast"/>
          <w:jc w:val="center"/>
        </w:trPr>
        <w:tc>
          <w:tcPr>
            <w:tcW w:w="1180" w:type="pct"/>
            <w:vMerge w:val="restart"/>
            <w:tcBorders>
              <w:top w:val="single" w:color="000000" w:sz="4" w:space="0"/>
              <w:left w:val="single" w:color="000000" w:sz="4" w:space="0"/>
              <w:bottom w:val="single" w:color="000000" w:sz="4" w:space="0"/>
              <w:right w:val="single" w:color="000000" w:sz="4" w:space="0"/>
            </w:tcBorders>
            <w:noWrap/>
            <w:vAlign w:val="center"/>
          </w:tcPr>
          <w:p w14:paraId="28AA7137">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合计（信贷资产）</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0A810C09">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投融资碳排放量</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485CED58">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36ACD51C">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26923.74804</w:t>
            </w:r>
          </w:p>
        </w:tc>
      </w:tr>
      <w:tr w14:paraId="15F50E2F">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5B5E4F0E">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合计（信贷资产）</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6C61C819">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纳入碳排放核算的投融资业务比例</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6E384B13">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69662704">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lang w:val="en-US" w:eastAsia="zh-CN"/>
                <w14:textFill>
                  <w14:solidFill>
                    <w14:schemeClr w14:val="tx1"/>
                  </w14:solidFill>
                </w14:textFill>
              </w:rPr>
            </w:pPr>
            <w:r>
              <w:rPr>
                <w:rFonts w:hint="eastAsia" w:ascii="宋体" w:hAnsi="宋体" w:eastAsia="宋体" w:cs="宋体"/>
                <w:b w:val="0"/>
                <w:bCs/>
                <w:color w:val="000000" w:themeColor="text1"/>
                <w:kern w:val="0"/>
                <w:sz w:val="18"/>
                <w:szCs w:val="18"/>
                <w:lang w:val="en-US" w:eastAsia="zh-CN"/>
                <w14:textFill>
                  <w14:solidFill>
                    <w14:schemeClr w14:val="tx1"/>
                  </w14:solidFill>
                </w14:textFill>
              </w:rPr>
              <w:t>/</w:t>
            </w:r>
          </w:p>
        </w:tc>
      </w:tr>
      <w:tr w14:paraId="3848AC17">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1B65A126">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合计（信贷资产）</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4CB9FBE5">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纳入碳排放核算的贷款月均融资余额</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1F5BFD45">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万元</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033DB5B3">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460664.64</w:t>
            </w:r>
          </w:p>
        </w:tc>
      </w:tr>
      <w:tr w14:paraId="2596F39F">
        <w:tblPrEx>
          <w:tblCellMar>
            <w:top w:w="0" w:type="dxa"/>
            <w:left w:w="108" w:type="dxa"/>
            <w:bottom w:w="0" w:type="dxa"/>
            <w:right w:w="108" w:type="dxa"/>
          </w:tblCellMar>
        </w:tblPrEx>
        <w:trPr>
          <w:trHeight w:val="437" w:hRule="atLeast"/>
          <w:jc w:val="center"/>
        </w:trPr>
        <w:tc>
          <w:tcPr>
            <w:tcW w:w="1180" w:type="pct"/>
            <w:vMerge w:val="continue"/>
            <w:tcBorders>
              <w:top w:val="single" w:color="000000" w:sz="4" w:space="0"/>
              <w:left w:val="single" w:color="000000" w:sz="4" w:space="0"/>
              <w:bottom w:val="single" w:color="000000" w:sz="4" w:space="0"/>
              <w:right w:val="single" w:color="000000" w:sz="4" w:space="0"/>
            </w:tcBorders>
            <w:noWrap/>
            <w:vAlign w:val="center"/>
          </w:tcPr>
          <w:p w14:paraId="5E04EC61">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合计（信贷资产）</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1282171B">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投融资碳排放强度*</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0F34481D">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tCO2e/万元</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3CCD53A0">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0.05845</w:t>
            </w:r>
          </w:p>
        </w:tc>
      </w:tr>
    </w:tbl>
    <w:p w14:paraId="6F362630">
      <w:pPr>
        <w:pStyle w:val="2"/>
        <w:rPr>
          <w:rFonts w:hint="eastAsia" w:ascii="宋体" w:hAnsi="宋体" w:eastAsia="宋体"/>
          <w:b w:val="0"/>
          <w:bCs/>
          <w:color w:val="000000" w:themeColor="text1"/>
          <w:kern w:val="0"/>
          <w:sz w:val="18"/>
          <w:szCs w:val="18"/>
          <w14:textFill>
            <w14:solidFill>
              <w14:schemeClr w14:val="tx1"/>
            </w14:solidFill>
          </w14:textFill>
        </w:rPr>
      </w:pPr>
    </w:p>
    <w:p w14:paraId="681769C7">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lang w:val="en-US" w:eastAsia="zh-CN"/>
          <w14:textFill>
            <w14:solidFill>
              <w14:schemeClr w14:val="tx1"/>
            </w14:solidFill>
          </w14:textFill>
        </w:rPr>
      </w:pPr>
      <w:bookmarkStart w:id="72" w:name="_Toc25488"/>
      <w:r>
        <w:rPr>
          <w:rFonts w:hint="eastAsia" w:ascii="黑体" w:hAnsi="黑体" w:eastAsia="黑体" w:cs="黑体"/>
          <w:b w:val="0"/>
          <w:bCs/>
          <w:color w:val="000000" w:themeColor="text1"/>
          <w:sz w:val="28"/>
          <w:szCs w:val="28"/>
          <w:lang w:val="en-US" w:eastAsia="zh-CN"/>
          <w14:textFill>
            <w14:solidFill>
              <w14:schemeClr w14:val="tx1"/>
            </w14:solidFill>
          </w14:textFill>
        </w:rPr>
        <w:t>7.2 债券资产</w:t>
      </w:r>
      <w:bookmarkEnd w:id="72"/>
    </w:p>
    <w:p w14:paraId="365E1A23">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本行2024年度无债券资产碳排放基础数据。</w:t>
      </w:r>
    </w:p>
    <w:p w14:paraId="76725871">
      <w:pPr>
        <w:widowControl/>
        <w:spacing w:line="240" w:lineRule="auto"/>
        <w:ind w:firstLine="0" w:firstLineChars="0"/>
        <w:jc w:val="center"/>
        <w:outlineLvl w:val="1"/>
        <w:rPr>
          <w:rFonts w:hint="eastAsia" w:ascii="宋体" w:hAnsi="宋体" w:eastAsia="宋体"/>
          <w:b w:val="0"/>
          <w:bCs/>
          <w:color w:val="000000" w:themeColor="text1"/>
          <w:kern w:val="0"/>
          <w:sz w:val="18"/>
          <w:szCs w:val="18"/>
          <w:lang w:val="en-US" w:eastAsia="zh-CN"/>
          <w14:textFill>
            <w14:solidFill>
              <w14:schemeClr w14:val="tx1"/>
            </w14:solidFill>
          </w14:textFill>
        </w:rPr>
      </w:pPr>
      <w:bookmarkStart w:id="73" w:name="_Toc6242"/>
      <w:r>
        <w:rPr>
          <w:rFonts w:hint="eastAsia" w:ascii="宋体" w:hAnsi="宋体" w:eastAsia="宋体"/>
          <w:b w:val="0"/>
          <w:bCs/>
          <w:color w:val="000000" w:themeColor="text1"/>
          <w:kern w:val="0"/>
          <w:sz w:val="18"/>
          <w:szCs w:val="18"/>
          <w:lang w:val="en-US" w:eastAsia="zh-CN"/>
          <w14:textFill>
            <w14:solidFill>
              <w14:schemeClr w14:val="tx1"/>
            </w14:solidFill>
          </w14:textFill>
        </w:rPr>
        <w:t>7-2债券资产碳排放</w:t>
      </w:r>
      <w:bookmarkEnd w:id="73"/>
    </w:p>
    <w:tbl>
      <w:tblPr>
        <w:tblStyle w:val="22"/>
        <w:tblW w:w="4998" w:type="pct"/>
        <w:jc w:val="center"/>
        <w:tblLayout w:type="autofit"/>
        <w:tblCellMar>
          <w:top w:w="0" w:type="dxa"/>
          <w:left w:w="108" w:type="dxa"/>
          <w:bottom w:w="0" w:type="dxa"/>
          <w:right w:w="108" w:type="dxa"/>
        </w:tblCellMar>
      </w:tblPr>
      <w:tblGrid>
        <w:gridCol w:w="2303"/>
        <w:gridCol w:w="4264"/>
        <w:gridCol w:w="1614"/>
        <w:gridCol w:w="1601"/>
      </w:tblGrid>
      <w:tr w14:paraId="14E1E236">
        <w:tblPrEx>
          <w:tblCellMar>
            <w:top w:w="0" w:type="dxa"/>
            <w:left w:w="108" w:type="dxa"/>
            <w:bottom w:w="0" w:type="dxa"/>
            <w:right w:w="108" w:type="dxa"/>
          </w:tblCellMar>
        </w:tblPrEx>
        <w:trPr>
          <w:trHeight w:val="307" w:hRule="atLeast"/>
          <w:tblHeader/>
          <w:jc w:val="center"/>
        </w:trPr>
        <w:tc>
          <w:tcPr>
            <w:tcW w:w="1177" w:type="pct"/>
            <w:tcBorders>
              <w:top w:val="single" w:color="000000" w:sz="4" w:space="0"/>
              <w:left w:val="single" w:color="000000" w:sz="4" w:space="0"/>
              <w:bottom w:val="single" w:color="000000" w:sz="4" w:space="0"/>
              <w:right w:val="single" w:color="000000" w:sz="4" w:space="0"/>
            </w:tcBorders>
            <w:noWrap/>
            <w:vAlign w:val="center"/>
          </w:tcPr>
          <w:p w14:paraId="5689403A">
            <w:pPr>
              <w:rPr>
                <w:b w:val="0"/>
                <w:bCs/>
              </w:rPr>
            </w:pPr>
            <w:r>
              <w:rPr>
                <w:rFonts w:ascii="宋体" w:hAnsi="宋体" w:eastAsia="宋体" w:cs="宋体"/>
                <w:b w:val="0"/>
                <w:bCs/>
                <w:sz w:val="18"/>
              </w:rPr>
              <w:t>资产类别</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55043AD3">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指标名称</w:t>
            </w:r>
          </w:p>
        </w:tc>
        <w:tc>
          <w:tcPr>
            <w:tcW w:w="825" w:type="pct"/>
            <w:tcBorders>
              <w:top w:val="single" w:color="000000" w:sz="4" w:space="0"/>
              <w:left w:val="single" w:color="000000" w:sz="4" w:space="0"/>
              <w:bottom w:val="single" w:color="000000" w:sz="4" w:space="0"/>
              <w:right w:val="single" w:color="000000" w:sz="4" w:space="0"/>
            </w:tcBorders>
            <w:noWrap w:val="0"/>
            <w:vAlign w:val="center"/>
          </w:tcPr>
          <w:p w14:paraId="0F9A5A1D">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单位</w:t>
            </w:r>
          </w:p>
        </w:tc>
        <w:tc>
          <w:tcPr>
            <w:tcW w:w="818" w:type="pct"/>
            <w:tcBorders>
              <w:top w:val="single" w:color="000000" w:sz="4" w:space="0"/>
              <w:left w:val="single" w:color="000000" w:sz="4" w:space="0"/>
              <w:bottom w:val="single" w:color="000000" w:sz="4" w:space="0"/>
              <w:right w:val="single" w:color="000000" w:sz="4" w:space="0"/>
            </w:tcBorders>
            <w:noWrap w:val="0"/>
            <w:vAlign w:val="center"/>
          </w:tcPr>
          <w:p w14:paraId="7B6894EF">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i w:val="0"/>
                <w:iCs w:val="0"/>
                <w:color w:val="000000" w:themeColor="text1"/>
                <w:kern w:val="0"/>
                <w:sz w:val="18"/>
                <w:szCs w:val="18"/>
                <w:u w:val="none"/>
                <w:lang w:val="en-US" w:eastAsia="zh-CN" w:bidi="ar"/>
                <w14:textFill>
                  <w14:solidFill>
                    <w14:schemeClr w14:val="tx1"/>
                  </w14:solidFill>
                </w14:textFill>
              </w:rPr>
              <w:t>2024</w:t>
            </w:r>
            <w:r>
              <w:rPr>
                <w:rFonts w:hint="eastAsia" w:ascii="宋体" w:hAnsi="宋体" w:eastAsia="宋体" w:cs="宋体"/>
                <w:b w:val="0"/>
                <w:bCs/>
                <w:color w:val="000000" w:themeColor="text1"/>
                <w:kern w:val="0"/>
                <w:sz w:val="18"/>
                <w:szCs w:val="18"/>
                <w14:textFill>
                  <w14:solidFill>
                    <w14:schemeClr w14:val="tx1"/>
                  </w14:solidFill>
                </w14:textFill>
              </w:rPr>
              <w:t>年</w:t>
            </w:r>
          </w:p>
        </w:tc>
      </w:tr>
      <w:tr w14:paraId="3E77266C">
        <w:tblPrEx>
          <w:tblCellMar>
            <w:top w:w="0" w:type="dxa"/>
            <w:left w:w="108" w:type="dxa"/>
            <w:bottom w:w="0" w:type="dxa"/>
            <w:right w:w="108" w:type="dxa"/>
          </w:tblCellMar>
        </w:tblPrEx>
        <w:trPr>
          <w:trHeight w:val="307" w:hRule="atLeast"/>
          <w:jc w:val="center"/>
        </w:trPr>
        <w:tc>
          <w:tcPr>
            <w:tcW w:w="1177" w:type="pct"/>
            <w:vMerge w:val="restart"/>
            <w:tcBorders>
              <w:top w:val="single" w:color="000000" w:sz="4" w:space="0"/>
              <w:left w:val="single" w:color="000000" w:sz="4" w:space="0"/>
              <w:bottom w:val="single" w:color="000000" w:sz="4" w:space="0"/>
              <w:right w:val="single" w:color="000000" w:sz="4" w:space="0"/>
            </w:tcBorders>
            <w:noWrap/>
            <w:vAlign w:val="center"/>
          </w:tcPr>
          <w:p w14:paraId="51DD706F">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债券资产</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53A577F7">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投融资碳排放量</w:t>
            </w:r>
          </w:p>
        </w:tc>
        <w:tc>
          <w:tcPr>
            <w:tcW w:w="825" w:type="pct"/>
            <w:tcBorders>
              <w:top w:val="single" w:color="000000" w:sz="4" w:space="0"/>
              <w:left w:val="single" w:color="000000" w:sz="4" w:space="0"/>
              <w:bottom w:val="single" w:color="000000" w:sz="4" w:space="0"/>
              <w:right w:val="single" w:color="000000" w:sz="4" w:space="0"/>
            </w:tcBorders>
            <w:noWrap w:val="0"/>
            <w:vAlign w:val="center"/>
          </w:tcPr>
          <w:p w14:paraId="4A87A4E1">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w:t>
            </w:r>
          </w:p>
        </w:tc>
        <w:tc>
          <w:tcPr>
            <w:tcW w:w="818" w:type="pct"/>
            <w:tcBorders>
              <w:top w:val="single" w:color="000000" w:sz="4" w:space="0"/>
              <w:left w:val="single" w:color="000000" w:sz="4" w:space="0"/>
              <w:bottom w:val="single" w:color="000000" w:sz="4" w:space="0"/>
              <w:right w:val="single" w:color="000000" w:sz="4" w:space="0"/>
            </w:tcBorders>
            <w:noWrap w:val="0"/>
            <w:vAlign w:val="center"/>
          </w:tcPr>
          <w:p w14:paraId="16B1C882">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lang w:val="en-US" w:eastAsia="zh-CN"/>
                <w14:textFill>
                  <w14:solidFill>
                    <w14:schemeClr w14:val="tx1"/>
                  </w14:solidFill>
                </w14:textFill>
              </w:rPr>
            </w:pPr>
            <w:r>
              <w:rPr>
                <w:rFonts w:hint="eastAsia" w:ascii="宋体" w:hAnsi="宋体" w:eastAsia="宋体" w:cs="宋体"/>
                <w:b w:val="0"/>
                <w:bCs/>
                <w:color w:val="000000" w:themeColor="text1"/>
                <w:kern w:val="0"/>
                <w:sz w:val="18"/>
                <w:szCs w:val="18"/>
                <w:lang w:val="en-US" w:eastAsia="zh-CN"/>
                <w14:textFill>
                  <w14:solidFill>
                    <w14:schemeClr w14:val="tx1"/>
                  </w14:solidFill>
                </w14:textFill>
              </w:rPr>
              <w:t>/</w:t>
            </w:r>
          </w:p>
        </w:tc>
      </w:tr>
      <w:tr w14:paraId="26513B21">
        <w:tblPrEx>
          <w:tblCellMar>
            <w:top w:w="0" w:type="dxa"/>
            <w:left w:w="108" w:type="dxa"/>
            <w:bottom w:w="0" w:type="dxa"/>
            <w:right w:w="108" w:type="dxa"/>
          </w:tblCellMar>
        </w:tblPrEx>
        <w:trPr>
          <w:trHeight w:val="307" w:hRule="atLeast"/>
          <w:jc w:val="center"/>
        </w:trPr>
        <w:tc>
          <w:tcPr>
            <w:tcW w:w="1177" w:type="pct"/>
            <w:vMerge w:val="continue"/>
            <w:tcBorders>
              <w:top w:val="single" w:color="000000" w:sz="4" w:space="0"/>
              <w:left w:val="single" w:color="000000" w:sz="4" w:space="0"/>
              <w:bottom w:val="single" w:color="000000" w:sz="4" w:space="0"/>
              <w:right w:val="single" w:color="000000" w:sz="4" w:space="0"/>
            </w:tcBorders>
            <w:noWrap/>
            <w:vAlign w:val="center"/>
          </w:tcPr>
          <w:p w14:paraId="35785773">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债券资产</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751A0AD0">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纳入碳排放核算的投融资业务比例</w:t>
            </w:r>
          </w:p>
        </w:tc>
        <w:tc>
          <w:tcPr>
            <w:tcW w:w="825" w:type="pct"/>
            <w:tcBorders>
              <w:top w:val="single" w:color="000000" w:sz="4" w:space="0"/>
              <w:left w:val="single" w:color="000000" w:sz="4" w:space="0"/>
              <w:bottom w:val="single" w:color="000000" w:sz="4" w:space="0"/>
              <w:right w:val="single" w:color="000000" w:sz="4" w:space="0"/>
            </w:tcBorders>
            <w:noWrap w:val="0"/>
            <w:vAlign w:val="center"/>
          </w:tcPr>
          <w:p w14:paraId="52618C54">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818" w:type="pct"/>
            <w:tcBorders>
              <w:top w:val="single" w:color="000000" w:sz="4" w:space="0"/>
              <w:left w:val="single" w:color="000000" w:sz="4" w:space="0"/>
              <w:bottom w:val="single" w:color="000000" w:sz="4" w:space="0"/>
              <w:right w:val="single" w:color="000000" w:sz="4" w:space="0"/>
            </w:tcBorders>
            <w:noWrap w:val="0"/>
            <w:vAlign w:val="center"/>
          </w:tcPr>
          <w:p w14:paraId="73290340">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lang w:val="en-US" w:eastAsia="zh-CN"/>
                <w14:textFill>
                  <w14:solidFill>
                    <w14:schemeClr w14:val="tx1"/>
                  </w14:solidFill>
                </w14:textFill>
              </w:rPr>
            </w:pPr>
            <w:r>
              <w:rPr>
                <w:rFonts w:hint="eastAsia" w:ascii="宋体" w:hAnsi="宋体" w:eastAsia="宋体" w:cs="宋体"/>
                <w:b w:val="0"/>
                <w:bCs/>
                <w:color w:val="000000" w:themeColor="text1"/>
                <w:kern w:val="0"/>
                <w:sz w:val="18"/>
                <w:szCs w:val="18"/>
                <w:lang w:val="en-US" w:eastAsia="zh-CN"/>
                <w14:textFill>
                  <w14:solidFill>
                    <w14:schemeClr w14:val="tx1"/>
                  </w14:solidFill>
                </w14:textFill>
              </w:rPr>
              <w:t>/</w:t>
            </w:r>
          </w:p>
        </w:tc>
      </w:tr>
      <w:tr w14:paraId="24EA5F3D">
        <w:tblPrEx>
          <w:tblCellMar>
            <w:top w:w="0" w:type="dxa"/>
            <w:left w:w="108" w:type="dxa"/>
            <w:bottom w:w="0" w:type="dxa"/>
            <w:right w:w="108" w:type="dxa"/>
          </w:tblCellMar>
        </w:tblPrEx>
        <w:trPr>
          <w:trHeight w:val="307" w:hRule="atLeast"/>
          <w:jc w:val="center"/>
        </w:trPr>
        <w:tc>
          <w:tcPr>
            <w:tcW w:w="1177" w:type="pct"/>
            <w:vMerge w:val="continue"/>
            <w:tcBorders>
              <w:top w:val="single" w:color="000000" w:sz="4" w:space="0"/>
              <w:left w:val="single" w:color="000000" w:sz="4" w:space="0"/>
              <w:bottom w:val="single" w:color="000000" w:sz="4" w:space="0"/>
              <w:right w:val="single" w:color="000000" w:sz="4" w:space="0"/>
            </w:tcBorders>
            <w:noWrap/>
            <w:vAlign w:val="center"/>
          </w:tcPr>
          <w:p w14:paraId="0D94AF85">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债券资产</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32802AD2">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纳入碳排放核算的债券投资账面价值</w:t>
            </w:r>
          </w:p>
        </w:tc>
        <w:tc>
          <w:tcPr>
            <w:tcW w:w="825" w:type="pct"/>
            <w:tcBorders>
              <w:top w:val="single" w:color="000000" w:sz="4" w:space="0"/>
              <w:left w:val="single" w:color="000000" w:sz="4" w:space="0"/>
              <w:bottom w:val="single" w:color="000000" w:sz="4" w:space="0"/>
              <w:right w:val="single" w:color="000000" w:sz="4" w:space="0"/>
            </w:tcBorders>
            <w:noWrap w:val="0"/>
            <w:vAlign w:val="center"/>
          </w:tcPr>
          <w:p w14:paraId="73FDCF60">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万元</w:t>
            </w:r>
          </w:p>
        </w:tc>
        <w:tc>
          <w:tcPr>
            <w:tcW w:w="818" w:type="pct"/>
            <w:tcBorders>
              <w:top w:val="single" w:color="000000" w:sz="4" w:space="0"/>
              <w:left w:val="single" w:color="000000" w:sz="4" w:space="0"/>
              <w:bottom w:val="single" w:color="000000" w:sz="4" w:space="0"/>
              <w:right w:val="single" w:color="000000" w:sz="4" w:space="0"/>
            </w:tcBorders>
            <w:noWrap w:val="0"/>
            <w:vAlign w:val="center"/>
          </w:tcPr>
          <w:p w14:paraId="06BD7354">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lang w:val="en-US" w:eastAsia="zh-CN"/>
                <w14:textFill>
                  <w14:solidFill>
                    <w14:schemeClr w14:val="tx1"/>
                  </w14:solidFill>
                </w14:textFill>
              </w:rPr>
            </w:pPr>
            <w:r>
              <w:rPr>
                <w:rFonts w:hint="eastAsia" w:ascii="宋体" w:hAnsi="宋体" w:eastAsia="宋体" w:cs="宋体"/>
                <w:b w:val="0"/>
                <w:bCs/>
                <w:color w:val="000000" w:themeColor="text1"/>
                <w:kern w:val="0"/>
                <w:sz w:val="18"/>
                <w:szCs w:val="18"/>
                <w:lang w:val="en-US" w:eastAsia="zh-CN"/>
                <w14:textFill>
                  <w14:solidFill>
                    <w14:schemeClr w14:val="tx1"/>
                  </w14:solidFill>
                </w14:textFill>
              </w:rPr>
              <w:t>/</w:t>
            </w:r>
          </w:p>
        </w:tc>
      </w:tr>
      <w:tr w14:paraId="1752BAEC">
        <w:tblPrEx>
          <w:tblCellMar>
            <w:top w:w="0" w:type="dxa"/>
            <w:left w:w="108" w:type="dxa"/>
            <w:bottom w:w="0" w:type="dxa"/>
            <w:right w:w="108" w:type="dxa"/>
          </w:tblCellMar>
        </w:tblPrEx>
        <w:trPr>
          <w:trHeight w:val="307" w:hRule="atLeast"/>
          <w:jc w:val="center"/>
        </w:trPr>
        <w:tc>
          <w:tcPr>
            <w:tcW w:w="1177" w:type="pct"/>
            <w:vMerge w:val="continue"/>
            <w:tcBorders>
              <w:top w:val="single" w:color="000000" w:sz="4" w:space="0"/>
              <w:left w:val="single" w:color="000000" w:sz="4" w:space="0"/>
              <w:bottom w:val="single" w:color="000000" w:sz="4" w:space="0"/>
              <w:right w:val="single" w:color="000000" w:sz="4" w:space="0"/>
            </w:tcBorders>
            <w:noWrap/>
            <w:vAlign w:val="center"/>
          </w:tcPr>
          <w:p w14:paraId="4FE9B33E">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债券资产</w:t>
            </w:r>
          </w:p>
        </w:tc>
        <w:tc>
          <w:tcPr>
            <w:tcW w:w="2179" w:type="pct"/>
            <w:tcBorders>
              <w:top w:val="single" w:color="000000" w:sz="4" w:space="0"/>
              <w:left w:val="single" w:color="000000" w:sz="4" w:space="0"/>
              <w:bottom w:val="single" w:color="000000" w:sz="4" w:space="0"/>
              <w:right w:val="single" w:color="000000" w:sz="4" w:space="0"/>
            </w:tcBorders>
            <w:noWrap w:val="0"/>
            <w:vAlign w:val="center"/>
          </w:tcPr>
          <w:p w14:paraId="6301FE68">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投融资碳排放强度*</w:t>
            </w:r>
          </w:p>
        </w:tc>
        <w:tc>
          <w:tcPr>
            <w:tcW w:w="825" w:type="pct"/>
            <w:tcBorders>
              <w:top w:val="single" w:color="000000" w:sz="4" w:space="0"/>
              <w:left w:val="single" w:color="000000" w:sz="4" w:space="0"/>
              <w:bottom w:val="single" w:color="000000" w:sz="4" w:space="0"/>
              <w:right w:val="single" w:color="000000" w:sz="4" w:space="0"/>
            </w:tcBorders>
            <w:noWrap w:val="0"/>
            <w:vAlign w:val="center"/>
          </w:tcPr>
          <w:p w14:paraId="10130FA4">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tCO2e/万元</w:t>
            </w:r>
          </w:p>
        </w:tc>
        <w:tc>
          <w:tcPr>
            <w:tcW w:w="818" w:type="pct"/>
            <w:tcBorders>
              <w:top w:val="single" w:color="000000" w:sz="4" w:space="0"/>
              <w:left w:val="single" w:color="000000" w:sz="4" w:space="0"/>
              <w:bottom w:val="single" w:color="000000" w:sz="4" w:space="0"/>
              <w:right w:val="single" w:color="000000" w:sz="4" w:space="0"/>
            </w:tcBorders>
            <w:noWrap w:val="0"/>
            <w:vAlign w:val="center"/>
          </w:tcPr>
          <w:p w14:paraId="44841411">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lang w:val="en-US" w:eastAsia="zh-CN"/>
                <w14:textFill>
                  <w14:solidFill>
                    <w14:schemeClr w14:val="tx1"/>
                  </w14:solidFill>
                </w14:textFill>
              </w:rPr>
            </w:pPr>
            <w:r>
              <w:rPr>
                <w:rFonts w:hint="eastAsia" w:ascii="宋体" w:hAnsi="宋体" w:eastAsia="宋体" w:cs="宋体"/>
                <w:b w:val="0"/>
                <w:bCs/>
                <w:color w:val="000000" w:themeColor="text1"/>
                <w:kern w:val="0"/>
                <w:sz w:val="18"/>
                <w:szCs w:val="18"/>
                <w:lang w:val="en-US" w:eastAsia="zh-CN"/>
                <w14:textFill>
                  <w14:solidFill>
                    <w14:schemeClr w14:val="tx1"/>
                  </w14:solidFill>
                </w14:textFill>
              </w:rPr>
              <w:t>/</w:t>
            </w:r>
          </w:p>
        </w:tc>
      </w:tr>
    </w:tbl>
    <w:p w14:paraId="6BD5CC2B">
      <w:pPr>
        <w:widowControl/>
        <w:kinsoku w:val="0"/>
        <w:autoSpaceDE w:val="0"/>
        <w:autoSpaceDN w:val="0"/>
        <w:adjustRightInd w:val="0"/>
        <w:snapToGrid w:val="0"/>
        <w:spacing w:before="217" w:beforeLines="50" w:line="240" w:lineRule="auto"/>
        <w:ind w:firstLine="0" w:firstLineChars="0"/>
        <w:textAlignment w:val="baseline"/>
        <w:rPr>
          <w:rFonts w:hint="eastAsia" w:ascii="黑体" w:hAnsi="黑体" w:eastAsia="黑体" w:cs="黑体"/>
          <w:b w:val="0"/>
          <w:bCs/>
          <w:color w:val="000000" w:themeColor="text1"/>
          <w:sz w:val="28"/>
          <w:szCs w:val="28"/>
          <w:lang w:val="en-US" w:eastAsia="zh-CN"/>
          <w14:textFill>
            <w14:solidFill>
              <w14:schemeClr w14:val="tx1"/>
            </w14:solidFill>
          </w14:textFill>
        </w:rPr>
      </w:pPr>
    </w:p>
    <w:p w14:paraId="062981B7">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lang w:val="en-US" w:eastAsia="zh-CN"/>
          <w14:textFill>
            <w14:solidFill>
              <w14:schemeClr w14:val="tx1"/>
            </w14:solidFill>
          </w14:textFill>
        </w:rPr>
      </w:pPr>
      <w:bookmarkStart w:id="74" w:name="_Toc19566"/>
      <w:r>
        <w:rPr>
          <w:rFonts w:hint="eastAsia" w:ascii="黑体" w:hAnsi="黑体" w:eastAsia="黑体" w:cs="黑体"/>
          <w:b w:val="0"/>
          <w:bCs/>
          <w:color w:val="000000" w:themeColor="text1"/>
          <w:sz w:val="28"/>
          <w:szCs w:val="28"/>
          <w:lang w:val="en-US" w:eastAsia="zh-CN"/>
          <w14:textFill>
            <w14:solidFill>
              <w14:schemeClr w14:val="tx1"/>
            </w14:solidFill>
          </w14:textFill>
        </w:rPr>
        <w:t>7.3 投融资（总计）</w:t>
      </w:r>
      <w:bookmarkEnd w:id="74"/>
    </w:p>
    <w:p w14:paraId="28C17072">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报告年度内</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本行信贷资产产生的碳排放</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26923.74804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e，碳排放强度为</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0.05845</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e/万元；投融资活动总碳排放量</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26923.74804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e，碳排放强度为</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0.05845</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e/万元。</w:t>
      </w:r>
    </w:p>
    <w:p w14:paraId="7483A6A6">
      <w:pPr>
        <w:widowControl/>
        <w:spacing w:line="240" w:lineRule="auto"/>
        <w:ind w:firstLine="0" w:firstLineChars="0"/>
        <w:jc w:val="center"/>
        <w:outlineLvl w:val="1"/>
        <w:rPr>
          <w:rFonts w:hint="eastAsia" w:ascii="宋体" w:hAnsi="宋体" w:eastAsia="宋体"/>
          <w:b w:val="0"/>
          <w:bCs/>
          <w:color w:val="000000" w:themeColor="text1"/>
          <w:kern w:val="0"/>
          <w:sz w:val="18"/>
          <w:szCs w:val="18"/>
          <w14:textFill>
            <w14:solidFill>
              <w14:schemeClr w14:val="tx1"/>
            </w14:solidFill>
          </w14:textFill>
        </w:rPr>
      </w:pPr>
      <w:bookmarkStart w:id="75" w:name="_Toc9207"/>
      <w:r>
        <w:rPr>
          <w:rFonts w:hint="eastAsia" w:ascii="宋体" w:hAnsi="宋体" w:eastAsia="宋体"/>
          <w:b w:val="0"/>
          <w:bCs/>
          <w:color w:val="000000" w:themeColor="text1"/>
          <w:kern w:val="0"/>
          <w:sz w:val="18"/>
          <w:szCs w:val="18"/>
          <w14:textFill>
            <w14:solidFill>
              <w14:schemeClr w14:val="tx1"/>
            </w14:solidFill>
          </w14:textFill>
        </w:rPr>
        <w:t>7-3投融资（信贷+债券）碳排放</w:t>
      </w:r>
      <w:bookmarkEnd w:id="75"/>
    </w:p>
    <w:tbl>
      <w:tblPr>
        <w:tblStyle w:val="22"/>
        <w:tblW w:w="4998" w:type="pct"/>
        <w:jc w:val="center"/>
        <w:tblLayout w:type="autofit"/>
        <w:tblCellMar>
          <w:top w:w="0" w:type="dxa"/>
          <w:left w:w="108" w:type="dxa"/>
          <w:bottom w:w="0" w:type="dxa"/>
          <w:right w:w="108" w:type="dxa"/>
        </w:tblCellMar>
      </w:tblPr>
      <w:tblGrid>
        <w:gridCol w:w="2250"/>
        <w:gridCol w:w="4395"/>
        <w:gridCol w:w="1589"/>
        <w:gridCol w:w="1548"/>
      </w:tblGrid>
      <w:tr w14:paraId="6C52F79E">
        <w:tblPrEx>
          <w:tblCellMar>
            <w:top w:w="0" w:type="dxa"/>
            <w:left w:w="108" w:type="dxa"/>
            <w:bottom w:w="0" w:type="dxa"/>
            <w:right w:w="108" w:type="dxa"/>
          </w:tblCellMar>
        </w:tblPrEx>
        <w:trPr>
          <w:trHeight w:val="325" w:hRule="atLeast"/>
          <w:jc w:val="center"/>
        </w:trPr>
        <w:tc>
          <w:tcPr>
            <w:tcW w:w="1150" w:type="pct"/>
            <w:tcBorders>
              <w:top w:val="single" w:color="000000" w:sz="4" w:space="0"/>
              <w:left w:val="single" w:color="000000" w:sz="4" w:space="0"/>
              <w:bottom w:val="single" w:color="000000" w:sz="4" w:space="0"/>
              <w:right w:val="single" w:color="000000" w:sz="4" w:space="0"/>
            </w:tcBorders>
            <w:noWrap/>
            <w:vAlign w:val="center"/>
          </w:tcPr>
          <w:p w14:paraId="6FD2F1C5">
            <w:pPr>
              <w:rPr>
                <w:b w:val="0"/>
                <w:bCs/>
              </w:rPr>
            </w:pPr>
            <w:r>
              <w:rPr>
                <w:rFonts w:ascii="宋体" w:hAnsi="宋体" w:eastAsia="宋体" w:cs="宋体"/>
                <w:b w:val="0"/>
                <w:bCs/>
                <w:sz w:val="18"/>
              </w:rPr>
              <w:t>资产类别</w:t>
            </w:r>
          </w:p>
        </w:tc>
        <w:tc>
          <w:tcPr>
            <w:tcW w:w="2246" w:type="pct"/>
            <w:tcBorders>
              <w:top w:val="single" w:color="000000" w:sz="4" w:space="0"/>
              <w:left w:val="single" w:color="000000" w:sz="4" w:space="0"/>
              <w:bottom w:val="single" w:color="000000" w:sz="4" w:space="0"/>
              <w:right w:val="single" w:color="000000" w:sz="4" w:space="0"/>
            </w:tcBorders>
            <w:noWrap w:val="0"/>
            <w:vAlign w:val="center"/>
          </w:tcPr>
          <w:p w14:paraId="488A2E4C">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指标名称</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3B39B29A">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themeColor="text1"/>
                <w:kern w:val="0"/>
                <w:sz w:val="18"/>
                <w:szCs w:val="18"/>
                <w14:textFill>
                  <w14:solidFill>
                    <w14:schemeClr w14:val="tx1"/>
                  </w14:solidFill>
                </w14:textFill>
              </w:rPr>
              <w:t>单位</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784EDD1D">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i w:val="0"/>
                <w:iCs w:val="0"/>
                <w:color w:val="000000" w:themeColor="text1"/>
                <w:kern w:val="0"/>
                <w:sz w:val="18"/>
                <w:szCs w:val="18"/>
                <w:u w:val="none"/>
                <w:lang w:val="en-US" w:eastAsia="zh-CN" w:bidi="ar"/>
                <w14:textFill>
                  <w14:solidFill>
                    <w14:schemeClr w14:val="tx1"/>
                  </w14:solidFill>
                </w14:textFill>
              </w:rPr>
              <w:t>2024</w:t>
            </w:r>
            <w:r>
              <w:rPr>
                <w:rFonts w:hint="eastAsia" w:ascii="宋体" w:hAnsi="宋体" w:eastAsia="宋体" w:cs="宋体"/>
                <w:b w:val="0"/>
                <w:bCs/>
                <w:color w:val="000000" w:themeColor="text1"/>
                <w:kern w:val="0"/>
                <w:sz w:val="18"/>
                <w:szCs w:val="18"/>
                <w14:textFill>
                  <w14:solidFill>
                    <w14:schemeClr w14:val="tx1"/>
                  </w14:solidFill>
                </w14:textFill>
              </w:rPr>
              <w:t>年</w:t>
            </w:r>
          </w:p>
        </w:tc>
      </w:tr>
      <w:tr w14:paraId="0E8915E9">
        <w:tblPrEx>
          <w:tblCellMar>
            <w:top w:w="0" w:type="dxa"/>
            <w:left w:w="108" w:type="dxa"/>
            <w:bottom w:w="0" w:type="dxa"/>
            <w:right w:w="108" w:type="dxa"/>
          </w:tblCellMar>
        </w:tblPrEx>
        <w:trPr>
          <w:trHeight w:val="325" w:hRule="atLeast"/>
          <w:jc w:val="center"/>
        </w:trPr>
        <w:tc>
          <w:tcPr>
            <w:tcW w:w="1150" w:type="pct"/>
            <w:vMerge w:val="restart"/>
            <w:tcBorders>
              <w:top w:val="single" w:color="000000" w:sz="4" w:space="0"/>
              <w:left w:val="single" w:color="000000" w:sz="4" w:space="0"/>
              <w:bottom w:val="single" w:color="000000" w:sz="4" w:space="0"/>
              <w:right w:val="single" w:color="000000" w:sz="4" w:space="0"/>
            </w:tcBorders>
            <w:noWrap/>
            <w:vAlign w:val="center"/>
          </w:tcPr>
          <w:p w14:paraId="6F398854">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信贷资产</w:t>
            </w:r>
          </w:p>
        </w:tc>
        <w:tc>
          <w:tcPr>
            <w:tcW w:w="2246" w:type="pct"/>
            <w:tcBorders>
              <w:top w:val="single" w:color="000000" w:sz="4" w:space="0"/>
              <w:left w:val="single" w:color="000000" w:sz="4" w:space="0"/>
              <w:bottom w:val="single" w:color="000000" w:sz="4" w:space="0"/>
              <w:right w:val="single" w:color="000000" w:sz="4" w:space="0"/>
            </w:tcBorders>
            <w:noWrap w:val="0"/>
            <w:vAlign w:val="center"/>
          </w:tcPr>
          <w:p w14:paraId="05704168">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投融资碳排放量</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72A61A8D">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73392036">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26923.74804</w:t>
            </w:r>
          </w:p>
        </w:tc>
      </w:tr>
      <w:tr w14:paraId="7CDB9E82">
        <w:tblPrEx>
          <w:tblCellMar>
            <w:top w:w="0" w:type="dxa"/>
            <w:left w:w="108" w:type="dxa"/>
            <w:bottom w:w="0" w:type="dxa"/>
            <w:right w:w="108" w:type="dxa"/>
          </w:tblCellMar>
        </w:tblPrEx>
        <w:trPr>
          <w:trHeight w:val="325" w:hRule="atLeast"/>
          <w:jc w:val="center"/>
        </w:trPr>
        <w:tc>
          <w:tcPr>
            <w:tcW w:w="1150" w:type="pct"/>
            <w:vMerge w:val="continue"/>
            <w:tcBorders>
              <w:top w:val="single" w:color="000000" w:sz="4" w:space="0"/>
              <w:left w:val="single" w:color="000000" w:sz="4" w:space="0"/>
              <w:bottom w:val="single" w:color="000000" w:sz="4" w:space="0"/>
              <w:right w:val="single" w:color="000000" w:sz="4" w:space="0"/>
            </w:tcBorders>
            <w:noWrap/>
            <w:vAlign w:val="center"/>
          </w:tcPr>
          <w:p w14:paraId="68D6C34D">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信贷资产</w:t>
            </w:r>
          </w:p>
        </w:tc>
        <w:tc>
          <w:tcPr>
            <w:tcW w:w="2246" w:type="pct"/>
            <w:tcBorders>
              <w:top w:val="single" w:color="000000" w:sz="4" w:space="0"/>
              <w:left w:val="single" w:color="000000" w:sz="4" w:space="0"/>
              <w:bottom w:val="single" w:color="000000" w:sz="4" w:space="0"/>
              <w:right w:val="single" w:color="000000" w:sz="4" w:space="0"/>
            </w:tcBorders>
            <w:noWrap w:val="0"/>
            <w:vAlign w:val="center"/>
          </w:tcPr>
          <w:p w14:paraId="6A9CB409">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纳入碳排放核算的投融资业务比例</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2D73EA11">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2F63DA47">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lang w:val="en-US" w:eastAsia="zh-CN"/>
                <w14:textFill>
                  <w14:solidFill>
                    <w14:schemeClr w14:val="tx1"/>
                  </w14:solidFill>
                </w14:textFill>
              </w:rPr>
            </w:pPr>
            <w:r>
              <w:rPr>
                <w:rFonts w:hint="eastAsia" w:ascii="宋体" w:hAnsi="宋体" w:eastAsia="宋体" w:cs="宋体"/>
                <w:b w:val="0"/>
                <w:bCs/>
                <w:color w:val="000000" w:themeColor="text1"/>
                <w:kern w:val="0"/>
                <w:sz w:val="18"/>
                <w:szCs w:val="18"/>
                <w:lang w:val="en-US" w:eastAsia="zh-CN"/>
                <w14:textFill>
                  <w14:solidFill>
                    <w14:schemeClr w14:val="tx1"/>
                  </w14:solidFill>
                </w14:textFill>
              </w:rPr>
              <w:t>/</w:t>
            </w:r>
          </w:p>
        </w:tc>
      </w:tr>
      <w:tr w14:paraId="380F2EC0">
        <w:tblPrEx>
          <w:tblCellMar>
            <w:top w:w="0" w:type="dxa"/>
            <w:left w:w="108" w:type="dxa"/>
            <w:bottom w:w="0" w:type="dxa"/>
            <w:right w:w="108" w:type="dxa"/>
          </w:tblCellMar>
        </w:tblPrEx>
        <w:trPr>
          <w:trHeight w:val="325" w:hRule="atLeast"/>
          <w:jc w:val="center"/>
        </w:trPr>
        <w:tc>
          <w:tcPr>
            <w:tcW w:w="1150" w:type="pct"/>
            <w:vMerge w:val="continue"/>
            <w:tcBorders>
              <w:top w:val="single" w:color="000000" w:sz="4" w:space="0"/>
              <w:left w:val="single" w:color="000000" w:sz="4" w:space="0"/>
              <w:bottom w:val="single" w:color="000000" w:sz="4" w:space="0"/>
              <w:right w:val="single" w:color="000000" w:sz="4" w:space="0"/>
            </w:tcBorders>
            <w:noWrap/>
            <w:vAlign w:val="center"/>
          </w:tcPr>
          <w:p w14:paraId="161FF924">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信贷资产</w:t>
            </w:r>
          </w:p>
        </w:tc>
        <w:tc>
          <w:tcPr>
            <w:tcW w:w="2246" w:type="pct"/>
            <w:tcBorders>
              <w:top w:val="single" w:color="000000" w:sz="4" w:space="0"/>
              <w:left w:val="single" w:color="000000" w:sz="4" w:space="0"/>
              <w:bottom w:val="single" w:color="000000" w:sz="4" w:space="0"/>
              <w:right w:val="single" w:color="000000" w:sz="4" w:space="0"/>
            </w:tcBorders>
            <w:noWrap w:val="0"/>
            <w:vAlign w:val="center"/>
          </w:tcPr>
          <w:p w14:paraId="256ECB90">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纳入碳排放核算的贷款月均融资余额</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0CDBF0F9">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万元</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69F55C7D">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460664.64</w:t>
            </w:r>
          </w:p>
        </w:tc>
      </w:tr>
      <w:tr w14:paraId="60537978">
        <w:tblPrEx>
          <w:tblCellMar>
            <w:top w:w="0" w:type="dxa"/>
            <w:left w:w="108" w:type="dxa"/>
            <w:bottom w:w="0" w:type="dxa"/>
            <w:right w:w="108" w:type="dxa"/>
          </w:tblCellMar>
        </w:tblPrEx>
        <w:trPr>
          <w:trHeight w:val="325" w:hRule="atLeast"/>
          <w:jc w:val="center"/>
        </w:trPr>
        <w:tc>
          <w:tcPr>
            <w:tcW w:w="1150" w:type="pct"/>
            <w:vMerge w:val="continue"/>
            <w:tcBorders>
              <w:top w:val="single" w:color="000000" w:sz="4" w:space="0"/>
              <w:left w:val="single" w:color="000000" w:sz="4" w:space="0"/>
              <w:bottom w:val="single" w:color="000000" w:sz="4" w:space="0"/>
              <w:right w:val="single" w:color="000000" w:sz="4" w:space="0"/>
            </w:tcBorders>
            <w:noWrap/>
            <w:vAlign w:val="center"/>
          </w:tcPr>
          <w:p w14:paraId="0CA8420D">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信贷资产</w:t>
            </w:r>
          </w:p>
        </w:tc>
        <w:tc>
          <w:tcPr>
            <w:tcW w:w="2246" w:type="pct"/>
            <w:tcBorders>
              <w:top w:val="single" w:color="000000" w:sz="4" w:space="0"/>
              <w:left w:val="single" w:color="000000" w:sz="4" w:space="0"/>
              <w:bottom w:val="single" w:color="000000" w:sz="4" w:space="0"/>
              <w:right w:val="single" w:color="000000" w:sz="4" w:space="0"/>
            </w:tcBorders>
            <w:noWrap w:val="0"/>
            <w:vAlign w:val="center"/>
          </w:tcPr>
          <w:p w14:paraId="0FD718CF">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投融资碳排放强度*</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03211165">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tCO2e/万元</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273D7A23">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0.05845</w:t>
            </w:r>
          </w:p>
        </w:tc>
      </w:tr>
      <w:tr w14:paraId="62A1CD45">
        <w:tblPrEx>
          <w:tblCellMar>
            <w:top w:w="0" w:type="dxa"/>
            <w:left w:w="108" w:type="dxa"/>
            <w:bottom w:w="0" w:type="dxa"/>
            <w:right w:w="108" w:type="dxa"/>
          </w:tblCellMar>
        </w:tblPrEx>
        <w:trPr>
          <w:trHeight w:val="325" w:hRule="atLeast"/>
          <w:jc w:val="center"/>
        </w:trPr>
        <w:tc>
          <w:tcPr>
            <w:tcW w:w="1150" w:type="pct"/>
            <w:vMerge w:val="restart"/>
            <w:tcBorders>
              <w:top w:val="single" w:color="000000" w:sz="4" w:space="0"/>
              <w:left w:val="single" w:color="000000" w:sz="4" w:space="0"/>
              <w:bottom w:val="single" w:color="000000" w:sz="4" w:space="0"/>
              <w:right w:val="single" w:color="000000" w:sz="4" w:space="0"/>
            </w:tcBorders>
            <w:noWrap/>
            <w:vAlign w:val="center"/>
          </w:tcPr>
          <w:p w14:paraId="22C97FAF">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债券资产</w:t>
            </w:r>
          </w:p>
        </w:tc>
        <w:tc>
          <w:tcPr>
            <w:tcW w:w="2246" w:type="pct"/>
            <w:tcBorders>
              <w:top w:val="single" w:color="000000" w:sz="4" w:space="0"/>
              <w:left w:val="single" w:color="000000" w:sz="4" w:space="0"/>
              <w:bottom w:val="single" w:color="000000" w:sz="4" w:space="0"/>
              <w:right w:val="single" w:color="000000" w:sz="4" w:space="0"/>
            </w:tcBorders>
            <w:noWrap w:val="0"/>
            <w:vAlign w:val="center"/>
          </w:tcPr>
          <w:p w14:paraId="6E172737">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投融资碳排放量</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78707E03">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2F964DB2">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r>
      <w:tr w14:paraId="12254DEC">
        <w:tblPrEx>
          <w:tblCellMar>
            <w:top w:w="0" w:type="dxa"/>
            <w:left w:w="108" w:type="dxa"/>
            <w:bottom w:w="0" w:type="dxa"/>
            <w:right w:w="108" w:type="dxa"/>
          </w:tblCellMar>
        </w:tblPrEx>
        <w:trPr>
          <w:trHeight w:val="325" w:hRule="atLeast"/>
          <w:jc w:val="center"/>
        </w:trPr>
        <w:tc>
          <w:tcPr>
            <w:tcW w:w="1150" w:type="pct"/>
            <w:vMerge w:val="continue"/>
            <w:tcBorders>
              <w:top w:val="single" w:color="000000" w:sz="4" w:space="0"/>
              <w:left w:val="single" w:color="000000" w:sz="4" w:space="0"/>
              <w:bottom w:val="single" w:color="000000" w:sz="4" w:space="0"/>
              <w:right w:val="single" w:color="000000" w:sz="4" w:space="0"/>
            </w:tcBorders>
            <w:noWrap/>
            <w:vAlign w:val="center"/>
          </w:tcPr>
          <w:p w14:paraId="41917AD5">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债券资产</w:t>
            </w:r>
          </w:p>
        </w:tc>
        <w:tc>
          <w:tcPr>
            <w:tcW w:w="2246" w:type="pct"/>
            <w:tcBorders>
              <w:top w:val="single" w:color="000000" w:sz="4" w:space="0"/>
              <w:left w:val="single" w:color="000000" w:sz="4" w:space="0"/>
              <w:bottom w:val="single" w:color="000000" w:sz="4" w:space="0"/>
              <w:right w:val="single" w:color="000000" w:sz="4" w:space="0"/>
            </w:tcBorders>
            <w:noWrap w:val="0"/>
            <w:vAlign w:val="center"/>
          </w:tcPr>
          <w:p w14:paraId="220097E0">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纳入碳排放核算的投融资业务比例</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31F9A303">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7765B827">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lang w:val="en-US" w:eastAsia="zh-CN"/>
                <w14:textFill>
                  <w14:solidFill>
                    <w14:schemeClr w14:val="tx1"/>
                  </w14:solidFill>
                </w14:textFill>
              </w:rPr>
            </w:pPr>
            <w:r>
              <w:rPr>
                <w:rFonts w:hint="eastAsia" w:ascii="宋体" w:hAnsi="宋体" w:eastAsia="宋体" w:cs="宋体"/>
                <w:b w:val="0"/>
                <w:bCs/>
                <w:color w:val="000000" w:themeColor="text1"/>
                <w:kern w:val="0"/>
                <w:sz w:val="18"/>
                <w:szCs w:val="18"/>
                <w:lang w:val="en-US" w:eastAsia="zh-CN"/>
                <w14:textFill>
                  <w14:solidFill>
                    <w14:schemeClr w14:val="tx1"/>
                  </w14:solidFill>
                </w14:textFill>
              </w:rPr>
              <w:t>/</w:t>
            </w:r>
          </w:p>
        </w:tc>
      </w:tr>
      <w:tr w14:paraId="1B346F06">
        <w:tblPrEx>
          <w:tblCellMar>
            <w:top w:w="0" w:type="dxa"/>
            <w:left w:w="108" w:type="dxa"/>
            <w:bottom w:w="0" w:type="dxa"/>
            <w:right w:w="108" w:type="dxa"/>
          </w:tblCellMar>
        </w:tblPrEx>
        <w:trPr>
          <w:trHeight w:val="325" w:hRule="atLeast"/>
          <w:jc w:val="center"/>
        </w:trPr>
        <w:tc>
          <w:tcPr>
            <w:tcW w:w="1150" w:type="pct"/>
            <w:vMerge w:val="continue"/>
            <w:tcBorders>
              <w:top w:val="single" w:color="000000" w:sz="4" w:space="0"/>
              <w:left w:val="single" w:color="000000" w:sz="4" w:space="0"/>
              <w:bottom w:val="single" w:color="000000" w:sz="4" w:space="0"/>
              <w:right w:val="single" w:color="000000" w:sz="4" w:space="0"/>
            </w:tcBorders>
            <w:noWrap/>
            <w:vAlign w:val="center"/>
          </w:tcPr>
          <w:p w14:paraId="077B57DB">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债券资产</w:t>
            </w:r>
          </w:p>
        </w:tc>
        <w:tc>
          <w:tcPr>
            <w:tcW w:w="2246" w:type="pct"/>
            <w:tcBorders>
              <w:top w:val="single" w:color="000000" w:sz="4" w:space="0"/>
              <w:left w:val="single" w:color="000000" w:sz="4" w:space="0"/>
              <w:bottom w:val="single" w:color="000000" w:sz="4" w:space="0"/>
              <w:right w:val="single" w:color="000000" w:sz="4" w:space="0"/>
            </w:tcBorders>
            <w:noWrap w:val="0"/>
            <w:vAlign w:val="center"/>
          </w:tcPr>
          <w:p w14:paraId="07723D64">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纳入碳排放核算的债券投资账面价值</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1F13052E">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万元</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4B24172E">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r>
      <w:tr w14:paraId="34CB7E4F">
        <w:tblPrEx>
          <w:tblCellMar>
            <w:top w:w="0" w:type="dxa"/>
            <w:left w:w="108" w:type="dxa"/>
            <w:bottom w:w="0" w:type="dxa"/>
            <w:right w:w="108" w:type="dxa"/>
          </w:tblCellMar>
        </w:tblPrEx>
        <w:trPr>
          <w:trHeight w:val="325" w:hRule="atLeast"/>
          <w:jc w:val="center"/>
        </w:trPr>
        <w:tc>
          <w:tcPr>
            <w:tcW w:w="1150" w:type="pct"/>
            <w:vMerge w:val="continue"/>
            <w:tcBorders>
              <w:top w:val="single" w:color="000000" w:sz="4" w:space="0"/>
              <w:left w:val="single" w:color="000000" w:sz="4" w:space="0"/>
              <w:bottom w:val="single" w:color="000000" w:sz="4" w:space="0"/>
              <w:right w:val="single" w:color="000000" w:sz="4" w:space="0"/>
            </w:tcBorders>
            <w:noWrap/>
            <w:vAlign w:val="center"/>
          </w:tcPr>
          <w:p w14:paraId="38B79F1C">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债券资产</w:t>
            </w:r>
          </w:p>
        </w:tc>
        <w:tc>
          <w:tcPr>
            <w:tcW w:w="2246" w:type="pct"/>
            <w:tcBorders>
              <w:top w:val="single" w:color="000000" w:sz="4" w:space="0"/>
              <w:left w:val="single" w:color="000000" w:sz="4" w:space="0"/>
              <w:bottom w:val="single" w:color="000000" w:sz="4" w:space="0"/>
              <w:right w:val="single" w:color="000000" w:sz="4" w:space="0"/>
            </w:tcBorders>
            <w:noWrap w:val="0"/>
            <w:vAlign w:val="center"/>
          </w:tcPr>
          <w:p w14:paraId="01FD8EC3">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投融资碳排放强度*</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38AACCE1">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tCO2e/万元</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48E10DE6">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r>
      <w:tr w14:paraId="0F1FD8E4">
        <w:tblPrEx>
          <w:tblCellMar>
            <w:top w:w="0" w:type="dxa"/>
            <w:left w:w="108" w:type="dxa"/>
            <w:bottom w:w="0" w:type="dxa"/>
            <w:right w:w="108" w:type="dxa"/>
          </w:tblCellMar>
        </w:tblPrEx>
        <w:trPr>
          <w:trHeight w:val="325" w:hRule="atLeast"/>
          <w:jc w:val="center"/>
        </w:trPr>
        <w:tc>
          <w:tcPr>
            <w:tcW w:w="1150" w:type="pct"/>
            <w:vMerge w:val="restart"/>
            <w:tcBorders>
              <w:top w:val="single" w:color="000000" w:sz="4" w:space="0"/>
              <w:left w:val="single" w:color="000000" w:sz="4" w:space="0"/>
              <w:bottom w:val="single" w:color="000000" w:sz="4" w:space="0"/>
              <w:right w:val="single" w:color="000000" w:sz="4" w:space="0"/>
            </w:tcBorders>
            <w:noWrap/>
            <w:vAlign w:val="center"/>
          </w:tcPr>
          <w:p w14:paraId="0C8B4115">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合计</w:t>
            </w:r>
          </w:p>
        </w:tc>
        <w:tc>
          <w:tcPr>
            <w:tcW w:w="2246" w:type="pct"/>
            <w:tcBorders>
              <w:top w:val="single" w:color="000000" w:sz="4" w:space="0"/>
              <w:left w:val="single" w:color="000000" w:sz="4" w:space="0"/>
              <w:bottom w:val="single" w:color="000000" w:sz="4" w:space="0"/>
              <w:right w:val="single" w:color="000000" w:sz="4" w:space="0"/>
            </w:tcBorders>
            <w:noWrap w:val="0"/>
            <w:vAlign w:val="center"/>
          </w:tcPr>
          <w:p w14:paraId="22071E1B">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投融资碳排放量</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2BA8E072">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0F964039">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26923.74804</w:t>
            </w:r>
          </w:p>
        </w:tc>
      </w:tr>
      <w:tr w14:paraId="5A2FB7EB">
        <w:tblPrEx>
          <w:tblCellMar>
            <w:top w:w="0" w:type="dxa"/>
            <w:left w:w="108" w:type="dxa"/>
            <w:bottom w:w="0" w:type="dxa"/>
            <w:right w:w="108" w:type="dxa"/>
          </w:tblCellMar>
        </w:tblPrEx>
        <w:trPr>
          <w:trHeight w:val="325" w:hRule="atLeast"/>
          <w:jc w:val="center"/>
        </w:trPr>
        <w:tc>
          <w:tcPr>
            <w:tcW w:w="1150" w:type="pct"/>
            <w:vMerge w:val="continue"/>
            <w:tcBorders>
              <w:top w:val="single" w:color="000000" w:sz="4" w:space="0"/>
              <w:left w:val="single" w:color="000000" w:sz="4" w:space="0"/>
              <w:bottom w:val="single" w:color="000000" w:sz="4" w:space="0"/>
              <w:right w:val="single" w:color="000000" w:sz="4" w:space="0"/>
            </w:tcBorders>
            <w:noWrap/>
            <w:vAlign w:val="center"/>
          </w:tcPr>
          <w:p w14:paraId="05B13D30">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合计</w:t>
            </w:r>
          </w:p>
        </w:tc>
        <w:tc>
          <w:tcPr>
            <w:tcW w:w="2246" w:type="pct"/>
            <w:tcBorders>
              <w:top w:val="single" w:color="000000" w:sz="4" w:space="0"/>
              <w:left w:val="single" w:color="000000" w:sz="4" w:space="0"/>
              <w:bottom w:val="single" w:color="000000" w:sz="4" w:space="0"/>
              <w:right w:val="single" w:color="000000" w:sz="4" w:space="0"/>
            </w:tcBorders>
            <w:noWrap w:val="0"/>
            <w:vAlign w:val="center"/>
          </w:tcPr>
          <w:p w14:paraId="644C23C3">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纳入碳排放核算的投融资业务比例</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1C12A7EE">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316B0B74">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lang w:val="en-US" w:eastAsia="zh-CN"/>
                <w14:textFill>
                  <w14:solidFill>
                    <w14:schemeClr w14:val="tx1"/>
                  </w14:solidFill>
                </w14:textFill>
              </w:rPr>
            </w:pPr>
            <w:r>
              <w:rPr>
                <w:rFonts w:hint="eastAsia" w:ascii="宋体" w:hAnsi="宋体" w:eastAsia="宋体" w:cs="宋体"/>
                <w:b w:val="0"/>
                <w:bCs/>
                <w:color w:val="000000" w:themeColor="text1"/>
                <w:kern w:val="0"/>
                <w:sz w:val="18"/>
                <w:szCs w:val="18"/>
                <w:lang w:val="en-US" w:eastAsia="zh-CN"/>
                <w14:textFill>
                  <w14:solidFill>
                    <w14:schemeClr w14:val="tx1"/>
                  </w14:solidFill>
                </w14:textFill>
              </w:rPr>
              <w:t>/</w:t>
            </w:r>
          </w:p>
        </w:tc>
      </w:tr>
      <w:tr w14:paraId="37E0722D">
        <w:tblPrEx>
          <w:tblCellMar>
            <w:top w:w="0" w:type="dxa"/>
            <w:left w:w="108" w:type="dxa"/>
            <w:bottom w:w="0" w:type="dxa"/>
            <w:right w:w="108" w:type="dxa"/>
          </w:tblCellMar>
        </w:tblPrEx>
        <w:trPr>
          <w:trHeight w:val="325" w:hRule="atLeast"/>
          <w:jc w:val="center"/>
        </w:trPr>
        <w:tc>
          <w:tcPr>
            <w:tcW w:w="1150" w:type="pct"/>
            <w:vMerge w:val="continue"/>
            <w:tcBorders>
              <w:top w:val="single" w:color="000000" w:sz="4" w:space="0"/>
              <w:left w:val="single" w:color="000000" w:sz="4" w:space="0"/>
              <w:bottom w:val="single" w:color="000000" w:sz="4" w:space="0"/>
              <w:right w:val="single" w:color="000000" w:sz="4" w:space="0"/>
            </w:tcBorders>
            <w:noWrap/>
            <w:vAlign w:val="center"/>
          </w:tcPr>
          <w:p w14:paraId="5D52F098">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合计</w:t>
            </w:r>
          </w:p>
        </w:tc>
        <w:tc>
          <w:tcPr>
            <w:tcW w:w="2246" w:type="pct"/>
            <w:tcBorders>
              <w:top w:val="single" w:color="000000" w:sz="4" w:space="0"/>
              <w:left w:val="single" w:color="000000" w:sz="4" w:space="0"/>
              <w:bottom w:val="single" w:color="000000" w:sz="4" w:space="0"/>
              <w:right w:val="single" w:color="000000" w:sz="4" w:space="0"/>
            </w:tcBorders>
            <w:noWrap w:val="0"/>
            <w:vAlign w:val="center"/>
          </w:tcPr>
          <w:p w14:paraId="627CA2B3">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纳入碳排放核算的贷款月均融资余额及债券投资账面价值总和</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32BC9D9E">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万元</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15B3D954">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460664.64</w:t>
            </w:r>
          </w:p>
        </w:tc>
      </w:tr>
      <w:tr w14:paraId="360EBD34">
        <w:tblPrEx>
          <w:tblCellMar>
            <w:top w:w="0" w:type="dxa"/>
            <w:left w:w="108" w:type="dxa"/>
            <w:bottom w:w="0" w:type="dxa"/>
            <w:right w:w="108" w:type="dxa"/>
          </w:tblCellMar>
        </w:tblPrEx>
        <w:trPr>
          <w:trHeight w:val="325" w:hRule="atLeast"/>
          <w:jc w:val="center"/>
        </w:trPr>
        <w:tc>
          <w:tcPr>
            <w:tcW w:w="1150" w:type="pct"/>
            <w:vMerge w:val="continue"/>
            <w:tcBorders>
              <w:top w:val="single" w:color="000000" w:sz="4" w:space="0"/>
              <w:left w:val="single" w:color="000000" w:sz="4" w:space="0"/>
              <w:bottom w:val="single" w:color="000000" w:sz="4" w:space="0"/>
              <w:right w:val="single" w:color="000000" w:sz="4" w:space="0"/>
            </w:tcBorders>
            <w:noWrap/>
            <w:vAlign w:val="center"/>
          </w:tcPr>
          <w:p w14:paraId="403E264D">
            <w:pPr>
              <w:widowControl/>
              <w:spacing w:line="240" w:lineRule="auto"/>
              <w:ind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合计</w:t>
            </w:r>
          </w:p>
        </w:tc>
        <w:tc>
          <w:tcPr>
            <w:tcW w:w="2246" w:type="pct"/>
            <w:tcBorders>
              <w:top w:val="single" w:color="000000" w:sz="4" w:space="0"/>
              <w:left w:val="single" w:color="000000" w:sz="4" w:space="0"/>
              <w:bottom w:val="single" w:color="000000" w:sz="4" w:space="0"/>
              <w:right w:val="single" w:color="000000" w:sz="4" w:space="0"/>
            </w:tcBorders>
            <w:noWrap w:val="0"/>
            <w:vAlign w:val="center"/>
          </w:tcPr>
          <w:p w14:paraId="7AC6138D">
            <w:pPr>
              <w:widowControl/>
              <w:spacing w:line="240" w:lineRule="auto"/>
              <w:ind w:firstLine="360" w:firstLineChars="20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投融资碳排放强度*</w:t>
            </w:r>
          </w:p>
        </w:tc>
        <w:tc>
          <w:tcPr>
            <w:tcW w:w="812" w:type="pct"/>
            <w:tcBorders>
              <w:top w:val="single" w:color="000000" w:sz="4" w:space="0"/>
              <w:left w:val="single" w:color="000000" w:sz="4" w:space="0"/>
              <w:bottom w:val="single" w:color="000000" w:sz="4" w:space="0"/>
              <w:right w:val="single" w:color="000000" w:sz="4" w:space="0"/>
            </w:tcBorders>
            <w:noWrap w:val="0"/>
            <w:vAlign w:val="center"/>
          </w:tcPr>
          <w:p w14:paraId="54929C68">
            <w:pPr>
              <w:widowControl/>
              <w:spacing w:line="240" w:lineRule="auto"/>
              <w:ind w:left="0" w:leftChars="0" w:firstLine="0" w:firstLineChars="0"/>
              <w:jc w:val="center"/>
              <w:rPr>
                <w:rFonts w:hint="default" w:ascii="宋体" w:hAnsi="宋体" w:eastAsia="宋体" w:cs="宋体"/>
                <w:b w:val="0"/>
                <w:bCs/>
                <w:color w:val="000000" w:themeColor="text1"/>
                <w:kern w:val="0"/>
                <w:sz w:val="18"/>
                <w:szCs w:val="18"/>
                <w:lang w:val="en-US"/>
                <w14:textFill>
                  <w14:solidFill>
                    <w14:schemeClr w14:val="tx1"/>
                  </w14:solidFill>
                </w14:textFill>
              </w:rPr>
            </w:pPr>
            <w:r>
              <w:rPr>
                <w:rFonts w:hint="eastAsia" w:ascii="宋体" w:hAnsi="宋体" w:eastAsia="宋体" w:cs="宋体"/>
                <w:b w:val="0"/>
                <w:bCs/>
                <w:color w:val="000000"/>
                <w:kern w:val="0"/>
                <w:sz w:val="18"/>
                <w:szCs w:val="18"/>
                <w:lang w:val="en-US" w:eastAsia="zh-CN"/>
              </w:rPr>
              <w:t>tCO2e/万元</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6FC47FFB">
            <w:pPr>
              <w:widowControl/>
              <w:spacing w:line="240" w:lineRule="auto"/>
              <w:ind w:left="0" w:leftChars="0" w:firstLine="0" w:firstLineChars="0"/>
              <w:jc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0.05845</w:t>
            </w:r>
          </w:p>
        </w:tc>
      </w:tr>
    </w:tbl>
    <w:p w14:paraId="26DAEBB8">
      <w:pPr>
        <w:widowControl/>
        <w:kinsoku w:val="0"/>
        <w:autoSpaceDE w:val="0"/>
        <w:autoSpaceDN w:val="0"/>
        <w:adjustRightInd w:val="0"/>
        <w:snapToGrid w:val="0"/>
        <w:spacing w:before="217" w:beforeLines="50" w:line="240" w:lineRule="auto"/>
        <w:ind w:firstLine="0" w:firstLineChars="0"/>
        <w:textAlignment w:val="baseline"/>
        <w:rPr>
          <w:rFonts w:hint="eastAsia" w:ascii="黑体" w:hAnsi="黑体" w:eastAsia="黑体" w:cs="黑体"/>
          <w:b w:val="0"/>
          <w:bCs/>
          <w:color w:val="000000" w:themeColor="text1"/>
          <w:sz w:val="28"/>
          <w:szCs w:val="28"/>
          <w:lang w:val="en-US" w:eastAsia="zh-CN"/>
          <w14:textFill>
            <w14:solidFill>
              <w14:schemeClr w14:val="tx1"/>
            </w14:solidFill>
          </w14:textFill>
        </w:rPr>
      </w:pPr>
    </w:p>
    <w:p w14:paraId="6CB2C925">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lang w:val="en-US" w:eastAsia="zh-CN"/>
          <w14:textFill>
            <w14:solidFill>
              <w14:schemeClr w14:val="tx1"/>
            </w14:solidFill>
          </w14:textFill>
        </w:rPr>
      </w:pPr>
      <w:bookmarkStart w:id="76" w:name="_Toc16581"/>
      <w:r>
        <w:rPr>
          <w:rFonts w:hint="eastAsia" w:ascii="黑体" w:hAnsi="黑体" w:eastAsia="黑体" w:cs="黑体"/>
          <w:b w:val="0"/>
          <w:bCs/>
          <w:color w:val="000000" w:themeColor="text1"/>
          <w:sz w:val="28"/>
          <w:szCs w:val="28"/>
          <w:lang w:val="en-US" w:eastAsia="zh-CN"/>
          <w14:textFill>
            <w14:solidFill>
              <w14:schemeClr w14:val="tx1"/>
            </w14:solidFill>
          </w14:textFill>
        </w:rPr>
        <w:t>7.4 高碳行业</w:t>
      </w:r>
      <w:bookmarkEnd w:id="76"/>
    </w:p>
    <w:p w14:paraId="62FCFC4D">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报告年度内本行实际核算的八大高碳行业投融资碳排放合计为</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994.95218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e。其中，钢铁行业产生的碳排放</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640.43463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e，建材行业产生的碳排放</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205.73711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e，化工行业产生的碳排放</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68.96836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e，有色行业产生的碳排放</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32.27357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e，造纸行业产生的碳排放</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b w:val="0"/>
          <w:bCs/>
          <w:color w:val="000000"/>
          <w:spacing w:val="6"/>
          <w:sz w:val="24"/>
          <w:u w:val="single" w:color="auto"/>
        </w:rPr>
        <w:t xml:space="preserve">47.53851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w:t>
      </w:r>
    </w:p>
    <w:p w14:paraId="474E5BE0">
      <w:pPr>
        <w:widowControl/>
        <w:spacing w:line="240" w:lineRule="auto"/>
        <w:ind w:firstLine="0" w:firstLineChars="0"/>
        <w:jc w:val="center"/>
        <w:outlineLvl w:val="1"/>
        <w:rPr>
          <w:rFonts w:ascii="宋体" w:hAnsi="宋体" w:eastAsia="宋体"/>
          <w:b w:val="0"/>
          <w:bCs/>
          <w:color w:val="000000" w:themeColor="text1"/>
          <w:kern w:val="0"/>
          <w:sz w:val="18"/>
          <w:szCs w:val="18"/>
          <w14:textFill>
            <w14:solidFill>
              <w14:schemeClr w14:val="tx1"/>
            </w14:solidFill>
          </w14:textFill>
        </w:rPr>
      </w:pPr>
      <w:bookmarkStart w:id="77" w:name="_Toc17614"/>
      <w:r>
        <w:rPr>
          <w:rFonts w:hint="eastAsia" w:ascii="宋体" w:hAnsi="宋体" w:eastAsia="宋体"/>
          <w:b w:val="0"/>
          <w:bCs/>
          <w:color w:val="000000" w:themeColor="text1"/>
          <w:kern w:val="0"/>
          <w:sz w:val="18"/>
          <w:szCs w:val="18"/>
          <w14:textFill>
            <w14:solidFill>
              <w14:schemeClr w14:val="tx1"/>
            </w14:solidFill>
          </w14:textFill>
        </w:rPr>
        <w:t>7-4投融资（八大高碳行业）碳排放</w:t>
      </w:r>
      <w:bookmarkEnd w:id="77"/>
    </w:p>
    <w:tbl>
      <w:tblPr>
        <w:tblStyle w:val="22"/>
        <w:tblW w:w="4863" w:type="pct"/>
        <w:jc w:val="center"/>
        <w:tblLayout w:type="fixed"/>
        <w:tblCellMar>
          <w:top w:w="0" w:type="dxa"/>
          <w:left w:w="108" w:type="dxa"/>
          <w:bottom w:w="0" w:type="dxa"/>
          <w:right w:w="108" w:type="dxa"/>
        </w:tblCellMar>
      </w:tblPr>
      <w:tblGrid>
        <w:gridCol w:w="2198"/>
        <w:gridCol w:w="2934"/>
        <w:gridCol w:w="2163"/>
        <w:gridCol w:w="2223"/>
      </w:tblGrid>
      <w:tr w14:paraId="22F81AED">
        <w:tblPrEx>
          <w:tblCellMar>
            <w:top w:w="0" w:type="dxa"/>
            <w:left w:w="108" w:type="dxa"/>
            <w:bottom w:w="0" w:type="dxa"/>
            <w:right w:w="108" w:type="dxa"/>
          </w:tblCellMar>
        </w:tblPrEx>
        <w:trPr>
          <w:trHeight w:val="289" w:hRule="atLeast"/>
          <w:tblHeader/>
          <w:jc w:val="center"/>
        </w:trPr>
        <w:tc>
          <w:tcPr>
            <w:tcW w:w="1155" w:type="pct"/>
            <w:tcBorders>
              <w:top w:val="single" w:color="000000" w:sz="4" w:space="0"/>
              <w:left w:val="single" w:color="000000" w:sz="4" w:space="0"/>
              <w:bottom w:val="single" w:color="000000" w:sz="4" w:space="0"/>
              <w:right w:val="single" w:color="000000" w:sz="4" w:space="0"/>
            </w:tcBorders>
            <w:noWrap/>
            <w:vAlign w:val="center"/>
          </w:tcPr>
          <w:p w14:paraId="4EB6A14C">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八大高碳行业</w:t>
            </w:r>
          </w:p>
        </w:tc>
        <w:tc>
          <w:tcPr>
            <w:tcW w:w="1541" w:type="pct"/>
            <w:tcBorders>
              <w:top w:val="single" w:color="000000" w:sz="4" w:space="0"/>
              <w:left w:val="single" w:color="000000" w:sz="4" w:space="0"/>
              <w:bottom w:val="single" w:color="000000" w:sz="4" w:space="0"/>
              <w:right w:val="single" w:color="000000" w:sz="4" w:space="0"/>
            </w:tcBorders>
            <w:noWrap/>
            <w:vAlign w:val="center"/>
          </w:tcPr>
          <w:p w14:paraId="03630592">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贷款月均融资余额（万元）</w:t>
            </w:r>
          </w:p>
        </w:tc>
        <w:tc>
          <w:tcPr>
            <w:tcW w:w="1136" w:type="pct"/>
            <w:tcBorders>
              <w:top w:val="single" w:color="000000" w:sz="4" w:space="0"/>
              <w:left w:val="single" w:color="000000" w:sz="4" w:space="0"/>
              <w:bottom w:val="single" w:color="000000" w:sz="4" w:space="0"/>
              <w:right w:val="single" w:color="000000" w:sz="4" w:space="0"/>
            </w:tcBorders>
            <w:noWrap/>
            <w:vAlign w:val="center"/>
          </w:tcPr>
          <w:p w14:paraId="3E46CF0B">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贷款碳排放量（</w:t>
            </w:r>
            <w:r>
              <w:rPr>
                <w:rFonts w:hint="eastAsia" w:ascii="仿宋" w:hAnsi="仿宋" w:eastAsia="仿宋" w:cs="仿宋"/>
                <w:b w:val="0"/>
                <w:bCs/>
                <w:snapToGrid w:val="0"/>
                <w:color w:val="000000" w:themeColor="text1"/>
                <w:spacing w:val="6"/>
                <w:kern w:val="0"/>
                <w:sz w:val="18"/>
                <w:szCs w:val="18"/>
                <w14:textFill>
                  <w14:solidFill>
                    <w14:schemeClr w14:val="tx1"/>
                  </w14:solidFill>
                </w14:textFill>
              </w:rPr>
              <w:t>tCO</w:t>
            </w:r>
            <w:r>
              <w:rPr>
                <w:rFonts w:hint="eastAsia" w:ascii="仿宋" w:hAnsi="仿宋" w:eastAsia="仿宋" w:cs="仿宋"/>
                <w:b w:val="0"/>
                <w:bCs/>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18"/>
                <w:szCs w:val="18"/>
                <w14:textFill>
                  <w14:solidFill>
                    <w14:schemeClr w14:val="tx1"/>
                  </w14:solidFill>
                </w14:textFill>
              </w:rPr>
              <w:t>e</w:t>
            </w:r>
            <w:r>
              <w:rPr>
                <w:rFonts w:hint="eastAsia" w:ascii="宋体" w:hAnsi="宋体" w:eastAsia="宋体"/>
                <w:b w:val="0"/>
                <w:bCs/>
                <w:color w:val="000000" w:themeColor="text1"/>
                <w:kern w:val="0"/>
                <w:sz w:val="18"/>
                <w:szCs w:val="18"/>
                <w14:textFill>
                  <w14:solidFill>
                    <w14:schemeClr w14:val="tx1"/>
                  </w14:solidFill>
                </w14:textFill>
              </w:rPr>
              <w:t>）</w:t>
            </w:r>
          </w:p>
        </w:tc>
        <w:tc>
          <w:tcPr>
            <w:tcW w:w="1168" w:type="pct"/>
            <w:tcBorders>
              <w:top w:val="single" w:color="000000" w:sz="4" w:space="0"/>
              <w:left w:val="single" w:color="000000" w:sz="4" w:space="0"/>
              <w:bottom w:val="single" w:color="000000" w:sz="4" w:space="0"/>
              <w:right w:val="single" w:color="000000" w:sz="4" w:space="0"/>
            </w:tcBorders>
            <w:noWrap/>
            <w:vAlign w:val="center"/>
          </w:tcPr>
          <w:p w14:paraId="462757E4">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碳排放强度</w:t>
            </w:r>
          </w:p>
          <w:p w14:paraId="0160A355">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w:t>
            </w:r>
            <w:r>
              <w:rPr>
                <w:rFonts w:hint="eastAsia" w:ascii="仿宋" w:hAnsi="仿宋" w:eastAsia="仿宋" w:cs="仿宋"/>
                <w:b w:val="0"/>
                <w:bCs/>
                <w:snapToGrid w:val="0"/>
                <w:color w:val="000000" w:themeColor="text1"/>
                <w:spacing w:val="6"/>
                <w:kern w:val="0"/>
                <w:sz w:val="18"/>
                <w:szCs w:val="18"/>
                <w14:textFill>
                  <w14:solidFill>
                    <w14:schemeClr w14:val="tx1"/>
                  </w14:solidFill>
                </w14:textFill>
              </w:rPr>
              <w:t>tCO</w:t>
            </w:r>
            <w:r>
              <w:rPr>
                <w:rFonts w:hint="eastAsia" w:ascii="仿宋" w:hAnsi="仿宋" w:eastAsia="仿宋" w:cs="仿宋"/>
                <w:b w:val="0"/>
                <w:bCs/>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18"/>
                <w:szCs w:val="18"/>
                <w14:textFill>
                  <w14:solidFill>
                    <w14:schemeClr w14:val="tx1"/>
                  </w14:solidFill>
                </w14:textFill>
              </w:rPr>
              <w:t>e</w:t>
            </w:r>
            <w:r>
              <w:rPr>
                <w:rFonts w:hint="eastAsia" w:ascii="宋体" w:hAnsi="宋体" w:eastAsia="宋体"/>
                <w:b w:val="0"/>
                <w:bCs/>
                <w:color w:val="000000" w:themeColor="text1"/>
                <w:kern w:val="0"/>
                <w:sz w:val="18"/>
                <w:szCs w:val="18"/>
                <w14:textFill>
                  <w14:solidFill>
                    <w14:schemeClr w14:val="tx1"/>
                  </w14:solidFill>
                </w14:textFill>
              </w:rPr>
              <w:t>/万元）</w:t>
            </w:r>
          </w:p>
        </w:tc>
      </w:tr>
      <w:tr w14:paraId="676C8113">
        <w:tblPrEx>
          <w:tblCellMar>
            <w:top w:w="0" w:type="dxa"/>
            <w:left w:w="108" w:type="dxa"/>
            <w:bottom w:w="0" w:type="dxa"/>
            <w:right w:w="108" w:type="dxa"/>
          </w:tblCellMar>
        </w:tblPrEx>
        <w:trPr>
          <w:trHeight w:val="322" w:hRule="atLeast"/>
          <w:jc w:val="center"/>
        </w:trPr>
        <w:tc>
          <w:tcPr>
            <w:tcW w:w="2198" w:type="dxa"/>
            <w:tcBorders>
              <w:top w:val="single" w:color="000000" w:sz="4" w:space="0"/>
              <w:left w:val="single" w:color="000000" w:sz="4" w:space="0"/>
              <w:bottom w:val="single" w:color="000000" w:sz="4" w:space="0"/>
              <w:right w:val="single" w:color="000000" w:sz="4" w:space="0"/>
            </w:tcBorders>
            <w:noWrap/>
            <w:vAlign w:val="center"/>
          </w:tcPr>
          <w:p w14:paraId="6658ACB5">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电力</w:t>
            </w:r>
          </w:p>
        </w:tc>
        <w:tc>
          <w:tcPr>
            <w:tcW w:w="2866" w:type="dxa"/>
            <w:tcBorders>
              <w:top w:val="single" w:color="000000" w:sz="4" w:space="0"/>
              <w:left w:val="single" w:color="000000" w:sz="4" w:space="0"/>
              <w:bottom w:val="single" w:color="000000" w:sz="4" w:space="0"/>
              <w:right w:val="single" w:color="000000" w:sz="4" w:space="0"/>
            </w:tcBorders>
            <w:noWrap/>
            <w:vAlign w:val="center"/>
          </w:tcPr>
          <w:p w14:paraId="37232A94">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2113" w:type="dxa"/>
            <w:tcBorders>
              <w:top w:val="single" w:color="000000" w:sz="4" w:space="0"/>
              <w:left w:val="single" w:color="000000" w:sz="4" w:space="0"/>
              <w:bottom w:val="single" w:color="000000" w:sz="4" w:space="0"/>
              <w:right w:val="single" w:color="000000" w:sz="4" w:space="0"/>
            </w:tcBorders>
            <w:noWrap/>
            <w:vAlign w:val="center"/>
          </w:tcPr>
          <w:p w14:paraId="12EC6605">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2172" w:type="dxa"/>
            <w:tcBorders>
              <w:top w:val="single" w:color="000000" w:sz="4" w:space="0"/>
              <w:left w:val="single" w:color="000000" w:sz="4" w:space="0"/>
              <w:bottom w:val="single" w:color="000000" w:sz="4" w:space="0"/>
              <w:right w:val="single" w:color="000000" w:sz="4" w:space="0"/>
            </w:tcBorders>
            <w:vAlign w:val="center"/>
          </w:tcPr>
          <w:p w14:paraId="04AD9426">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46672906">
        <w:tblPrEx>
          <w:tblCellMar>
            <w:top w:w="0" w:type="dxa"/>
            <w:left w:w="108" w:type="dxa"/>
            <w:bottom w:w="0" w:type="dxa"/>
            <w:right w:w="108" w:type="dxa"/>
          </w:tblCellMar>
        </w:tblPrEx>
        <w:trPr>
          <w:trHeight w:val="322" w:hRule="atLeast"/>
          <w:jc w:val="center"/>
        </w:trPr>
        <w:tc>
          <w:tcPr>
            <w:tcW w:w="2198" w:type="dxa"/>
            <w:tcBorders>
              <w:top w:val="single" w:color="000000" w:sz="4" w:space="0"/>
              <w:left w:val="single" w:color="000000" w:sz="4" w:space="0"/>
              <w:bottom w:val="single" w:color="000000" w:sz="4" w:space="0"/>
              <w:right w:val="single" w:color="000000" w:sz="4" w:space="0"/>
            </w:tcBorders>
            <w:noWrap/>
            <w:vAlign w:val="center"/>
          </w:tcPr>
          <w:p w14:paraId="01F4923B">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钢铁</w:t>
            </w:r>
          </w:p>
        </w:tc>
        <w:tc>
          <w:tcPr>
            <w:tcW w:w="2866" w:type="dxa"/>
            <w:tcBorders>
              <w:top w:val="single" w:color="000000" w:sz="4" w:space="0"/>
              <w:left w:val="single" w:color="000000" w:sz="4" w:space="0"/>
              <w:bottom w:val="single" w:color="000000" w:sz="4" w:space="0"/>
              <w:right w:val="single" w:color="000000" w:sz="4" w:space="0"/>
            </w:tcBorders>
            <w:noWrap/>
            <w:vAlign w:val="center"/>
          </w:tcPr>
          <w:p w14:paraId="2C35217E">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4775.39</w:t>
            </w:r>
          </w:p>
        </w:tc>
        <w:tc>
          <w:tcPr>
            <w:tcW w:w="2113" w:type="dxa"/>
            <w:tcBorders>
              <w:top w:val="single" w:color="000000" w:sz="4" w:space="0"/>
              <w:left w:val="single" w:color="000000" w:sz="4" w:space="0"/>
              <w:bottom w:val="single" w:color="000000" w:sz="4" w:space="0"/>
              <w:right w:val="single" w:color="000000" w:sz="4" w:space="0"/>
            </w:tcBorders>
            <w:noWrap/>
            <w:vAlign w:val="center"/>
          </w:tcPr>
          <w:p w14:paraId="4B7BE520">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640.43463</w:t>
            </w:r>
          </w:p>
        </w:tc>
        <w:tc>
          <w:tcPr>
            <w:tcW w:w="2172" w:type="dxa"/>
            <w:tcBorders>
              <w:top w:val="single" w:color="000000" w:sz="4" w:space="0"/>
              <w:left w:val="single" w:color="000000" w:sz="4" w:space="0"/>
              <w:bottom w:val="single" w:color="000000" w:sz="4" w:space="0"/>
              <w:right w:val="single" w:color="000000" w:sz="4" w:space="0"/>
            </w:tcBorders>
            <w:vAlign w:val="center"/>
          </w:tcPr>
          <w:p w14:paraId="13B00338">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0.13411</w:t>
            </w:r>
          </w:p>
        </w:tc>
      </w:tr>
      <w:tr w14:paraId="3520380A">
        <w:tblPrEx>
          <w:tblCellMar>
            <w:top w:w="0" w:type="dxa"/>
            <w:left w:w="108" w:type="dxa"/>
            <w:bottom w:w="0" w:type="dxa"/>
            <w:right w:w="108" w:type="dxa"/>
          </w:tblCellMar>
        </w:tblPrEx>
        <w:trPr>
          <w:trHeight w:val="322" w:hRule="atLeast"/>
          <w:jc w:val="center"/>
        </w:trPr>
        <w:tc>
          <w:tcPr>
            <w:tcW w:w="2198" w:type="dxa"/>
            <w:tcBorders>
              <w:top w:val="single" w:color="000000" w:sz="4" w:space="0"/>
              <w:left w:val="single" w:color="000000" w:sz="4" w:space="0"/>
              <w:bottom w:val="single" w:color="000000" w:sz="4" w:space="0"/>
              <w:right w:val="single" w:color="000000" w:sz="4" w:space="0"/>
            </w:tcBorders>
            <w:noWrap/>
            <w:vAlign w:val="center"/>
          </w:tcPr>
          <w:p w14:paraId="1216282E">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建材</w:t>
            </w:r>
          </w:p>
        </w:tc>
        <w:tc>
          <w:tcPr>
            <w:tcW w:w="2866" w:type="dxa"/>
            <w:tcBorders>
              <w:top w:val="single" w:color="000000" w:sz="4" w:space="0"/>
              <w:left w:val="single" w:color="000000" w:sz="4" w:space="0"/>
              <w:bottom w:val="single" w:color="000000" w:sz="4" w:space="0"/>
              <w:right w:val="single" w:color="000000" w:sz="4" w:space="0"/>
            </w:tcBorders>
            <w:noWrap/>
            <w:vAlign w:val="center"/>
          </w:tcPr>
          <w:p w14:paraId="1DF83491">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4557.46</w:t>
            </w:r>
          </w:p>
        </w:tc>
        <w:tc>
          <w:tcPr>
            <w:tcW w:w="2113" w:type="dxa"/>
            <w:tcBorders>
              <w:top w:val="single" w:color="000000" w:sz="4" w:space="0"/>
              <w:left w:val="single" w:color="000000" w:sz="4" w:space="0"/>
              <w:bottom w:val="single" w:color="000000" w:sz="4" w:space="0"/>
              <w:right w:val="single" w:color="000000" w:sz="4" w:space="0"/>
            </w:tcBorders>
            <w:noWrap/>
            <w:vAlign w:val="center"/>
          </w:tcPr>
          <w:p w14:paraId="461E18C0">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205.73711</w:t>
            </w:r>
          </w:p>
        </w:tc>
        <w:tc>
          <w:tcPr>
            <w:tcW w:w="2172" w:type="dxa"/>
            <w:tcBorders>
              <w:top w:val="single" w:color="000000" w:sz="4" w:space="0"/>
              <w:left w:val="single" w:color="000000" w:sz="4" w:space="0"/>
              <w:bottom w:val="single" w:color="000000" w:sz="4" w:space="0"/>
              <w:right w:val="single" w:color="000000" w:sz="4" w:space="0"/>
            </w:tcBorders>
            <w:vAlign w:val="center"/>
          </w:tcPr>
          <w:p w14:paraId="5701C7CD">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0.04514</w:t>
            </w:r>
          </w:p>
        </w:tc>
      </w:tr>
      <w:tr w14:paraId="5D4E7E19">
        <w:tblPrEx>
          <w:tblCellMar>
            <w:top w:w="0" w:type="dxa"/>
            <w:left w:w="108" w:type="dxa"/>
            <w:bottom w:w="0" w:type="dxa"/>
            <w:right w:w="108" w:type="dxa"/>
          </w:tblCellMar>
        </w:tblPrEx>
        <w:trPr>
          <w:trHeight w:val="322" w:hRule="atLeast"/>
          <w:jc w:val="center"/>
        </w:trPr>
        <w:tc>
          <w:tcPr>
            <w:tcW w:w="2198" w:type="dxa"/>
            <w:tcBorders>
              <w:top w:val="single" w:color="000000" w:sz="4" w:space="0"/>
              <w:left w:val="single" w:color="000000" w:sz="4" w:space="0"/>
              <w:bottom w:val="single" w:color="000000" w:sz="4" w:space="0"/>
              <w:right w:val="single" w:color="000000" w:sz="4" w:space="0"/>
            </w:tcBorders>
            <w:noWrap/>
            <w:vAlign w:val="center"/>
          </w:tcPr>
          <w:p w14:paraId="7A7375DD">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石化</w:t>
            </w:r>
          </w:p>
        </w:tc>
        <w:tc>
          <w:tcPr>
            <w:tcW w:w="2866" w:type="dxa"/>
            <w:tcBorders>
              <w:top w:val="single" w:color="000000" w:sz="4" w:space="0"/>
              <w:left w:val="single" w:color="000000" w:sz="4" w:space="0"/>
              <w:bottom w:val="single" w:color="000000" w:sz="4" w:space="0"/>
              <w:right w:val="single" w:color="000000" w:sz="4" w:space="0"/>
            </w:tcBorders>
            <w:noWrap/>
            <w:vAlign w:val="center"/>
          </w:tcPr>
          <w:p w14:paraId="4907BA72">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2113" w:type="dxa"/>
            <w:tcBorders>
              <w:top w:val="single" w:color="000000" w:sz="4" w:space="0"/>
              <w:left w:val="single" w:color="000000" w:sz="4" w:space="0"/>
              <w:bottom w:val="single" w:color="000000" w:sz="4" w:space="0"/>
              <w:right w:val="single" w:color="000000" w:sz="4" w:space="0"/>
            </w:tcBorders>
            <w:noWrap/>
            <w:vAlign w:val="center"/>
          </w:tcPr>
          <w:p w14:paraId="4F3D5DED">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2172" w:type="dxa"/>
            <w:tcBorders>
              <w:top w:val="single" w:color="000000" w:sz="4" w:space="0"/>
              <w:left w:val="single" w:color="000000" w:sz="4" w:space="0"/>
              <w:bottom w:val="single" w:color="000000" w:sz="4" w:space="0"/>
              <w:right w:val="single" w:color="000000" w:sz="4" w:space="0"/>
            </w:tcBorders>
            <w:vAlign w:val="center"/>
          </w:tcPr>
          <w:p w14:paraId="04E54C8C">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7AC84810">
        <w:tblPrEx>
          <w:tblCellMar>
            <w:top w:w="0" w:type="dxa"/>
            <w:left w:w="108" w:type="dxa"/>
            <w:bottom w:w="0" w:type="dxa"/>
            <w:right w:w="108" w:type="dxa"/>
          </w:tblCellMar>
        </w:tblPrEx>
        <w:trPr>
          <w:trHeight w:val="322" w:hRule="atLeast"/>
          <w:jc w:val="center"/>
        </w:trPr>
        <w:tc>
          <w:tcPr>
            <w:tcW w:w="2198" w:type="dxa"/>
            <w:tcBorders>
              <w:top w:val="single" w:color="000000" w:sz="4" w:space="0"/>
              <w:left w:val="single" w:color="000000" w:sz="4" w:space="0"/>
              <w:bottom w:val="single" w:color="000000" w:sz="4" w:space="0"/>
              <w:right w:val="single" w:color="000000" w:sz="4" w:space="0"/>
            </w:tcBorders>
            <w:noWrap/>
            <w:vAlign w:val="center"/>
          </w:tcPr>
          <w:p w14:paraId="5D542315">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化工</w:t>
            </w:r>
          </w:p>
        </w:tc>
        <w:tc>
          <w:tcPr>
            <w:tcW w:w="2866" w:type="dxa"/>
            <w:tcBorders>
              <w:top w:val="single" w:color="000000" w:sz="4" w:space="0"/>
              <w:left w:val="single" w:color="000000" w:sz="4" w:space="0"/>
              <w:bottom w:val="single" w:color="000000" w:sz="4" w:space="0"/>
              <w:right w:val="single" w:color="000000" w:sz="4" w:space="0"/>
            </w:tcBorders>
            <w:noWrap/>
            <w:vAlign w:val="center"/>
          </w:tcPr>
          <w:p w14:paraId="42F00C4D">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4742.43</w:t>
            </w:r>
          </w:p>
        </w:tc>
        <w:tc>
          <w:tcPr>
            <w:tcW w:w="2113" w:type="dxa"/>
            <w:tcBorders>
              <w:top w:val="single" w:color="000000" w:sz="4" w:space="0"/>
              <w:left w:val="single" w:color="000000" w:sz="4" w:space="0"/>
              <w:bottom w:val="single" w:color="000000" w:sz="4" w:space="0"/>
              <w:right w:val="single" w:color="000000" w:sz="4" w:space="0"/>
            </w:tcBorders>
            <w:noWrap/>
            <w:vAlign w:val="center"/>
          </w:tcPr>
          <w:p w14:paraId="72DC8238">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68.96836</w:t>
            </w:r>
          </w:p>
        </w:tc>
        <w:tc>
          <w:tcPr>
            <w:tcW w:w="2172" w:type="dxa"/>
            <w:tcBorders>
              <w:top w:val="single" w:color="000000" w:sz="4" w:space="0"/>
              <w:left w:val="single" w:color="000000" w:sz="4" w:space="0"/>
              <w:bottom w:val="single" w:color="000000" w:sz="4" w:space="0"/>
              <w:right w:val="single" w:color="000000" w:sz="4" w:space="0"/>
            </w:tcBorders>
            <w:vAlign w:val="center"/>
          </w:tcPr>
          <w:p w14:paraId="65968E05">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0.01454</w:t>
            </w:r>
          </w:p>
        </w:tc>
      </w:tr>
      <w:tr w14:paraId="5968D5D1">
        <w:tblPrEx>
          <w:tblCellMar>
            <w:top w:w="0" w:type="dxa"/>
            <w:left w:w="108" w:type="dxa"/>
            <w:bottom w:w="0" w:type="dxa"/>
            <w:right w:w="108" w:type="dxa"/>
          </w:tblCellMar>
        </w:tblPrEx>
        <w:trPr>
          <w:trHeight w:val="322" w:hRule="atLeast"/>
          <w:jc w:val="center"/>
        </w:trPr>
        <w:tc>
          <w:tcPr>
            <w:tcW w:w="2198" w:type="dxa"/>
            <w:tcBorders>
              <w:top w:val="single" w:color="000000" w:sz="4" w:space="0"/>
              <w:left w:val="single" w:color="000000" w:sz="4" w:space="0"/>
              <w:bottom w:val="single" w:color="000000" w:sz="4" w:space="0"/>
              <w:right w:val="single" w:color="000000" w:sz="4" w:space="0"/>
            </w:tcBorders>
            <w:noWrap/>
            <w:vAlign w:val="center"/>
          </w:tcPr>
          <w:p w14:paraId="1E88743A">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有色</w:t>
            </w:r>
          </w:p>
        </w:tc>
        <w:tc>
          <w:tcPr>
            <w:tcW w:w="2866" w:type="dxa"/>
            <w:tcBorders>
              <w:top w:val="single" w:color="000000" w:sz="4" w:space="0"/>
              <w:left w:val="single" w:color="000000" w:sz="4" w:space="0"/>
              <w:bottom w:val="single" w:color="000000" w:sz="4" w:space="0"/>
              <w:right w:val="single" w:color="000000" w:sz="4" w:space="0"/>
            </w:tcBorders>
            <w:noWrap/>
            <w:vAlign w:val="center"/>
          </w:tcPr>
          <w:p w14:paraId="2CD72C3F">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958.59</w:t>
            </w:r>
          </w:p>
        </w:tc>
        <w:tc>
          <w:tcPr>
            <w:tcW w:w="2113" w:type="dxa"/>
            <w:tcBorders>
              <w:top w:val="single" w:color="000000" w:sz="4" w:space="0"/>
              <w:left w:val="single" w:color="000000" w:sz="4" w:space="0"/>
              <w:bottom w:val="single" w:color="000000" w:sz="4" w:space="0"/>
              <w:right w:val="single" w:color="000000" w:sz="4" w:space="0"/>
            </w:tcBorders>
            <w:noWrap/>
            <w:vAlign w:val="center"/>
          </w:tcPr>
          <w:p w14:paraId="17D71E16">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32.27357</w:t>
            </w:r>
          </w:p>
        </w:tc>
        <w:tc>
          <w:tcPr>
            <w:tcW w:w="2172" w:type="dxa"/>
            <w:tcBorders>
              <w:top w:val="single" w:color="000000" w:sz="4" w:space="0"/>
              <w:left w:val="single" w:color="000000" w:sz="4" w:space="0"/>
              <w:bottom w:val="single" w:color="000000" w:sz="4" w:space="0"/>
              <w:right w:val="single" w:color="000000" w:sz="4" w:space="0"/>
            </w:tcBorders>
            <w:vAlign w:val="center"/>
          </w:tcPr>
          <w:p w14:paraId="332D5F6E">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0.03367</w:t>
            </w:r>
          </w:p>
        </w:tc>
      </w:tr>
      <w:tr w14:paraId="4F824DDB">
        <w:tblPrEx>
          <w:tblCellMar>
            <w:top w:w="0" w:type="dxa"/>
            <w:left w:w="108" w:type="dxa"/>
            <w:bottom w:w="0" w:type="dxa"/>
            <w:right w:w="108" w:type="dxa"/>
          </w:tblCellMar>
        </w:tblPrEx>
        <w:trPr>
          <w:trHeight w:val="322" w:hRule="atLeast"/>
          <w:jc w:val="center"/>
        </w:trPr>
        <w:tc>
          <w:tcPr>
            <w:tcW w:w="2198" w:type="dxa"/>
            <w:tcBorders>
              <w:top w:val="single" w:color="000000" w:sz="4" w:space="0"/>
              <w:left w:val="single" w:color="000000" w:sz="4" w:space="0"/>
              <w:bottom w:val="single" w:color="000000" w:sz="4" w:space="0"/>
              <w:right w:val="single" w:color="000000" w:sz="4" w:space="0"/>
            </w:tcBorders>
            <w:noWrap/>
            <w:vAlign w:val="center"/>
          </w:tcPr>
          <w:p w14:paraId="714C6067">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造纸</w:t>
            </w:r>
          </w:p>
        </w:tc>
        <w:tc>
          <w:tcPr>
            <w:tcW w:w="2866" w:type="dxa"/>
            <w:tcBorders>
              <w:top w:val="single" w:color="000000" w:sz="4" w:space="0"/>
              <w:left w:val="single" w:color="000000" w:sz="4" w:space="0"/>
              <w:bottom w:val="single" w:color="000000" w:sz="4" w:space="0"/>
              <w:right w:val="single" w:color="000000" w:sz="4" w:space="0"/>
            </w:tcBorders>
            <w:noWrap/>
            <w:vAlign w:val="center"/>
          </w:tcPr>
          <w:p w14:paraId="627AD407">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542.49</w:t>
            </w:r>
          </w:p>
        </w:tc>
        <w:tc>
          <w:tcPr>
            <w:tcW w:w="2113" w:type="dxa"/>
            <w:tcBorders>
              <w:top w:val="single" w:color="000000" w:sz="4" w:space="0"/>
              <w:left w:val="single" w:color="000000" w:sz="4" w:space="0"/>
              <w:bottom w:val="single" w:color="000000" w:sz="4" w:space="0"/>
              <w:right w:val="single" w:color="000000" w:sz="4" w:space="0"/>
            </w:tcBorders>
            <w:noWrap/>
            <w:vAlign w:val="center"/>
          </w:tcPr>
          <w:p w14:paraId="5B8560C5">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47.53851</w:t>
            </w:r>
          </w:p>
        </w:tc>
        <w:tc>
          <w:tcPr>
            <w:tcW w:w="2172" w:type="dxa"/>
            <w:tcBorders>
              <w:top w:val="single" w:color="000000" w:sz="4" w:space="0"/>
              <w:left w:val="single" w:color="000000" w:sz="4" w:space="0"/>
              <w:bottom w:val="single" w:color="000000" w:sz="4" w:space="0"/>
              <w:right w:val="single" w:color="000000" w:sz="4" w:space="0"/>
            </w:tcBorders>
            <w:vAlign w:val="center"/>
          </w:tcPr>
          <w:p w14:paraId="0795279F">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0.08763</w:t>
            </w:r>
          </w:p>
        </w:tc>
      </w:tr>
      <w:tr w14:paraId="7DE0C6F3">
        <w:tblPrEx>
          <w:tblCellMar>
            <w:top w:w="0" w:type="dxa"/>
            <w:left w:w="108" w:type="dxa"/>
            <w:bottom w:w="0" w:type="dxa"/>
            <w:right w:w="108" w:type="dxa"/>
          </w:tblCellMar>
        </w:tblPrEx>
        <w:trPr>
          <w:trHeight w:val="322" w:hRule="atLeast"/>
          <w:jc w:val="center"/>
        </w:trPr>
        <w:tc>
          <w:tcPr>
            <w:tcW w:w="2198" w:type="dxa"/>
            <w:tcBorders>
              <w:top w:val="single" w:color="000000" w:sz="4" w:space="0"/>
              <w:left w:val="single" w:color="000000" w:sz="4" w:space="0"/>
              <w:bottom w:val="single" w:color="000000" w:sz="4" w:space="0"/>
              <w:right w:val="single" w:color="000000" w:sz="4" w:space="0"/>
            </w:tcBorders>
            <w:noWrap/>
            <w:vAlign w:val="center"/>
          </w:tcPr>
          <w:p w14:paraId="7147BF4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民航</w:t>
            </w:r>
          </w:p>
        </w:tc>
        <w:tc>
          <w:tcPr>
            <w:tcW w:w="2866" w:type="dxa"/>
            <w:tcBorders>
              <w:top w:val="single" w:color="000000" w:sz="4" w:space="0"/>
              <w:left w:val="single" w:color="000000" w:sz="4" w:space="0"/>
              <w:bottom w:val="single" w:color="000000" w:sz="4" w:space="0"/>
              <w:right w:val="single" w:color="000000" w:sz="4" w:space="0"/>
            </w:tcBorders>
            <w:noWrap/>
            <w:vAlign w:val="center"/>
          </w:tcPr>
          <w:p w14:paraId="4662E426">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2113" w:type="dxa"/>
            <w:tcBorders>
              <w:top w:val="single" w:color="000000" w:sz="4" w:space="0"/>
              <w:left w:val="single" w:color="000000" w:sz="4" w:space="0"/>
              <w:bottom w:val="single" w:color="000000" w:sz="4" w:space="0"/>
              <w:right w:val="single" w:color="000000" w:sz="4" w:space="0"/>
            </w:tcBorders>
            <w:noWrap/>
            <w:vAlign w:val="center"/>
          </w:tcPr>
          <w:p w14:paraId="6BB543C6">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2172" w:type="dxa"/>
            <w:tcBorders>
              <w:top w:val="single" w:color="000000" w:sz="4" w:space="0"/>
              <w:left w:val="single" w:color="000000" w:sz="4" w:space="0"/>
              <w:bottom w:val="single" w:color="000000" w:sz="4" w:space="0"/>
              <w:right w:val="single" w:color="000000" w:sz="4" w:space="0"/>
            </w:tcBorders>
            <w:vAlign w:val="center"/>
          </w:tcPr>
          <w:p w14:paraId="10C841BD">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3E429D00">
        <w:tblPrEx>
          <w:tblCellMar>
            <w:top w:w="0" w:type="dxa"/>
            <w:left w:w="108" w:type="dxa"/>
            <w:bottom w:w="0" w:type="dxa"/>
            <w:right w:w="108" w:type="dxa"/>
          </w:tblCellMar>
        </w:tblPrEx>
        <w:trPr>
          <w:trHeight w:val="349" w:hRule="atLeast"/>
          <w:jc w:val="center"/>
        </w:trPr>
        <w:tc>
          <w:tcPr>
            <w:tcW w:w="2198" w:type="dxa"/>
            <w:tcBorders>
              <w:top w:val="single" w:color="000000" w:sz="4" w:space="0"/>
              <w:left w:val="single" w:color="000000" w:sz="4" w:space="0"/>
              <w:bottom w:val="single" w:color="000000" w:sz="4" w:space="0"/>
              <w:right w:val="single" w:color="000000" w:sz="4" w:space="0"/>
            </w:tcBorders>
            <w:noWrap/>
            <w:vAlign w:val="center"/>
          </w:tcPr>
          <w:p w14:paraId="28867FD7">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总计</w:t>
            </w:r>
          </w:p>
        </w:tc>
        <w:tc>
          <w:tcPr>
            <w:tcW w:w="2866" w:type="dxa"/>
            <w:tcBorders>
              <w:top w:val="single" w:color="000000" w:sz="4" w:space="0"/>
              <w:left w:val="single" w:color="000000" w:sz="4" w:space="0"/>
              <w:bottom w:val="single" w:color="000000" w:sz="4" w:space="0"/>
              <w:right w:val="single" w:color="000000" w:sz="4" w:space="0"/>
            </w:tcBorders>
            <w:noWrap/>
            <w:vAlign w:val="center"/>
          </w:tcPr>
          <w:p w14:paraId="3B0FD84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15576.36</w:t>
            </w:r>
          </w:p>
        </w:tc>
        <w:tc>
          <w:tcPr>
            <w:tcW w:w="2113" w:type="dxa"/>
            <w:tcBorders>
              <w:top w:val="single" w:color="000000" w:sz="4" w:space="0"/>
              <w:left w:val="single" w:color="000000" w:sz="4" w:space="0"/>
              <w:bottom w:val="single" w:color="000000" w:sz="4" w:space="0"/>
              <w:right w:val="single" w:color="000000" w:sz="4" w:space="0"/>
            </w:tcBorders>
            <w:noWrap/>
            <w:vAlign w:val="center"/>
          </w:tcPr>
          <w:p w14:paraId="48CAF1F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994.95218</w:t>
            </w:r>
          </w:p>
        </w:tc>
        <w:tc>
          <w:tcPr>
            <w:tcW w:w="2172" w:type="dxa"/>
            <w:tcBorders>
              <w:top w:val="single" w:color="000000" w:sz="4" w:space="0"/>
              <w:left w:val="single" w:color="000000" w:sz="4" w:space="0"/>
              <w:bottom w:val="single" w:color="000000" w:sz="4" w:space="0"/>
              <w:right w:val="single" w:color="000000" w:sz="4" w:space="0"/>
            </w:tcBorders>
            <w:vAlign w:val="center"/>
          </w:tcPr>
          <w:p w14:paraId="1CFBCC75">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0.06388</w:t>
            </w:r>
          </w:p>
        </w:tc>
      </w:tr>
    </w:tbl>
    <w:p w14:paraId="33CE12AF">
      <w:pPr>
        <w:widowControl/>
        <w:kinsoku w:val="0"/>
        <w:autoSpaceDE w:val="0"/>
        <w:autoSpaceDN w:val="0"/>
        <w:adjustRightInd w:val="0"/>
        <w:snapToGrid w:val="0"/>
        <w:spacing w:before="217" w:beforeLines="50" w:line="240" w:lineRule="auto"/>
        <w:ind w:firstLine="0" w:firstLineChars="0"/>
        <w:textAlignment w:val="baseline"/>
        <w:rPr>
          <w:rFonts w:hint="eastAsia" w:ascii="黑体" w:hAnsi="黑体" w:eastAsia="黑体" w:cs="黑体"/>
          <w:b w:val="0"/>
          <w:bCs/>
          <w:color w:val="000000" w:themeColor="text1"/>
          <w:sz w:val="28"/>
          <w:szCs w:val="28"/>
          <w:lang w:val="en-US" w:eastAsia="zh-CN"/>
          <w14:textFill>
            <w14:solidFill>
              <w14:schemeClr w14:val="tx1"/>
            </w14:solidFill>
          </w14:textFill>
        </w:rPr>
      </w:pPr>
    </w:p>
    <w:p w14:paraId="6C5BCAF3">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lang w:val="en-US" w:eastAsia="zh-CN"/>
          <w14:textFill>
            <w14:solidFill>
              <w14:schemeClr w14:val="tx1"/>
            </w14:solidFill>
          </w14:textFill>
        </w:rPr>
      </w:pPr>
      <w:bookmarkStart w:id="78" w:name="_Toc6983"/>
      <w:r>
        <w:rPr>
          <w:rFonts w:hint="eastAsia" w:ascii="黑体" w:hAnsi="黑体" w:eastAsia="黑体" w:cs="黑体"/>
          <w:b w:val="0"/>
          <w:bCs/>
          <w:color w:val="000000" w:themeColor="text1"/>
          <w:sz w:val="28"/>
          <w:szCs w:val="28"/>
          <w:lang w:val="en-US" w:eastAsia="zh-CN"/>
          <w14:textFill>
            <w14:solidFill>
              <w14:schemeClr w14:val="tx1"/>
            </w14:solidFill>
          </w14:textFill>
        </w:rPr>
        <w:t>7.5 行业门类</w:t>
      </w:r>
      <w:bookmarkEnd w:id="78"/>
    </w:p>
    <w:p w14:paraId="3C22A277">
      <w:pPr>
        <w:widowControl/>
        <w:kinsoku w:val="0"/>
        <w:autoSpaceDE w:val="0"/>
        <w:autoSpaceDN w:val="0"/>
        <w:adjustRightInd w:val="0"/>
        <w:snapToGrid w:val="0"/>
        <w:spacing w:before="156" w:beforeLines="50" w:line="240" w:lineRule="auto"/>
        <w:ind w:firstLine="504"/>
        <w:textAlignment w:val="baseline"/>
        <w:rPr>
          <w:rFonts w:ascii="宋体" w:hAnsi="宋体" w:eastAsia="宋体"/>
          <w:b w:val="0"/>
          <w:bCs/>
          <w:color w:val="000000" w:themeColor="text1"/>
          <w:kern w:val="0"/>
          <w:sz w:val="18"/>
          <w:szCs w:val="18"/>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报告年度内</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本行投融资活动碳排放按行业门类构成分析，占比前三的行业依次为：</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C.制造业</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color w:val="000000" w:themeColor="text1"/>
          <w:spacing w:val="6"/>
          <w:sz w:val="24"/>
          <w14:textFill>
            <w14:solidFill>
              <w14:schemeClr w14:val="tx1"/>
            </w14:solidFill>
          </w14:textFill>
        </w:rPr>
        <w:t>行业</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产生的碳排放</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24232.04503</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E.建筑业</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color w:val="000000" w:themeColor="text1"/>
          <w:spacing w:val="6"/>
          <w:sz w:val="24"/>
          <w14:textFill>
            <w14:solidFill>
              <w14:schemeClr w14:val="tx1"/>
            </w14:solidFill>
          </w14:textFill>
        </w:rPr>
        <w:t>行业</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产生的碳排放</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544.52976</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H.住宿和餐饮业</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color w:val="000000" w:themeColor="text1"/>
          <w:spacing w:val="6"/>
          <w:sz w:val="24"/>
          <w14:textFill>
            <w14:solidFill>
              <w14:schemeClr w14:val="tx1"/>
            </w14:solidFill>
          </w14:textFill>
        </w:rPr>
        <w:t>行业</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产生的碳排放</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477.85166</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w:t>
      </w:r>
    </w:p>
    <w:p w14:paraId="0B44BFE8">
      <w:pPr>
        <w:widowControl/>
        <w:spacing w:line="240" w:lineRule="auto"/>
        <w:ind w:firstLine="0" w:firstLineChars="0"/>
        <w:jc w:val="center"/>
        <w:outlineLvl w:val="1"/>
        <w:rPr>
          <w:rFonts w:ascii="宋体" w:hAnsi="宋体" w:eastAsia="宋体"/>
          <w:b w:val="0"/>
          <w:bCs/>
          <w:color w:val="000000" w:themeColor="text1"/>
          <w:kern w:val="0"/>
          <w:sz w:val="18"/>
          <w:szCs w:val="18"/>
          <w14:textFill>
            <w14:solidFill>
              <w14:schemeClr w14:val="tx1"/>
            </w14:solidFill>
          </w14:textFill>
        </w:rPr>
      </w:pPr>
      <w:bookmarkStart w:id="79" w:name="_Toc23117"/>
      <w:r>
        <w:rPr>
          <w:rFonts w:hint="eastAsia" w:ascii="宋体" w:hAnsi="宋体" w:eastAsia="宋体"/>
          <w:b w:val="0"/>
          <w:bCs/>
          <w:color w:val="000000" w:themeColor="text1"/>
          <w:kern w:val="0"/>
          <w:sz w:val="18"/>
          <w:szCs w:val="18"/>
          <w14:textFill>
            <w14:solidFill>
              <w14:schemeClr w14:val="tx1"/>
            </w14:solidFill>
          </w14:textFill>
        </w:rPr>
        <w:t>7-5投融资（行业门类）碳排放</w:t>
      </w:r>
      <w:bookmarkEnd w:id="79"/>
    </w:p>
    <w:tbl>
      <w:tblPr>
        <w:tblStyle w:val="22"/>
        <w:tblW w:w="9158" w:type="dxa"/>
        <w:jc w:val="center"/>
        <w:tblLayout w:type="fixed"/>
        <w:tblCellMar>
          <w:top w:w="0" w:type="dxa"/>
          <w:left w:w="108" w:type="dxa"/>
          <w:bottom w:w="0" w:type="dxa"/>
          <w:right w:w="108" w:type="dxa"/>
        </w:tblCellMar>
      </w:tblPr>
      <w:tblGrid>
        <w:gridCol w:w="4399"/>
        <w:gridCol w:w="1679"/>
        <w:gridCol w:w="1525"/>
        <w:gridCol w:w="1555"/>
      </w:tblGrid>
      <w:tr w14:paraId="72E38A98">
        <w:tblPrEx>
          <w:tblCellMar>
            <w:top w:w="0" w:type="dxa"/>
            <w:left w:w="108" w:type="dxa"/>
            <w:bottom w:w="0" w:type="dxa"/>
            <w:right w:w="108" w:type="dxa"/>
          </w:tblCellMar>
        </w:tblPrEx>
        <w:trPr>
          <w:trHeight w:val="1412" w:hRule="atLeast"/>
          <w:tblHeader/>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54E285C2">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行业门类</w:t>
            </w:r>
          </w:p>
        </w:tc>
        <w:tc>
          <w:tcPr>
            <w:tcW w:w="1679" w:type="dxa"/>
            <w:tcBorders>
              <w:top w:val="single" w:color="000000" w:sz="4" w:space="0"/>
              <w:left w:val="single" w:color="000000" w:sz="4" w:space="0"/>
              <w:bottom w:val="single" w:color="000000" w:sz="4" w:space="0"/>
              <w:right w:val="single" w:color="000000" w:sz="4" w:space="0"/>
            </w:tcBorders>
            <w:noWrap/>
            <w:vAlign w:val="center"/>
          </w:tcPr>
          <w:p w14:paraId="4704CDB3">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highlight w:val="none"/>
                <w14:textFill>
                  <w14:solidFill>
                    <w14:schemeClr w14:val="tx1"/>
                  </w14:solidFill>
                </w14:textFill>
              </w:rPr>
              <w:t>贷款月均融资余额及债券投资账面价值总和（万元）</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1F376202">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贷款及债券投资碳排放量（</w:t>
            </w:r>
            <w:r>
              <w:rPr>
                <w:rFonts w:hint="eastAsia" w:ascii="仿宋" w:hAnsi="仿宋" w:eastAsia="仿宋" w:cs="仿宋"/>
                <w:b w:val="0"/>
                <w:bCs/>
                <w:snapToGrid w:val="0"/>
                <w:color w:val="000000" w:themeColor="text1"/>
                <w:spacing w:val="6"/>
                <w:kern w:val="0"/>
                <w:sz w:val="18"/>
                <w:szCs w:val="18"/>
                <w14:textFill>
                  <w14:solidFill>
                    <w14:schemeClr w14:val="tx1"/>
                  </w14:solidFill>
                </w14:textFill>
              </w:rPr>
              <w:t>tCO</w:t>
            </w:r>
            <w:r>
              <w:rPr>
                <w:rFonts w:hint="eastAsia" w:ascii="仿宋" w:hAnsi="仿宋" w:eastAsia="仿宋" w:cs="仿宋"/>
                <w:b w:val="0"/>
                <w:bCs/>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18"/>
                <w:szCs w:val="18"/>
                <w14:textFill>
                  <w14:solidFill>
                    <w14:schemeClr w14:val="tx1"/>
                  </w14:solidFill>
                </w14:textFill>
              </w:rPr>
              <w:t>e</w:t>
            </w:r>
            <w:r>
              <w:rPr>
                <w:rFonts w:hint="eastAsia" w:ascii="宋体" w:hAnsi="宋体" w:eastAsia="宋体"/>
                <w:b w:val="0"/>
                <w:bCs/>
                <w:color w:val="000000" w:themeColor="text1"/>
                <w:kern w:val="0"/>
                <w:sz w:val="18"/>
                <w:szCs w:val="18"/>
                <w14:textFill>
                  <w14:solidFill>
                    <w14:schemeClr w14:val="tx1"/>
                  </w14:solidFill>
                </w14:textFill>
              </w:rPr>
              <w:t>）</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2E1EA5F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碳排放强度</w:t>
            </w:r>
          </w:p>
          <w:p w14:paraId="1DB5FC9D">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w:t>
            </w:r>
            <w:r>
              <w:rPr>
                <w:rFonts w:hint="eastAsia" w:ascii="仿宋" w:hAnsi="仿宋" w:eastAsia="仿宋" w:cs="仿宋"/>
                <w:b w:val="0"/>
                <w:bCs/>
                <w:snapToGrid w:val="0"/>
                <w:color w:val="000000" w:themeColor="text1"/>
                <w:spacing w:val="6"/>
                <w:kern w:val="0"/>
                <w:sz w:val="18"/>
                <w:szCs w:val="18"/>
                <w14:textFill>
                  <w14:solidFill>
                    <w14:schemeClr w14:val="tx1"/>
                  </w14:solidFill>
                </w14:textFill>
              </w:rPr>
              <w:t>tCO</w:t>
            </w:r>
            <w:r>
              <w:rPr>
                <w:rFonts w:hint="eastAsia" w:ascii="仿宋" w:hAnsi="仿宋" w:eastAsia="仿宋" w:cs="仿宋"/>
                <w:b w:val="0"/>
                <w:bCs/>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18"/>
                <w:szCs w:val="18"/>
                <w14:textFill>
                  <w14:solidFill>
                    <w14:schemeClr w14:val="tx1"/>
                  </w14:solidFill>
                </w14:textFill>
              </w:rPr>
              <w:t>e</w:t>
            </w:r>
            <w:r>
              <w:rPr>
                <w:rFonts w:hint="eastAsia" w:ascii="宋体" w:hAnsi="宋体" w:eastAsia="宋体"/>
                <w:b w:val="0"/>
                <w:bCs/>
                <w:color w:val="000000" w:themeColor="text1"/>
                <w:kern w:val="0"/>
                <w:sz w:val="18"/>
                <w:szCs w:val="18"/>
                <w14:textFill>
                  <w14:solidFill>
                    <w14:schemeClr w14:val="tx1"/>
                  </w14:solidFill>
                </w14:textFill>
              </w:rPr>
              <w:t>/万元）</w:t>
            </w:r>
          </w:p>
        </w:tc>
      </w:tr>
      <w:tr w14:paraId="54A9BBDB">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26982FF1">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A.农、林、牧、渔业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65FA5">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7761.49</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374DAE08">
            <w:pPr>
              <w:widowControl/>
              <w:spacing w:line="240" w:lineRule="auto"/>
              <w:ind w:firstLine="0" w:firstLineChars="0"/>
              <w:jc w:val="center"/>
              <w:rPr>
                <w:rFonts w:ascii="宋体" w:hAnsi="宋体" w:eastAsia="宋体"/>
                <w:b w:val="0"/>
                <w:bCs/>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348.64022</w:t>
            </w: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7E736">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0.04492</w:t>
            </w:r>
          </w:p>
        </w:tc>
      </w:tr>
      <w:tr w14:paraId="60929E55">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7AE0123D">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B.采矿业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14:paraId="6C849A69">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5A114324">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0DF2BF21">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7DD404A0">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0BFFD221">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C.制造业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78EEC">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381356.53</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2995BAC9">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24232.04503</w:t>
            </w: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898FC">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0.06354</w:t>
            </w:r>
          </w:p>
        </w:tc>
      </w:tr>
      <w:tr w14:paraId="6D4B906B">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6CEE5444">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D.电力、热力、燃气及水生产和供应业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525CC">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663F2BD8">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09335C0A">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22937E0A">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4C265241">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E.建筑业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4E2A8">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41791.68</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551C2E62">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544.52976</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557909E0">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0.01303</w:t>
            </w:r>
          </w:p>
        </w:tc>
      </w:tr>
      <w:tr w14:paraId="02E7B5F3">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5E06E89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F.批发和零售业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A6F9A">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13891.72</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64AD36CE">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361.54896</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17DCA90E">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0.02603</w:t>
            </w:r>
          </w:p>
        </w:tc>
      </w:tr>
      <w:tr w14:paraId="6C867B37">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70FCCA5D">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G.交通运输、仓储和邮政业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6828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994.54</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756C7B0F">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132.22579</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4EB728F9">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0.13295</w:t>
            </w:r>
          </w:p>
        </w:tc>
      </w:tr>
      <w:tr w14:paraId="4DC30CCF">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7C2B9C3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H.住宿和餐饮业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427B1">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3556.4</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29F8E98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477.85166</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663A2F05">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0.13436</w:t>
            </w:r>
          </w:p>
        </w:tc>
      </w:tr>
      <w:tr w14:paraId="34EFF464">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5743BF5B">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I.信息传输、软件和信息技术服务业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430FB">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0ED6278E">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0293EEC2">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1EE598A9">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52B85C0C">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J.金融业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14:paraId="011F604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2B051037">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5A6E084B">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687AE451">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0A786ED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K.房地产业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B21E5">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11B33E5F">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7A1FD320">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24E140F5">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36F5BA2A">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L.租赁和商务服务业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19E95">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6C8FDF2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46E2D4D2">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5B958EAF">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310CA5A3">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M.科学研究和技术服务业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8D931">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2500.41</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6F380D5E">
            <w:pPr>
              <w:widowControl/>
              <w:spacing w:line="240" w:lineRule="auto"/>
              <w:ind w:firstLine="0" w:firstLineChars="0"/>
              <w:jc w:val="center"/>
              <w:rPr>
                <w:rFonts w:hint="eastAsia" w:ascii="宋体" w:hAnsi="宋体" w:eastAsia="宋体" w:cs="宋体"/>
                <w:b w:val="0"/>
                <w:bCs/>
                <w:color w:val="FF0000"/>
                <w:kern w:val="0"/>
                <w:sz w:val="18"/>
                <w:szCs w:val="18"/>
                <w:lang w:val="en-US" w:eastAsia="zh-CN"/>
              </w:rPr>
            </w:pPr>
            <w:r>
              <w:rPr>
                <w:rFonts w:hint="eastAsia" w:ascii="宋体" w:hAnsi="宋体" w:eastAsia="宋体" w:cs="宋体"/>
                <w:b w:val="0"/>
                <w:bCs/>
                <w:color w:val="000000"/>
                <w:kern w:val="0"/>
                <w:sz w:val="18"/>
                <w:szCs w:val="18"/>
                <w:lang w:val="en-US" w:eastAsia="zh-CN"/>
              </w:rPr>
              <w:t>152.2674</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70235053">
            <w:pPr>
              <w:widowControl/>
              <w:spacing w:line="240" w:lineRule="auto"/>
              <w:ind w:firstLine="0" w:firstLineChars="0"/>
              <w:jc w:val="center"/>
              <w:rPr>
                <w:rFonts w:hint="eastAsia" w:ascii="宋体" w:hAnsi="宋体" w:eastAsia="宋体" w:cs="宋体"/>
                <w:b w:val="0"/>
                <w:bCs/>
                <w:color w:val="FF0000"/>
                <w:kern w:val="0"/>
                <w:sz w:val="18"/>
                <w:szCs w:val="18"/>
                <w:lang w:val="en-US" w:eastAsia="zh-CN"/>
              </w:rPr>
            </w:pPr>
            <w:r>
              <w:rPr>
                <w:rFonts w:hint="eastAsia" w:ascii="宋体" w:hAnsi="宋体" w:eastAsia="宋体" w:cs="宋体"/>
                <w:b w:val="0"/>
                <w:bCs/>
                <w:color w:val="000000"/>
                <w:kern w:val="0"/>
                <w:sz w:val="18"/>
                <w:szCs w:val="18"/>
                <w:lang w:val="en-US" w:eastAsia="zh-CN"/>
              </w:rPr>
              <w:t>0.0609</w:t>
            </w:r>
          </w:p>
        </w:tc>
      </w:tr>
      <w:tr w14:paraId="77FF1ABC">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2BA535BB">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N.水利、环境和公共设施管理业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59CED">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1502.73</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4933D8F1">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7.4979</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448EEA51">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0.00499</w:t>
            </w:r>
          </w:p>
        </w:tc>
      </w:tr>
      <w:tr w14:paraId="173DF990">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27474F14">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O.居民服务、修理和其他服务业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10158">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74F77EC9">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0F72DB19">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075026BF">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3A75509B">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P.教育</w:t>
            </w:r>
          </w:p>
        </w:tc>
        <w:tc>
          <w:tcPr>
            <w:tcW w:w="1679" w:type="dxa"/>
            <w:tcBorders>
              <w:top w:val="single" w:color="000000" w:sz="4" w:space="0"/>
              <w:left w:val="single" w:color="000000" w:sz="4" w:space="0"/>
              <w:bottom w:val="single" w:color="000000" w:sz="4" w:space="0"/>
              <w:right w:val="single" w:color="000000" w:sz="4" w:space="0"/>
            </w:tcBorders>
            <w:noWrap/>
            <w:vAlign w:val="center"/>
          </w:tcPr>
          <w:p w14:paraId="067BEA11">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4C7DCB1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431AF58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5A2005A1">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178E39EF">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Q.卫生和社会工作</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7170B">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4489.62</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5ED418D8">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459.50562</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1F895E81">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0.10235</w:t>
            </w:r>
          </w:p>
        </w:tc>
      </w:tr>
      <w:tr w14:paraId="391A5EE5">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2623D066">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R.文化、体育和娱乐业</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E476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2819.52</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6FF6F2D6">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207.6357</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6E4BCC42">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0.07364</w:t>
            </w:r>
          </w:p>
        </w:tc>
      </w:tr>
      <w:tr w14:paraId="1273A94E">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356120D2">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S.公共管理、社会保障和社会组织</w:t>
            </w:r>
          </w:p>
        </w:tc>
        <w:tc>
          <w:tcPr>
            <w:tcW w:w="1679" w:type="dxa"/>
            <w:tcBorders>
              <w:top w:val="single" w:color="000000" w:sz="4" w:space="0"/>
              <w:left w:val="single" w:color="000000" w:sz="4" w:space="0"/>
              <w:bottom w:val="single" w:color="000000" w:sz="4" w:space="0"/>
              <w:right w:val="single" w:color="000000" w:sz="4" w:space="0"/>
            </w:tcBorders>
            <w:noWrap/>
            <w:vAlign w:val="center"/>
          </w:tcPr>
          <w:p w14:paraId="035477C8">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13E916C9">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7AE2A952">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1EA5B329">
        <w:tblPrEx>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0EA74BC9">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T.国际组织</w:t>
            </w:r>
          </w:p>
        </w:tc>
        <w:tc>
          <w:tcPr>
            <w:tcW w:w="1679" w:type="dxa"/>
            <w:tcBorders>
              <w:top w:val="single" w:color="000000" w:sz="4" w:space="0"/>
              <w:left w:val="single" w:color="000000" w:sz="4" w:space="0"/>
              <w:bottom w:val="single" w:color="000000" w:sz="4" w:space="0"/>
              <w:right w:val="single" w:color="000000" w:sz="4" w:space="0"/>
            </w:tcBorders>
            <w:noWrap/>
            <w:vAlign w:val="center"/>
          </w:tcPr>
          <w:p w14:paraId="4792010B">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7856350F">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004906FC">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41BA38C8">
        <w:tblPrEx>
          <w:tblCellMar>
            <w:top w:w="0" w:type="dxa"/>
            <w:left w:w="108" w:type="dxa"/>
            <w:bottom w:w="0" w:type="dxa"/>
            <w:right w:w="108" w:type="dxa"/>
          </w:tblCellMar>
        </w:tblPrEx>
        <w:trPr>
          <w:trHeight w:val="429"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14:paraId="1E668AA4">
            <w:pPr>
              <w:widowControl/>
              <w:spacing w:line="240" w:lineRule="auto"/>
              <w:ind w:firstLine="0" w:firstLineChars="0"/>
              <w:jc w:val="center"/>
              <w:rPr>
                <w:rFonts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总计</w:t>
            </w:r>
          </w:p>
        </w:tc>
        <w:tc>
          <w:tcPr>
            <w:tcW w:w="16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F0F84">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460664.64</w:t>
            </w:r>
          </w:p>
        </w:tc>
        <w:tc>
          <w:tcPr>
            <w:tcW w:w="1525" w:type="dxa"/>
            <w:tcBorders>
              <w:top w:val="single" w:color="000000" w:sz="4" w:space="0"/>
              <w:left w:val="single" w:color="000000" w:sz="4" w:space="0"/>
              <w:bottom w:val="single" w:color="000000" w:sz="4" w:space="0"/>
              <w:right w:val="single" w:color="000000" w:sz="4" w:space="0"/>
            </w:tcBorders>
            <w:noWrap/>
            <w:vAlign w:val="center"/>
          </w:tcPr>
          <w:p w14:paraId="0229A30D">
            <w:pPr>
              <w:widowControl/>
              <w:spacing w:line="240" w:lineRule="auto"/>
              <w:ind w:firstLine="0" w:firstLineChars="0"/>
              <w:jc w:val="center"/>
              <w:rPr>
                <w:rFonts w:ascii="宋体" w:hAnsi="宋体" w:eastAsia="宋体"/>
                <w:b w:val="0"/>
                <w:bCs/>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26923.74804</w:t>
            </w: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5B599">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0.05845</w:t>
            </w:r>
          </w:p>
        </w:tc>
      </w:tr>
    </w:tbl>
    <w:p w14:paraId="44F117F4">
      <w:pPr>
        <w:ind w:firstLine="640"/>
        <w:rPr>
          <w:b w:val="0"/>
          <w:bCs/>
          <w:color w:val="000000" w:themeColor="text1"/>
          <w14:textFill>
            <w14:solidFill>
              <w14:schemeClr w14:val="tx1"/>
            </w14:solidFill>
          </w14:textFill>
        </w:rPr>
      </w:pPr>
      <w:r>
        <w:rPr>
          <w:rFonts w:hint="eastAsia"/>
          <w:b w:val="0"/>
          <w:bCs/>
          <w:color w:val="000000" w:themeColor="text1"/>
          <w14:textFill>
            <w14:solidFill>
              <w14:schemeClr w14:val="tx1"/>
            </w14:solidFill>
          </w14:textFill>
        </w:rPr>
        <w:br w:type="page"/>
      </w:r>
    </w:p>
    <w:p w14:paraId="7A5AF833">
      <w:pPr>
        <w:pStyle w:val="19"/>
        <w:keepNext w:val="0"/>
        <w:keepLines w:val="0"/>
        <w:pageBreakBefore w:val="0"/>
        <w:widowControl/>
        <w:numPr>
          <w:ilvl w:val="0"/>
          <w:numId w:val="0"/>
        </w:numPr>
        <w:tabs>
          <w:tab w:val="right" w:leader="dot" w:pos="9897"/>
        </w:tabs>
        <w:kinsoku/>
        <w:wordWrap/>
        <w:overflowPunct/>
        <w:topLinePunct w:val="0"/>
        <w:autoSpaceDE/>
        <w:autoSpaceDN/>
        <w:bidi w:val="0"/>
        <w:adjustRightInd w:val="0"/>
        <w:snapToGrid w:val="0"/>
        <w:spacing w:before="872" w:beforeLines="200" w:after="20" w:line="360" w:lineRule="auto"/>
        <w:ind w:left="0" w:leftChars="0" w:firstLine="0" w:firstLineChars="0"/>
        <w:jc w:val="center"/>
        <w:textAlignment w:val="auto"/>
        <w:outlineLvl w:val="0"/>
        <w:rPr>
          <w:rFonts w:hint="eastAsia" w:ascii="黑体" w:hAnsi="黑体" w:eastAsia="黑体" w:cs="黑体"/>
          <w:b w:val="0"/>
          <w:bCs/>
          <w:color w:val="000000" w:themeColor="text1"/>
          <w:kern w:val="2"/>
          <w:sz w:val="32"/>
          <w:szCs w:val="32"/>
          <w:lang w:val="en-US" w:eastAsia="zh-CN"/>
          <w14:textFill>
            <w14:solidFill>
              <w14:schemeClr w14:val="tx1"/>
            </w14:solidFill>
          </w14:textFill>
        </w:rPr>
      </w:pPr>
      <w:bookmarkStart w:id="80" w:name="_Toc22359"/>
      <w:r>
        <w:rPr>
          <w:rFonts w:hint="eastAsia" w:ascii="黑体" w:hAnsi="黑体" w:eastAsia="黑体" w:cs="黑体"/>
          <w:b w:val="0"/>
          <w:bCs/>
          <w:color w:val="000000" w:themeColor="text1"/>
          <w:kern w:val="2"/>
          <w:sz w:val="32"/>
          <w:szCs w:val="32"/>
          <w:lang w:val="en-US" w:eastAsia="zh-CN"/>
          <w14:textFill>
            <w14:solidFill>
              <w14:schemeClr w14:val="tx1"/>
            </w14:solidFill>
          </w14:textFill>
        </w:rPr>
        <w:t>第八章 绿色资产的节能减排</w:t>
      </w:r>
      <w:bookmarkEnd w:id="80"/>
    </w:p>
    <w:p w14:paraId="57781ADA">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lang w:val="en-US" w:eastAsia="zh-CN"/>
          <w14:textFill>
            <w14:solidFill>
              <w14:schemeClr w14:val="tx1"/>
            </w14:solidFill>
          </w14:textFill>
        </w:rPr>
      </w:pPr>
      <w:bookmarkStart w:id="81" w:name="_Toc28055"/>
      <w:r>
        <w:rPr>
          <w:rFonts w:hint="eastAsia" w:ascii="黑体" w:hAnsi="黑体" w:eastAsia="黑体" w:cs="黑体"/>
          <w:b w:val="0"/>
          <w:bCs/>
          <w:color w:val="000000" w:themeColor="text1"/>
          <w:sz w:val="28"/>
          <w:szCs w:val="28"/>
          <w:lang w:val="en-US" w:eastAsia="zh-CN"/>
          <w14:textFill>
            <w14:solidFill>
              <w14:schemeClr w14:val="tx1"/>
            </w14:solidFill>
          </w14:textFill>
        </w:rPr>
        <w:t>8.1 绿色信贷（项目业务）</w:t>
      </w:r>
      <w:bookmarkEnd w:id="81"/>
    </w:p>
    <w:p w14:paraId="7489B557">
      <w:pPr>
        <w:widowControl/>
        <w:kinsoku w:val="0"/>
        <w:autoSpaceDE w:val="0"/>
        <w:autoSpaceDN w:val="0"/>
        <w:adjustRightInd w:val="0"/>
        <w:snapToGrid w:val="0"/>
        <w:spacing w:before="156" w:beforeLines="50" w:line="240" w:lineRule="auto"/>
        <w:ind w:firstLine="504"/>
        <w:textAlignment w:val="baseline"/>
        <w:rPr>
          <w:rFonts w:hint="default" w:ascii="仿宋" w:hAnsi="仿宋" w:eastAsia="仿宋" w:cs="仿宋"/>
          <w:b w:val="0"/>
          <w:bCs/>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本行未收集到2024年度绿色项目节能减排基础数据。</w:t>
      </w:r>
    </w:p>
    <w:p w14:paraId="1B853070">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lang w:val="en-US" w:eastAsia="zh-CN"/>
          <w14:textFill>
            <w14:solidFill>
              <w14:schemeClr w14:val="tx1"/>
            </w14:solidFill>
          </w14:textFill>
        </w:rPr>
      </w:pPr>
      <w:bookmarkStart w:id="82" w:name="_Toc4014"/>
      <w:r>
        <w:rPr>
          <w:rFonts w:hint="eastAsia" w:ascii="黑体" w:hAnsi="黑体" w:eastAsia="黑体" w:cs="黑体"/>
          <w:b w:val="0"/>
          <w:bCs/>
          <w:color w:val="000000" w:themeColor="text1"/>
          <w:sz w:val="28"/>
          <w:szCs w:val="28"/>
          <w:lang w:val="en-US" w:eastAsia="zh-CN"/>
          <w14:textFill>
            <w14:solidFill>
              <w14:schemeClr w14:val="tx1"/>
            </w14:solidFill>
          </w14:textFill>
        </w:rPr>
        <w:t>8.2 绿色产业</w:t>
      </w:r>
      <w:bookmarkEnd w:id="82"/>
    </w:p>
    <w:p w14:paraId="77EA6C14">
      <w:pPr>
        <w:widowControl/>
        <w:kinsoku w:val="0"/>
        <w:autoSpaceDE w:val="0"/>
        <w:autoSpaceDN w:val="0"/>
        <w:adjustRightInd w:val="0"/>
        <w:snapToGrid w:val="0"/>
        <w:spacing w:before="156" w:beforeLines="50" w:line="240" w:lineRule="auto"/>
        <w:ind w:firstLine="504"/>
        <w:textAlignment w:val="baseline"/>
        <w:rPr>
          <w:rFonts w:ascii="方正仿宋_GBK" w:hAnsi="方正仿宋_GBK" w:cs="方正仿宋_GBK"/>
          <w:b w:val="0"/>
          <w:bCs/>
          <w:color w:val="000000" w:themeColor="text1"/>
          <w:kern w:val="0"/>
          <w:sz w:val="20"/>
          <w:szCs w:val="20"/>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报告年度内本行绿色信贷支持的</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六</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大绿色产业（项目）</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无</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减排情况</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w:t>
      </w:r>
    </w:p>
    <w:p w14:paraId="09F7C01C">
      <w:pPr>
        <w:widowControl/>
        <w:spacing w:line="240" w:lineRule="auto"/>
        <w:ind w:firstLine="0" w:firstLineChars="0"/>
        <w:jc w:val="left"/>
        <w:rPr>
          <w:rFonts w:ascii="宋体" w:hAnsi="宋体" w:eastAsia="宋体"/>
          <w:b w:val="0"/>
          <w:bCs/>
          <w:color w:val="000000" w:themeColor="text1"/>
          <w:kern w:val="0"/>
          <w:sz w:val="18"/>
          <w:szCs w:val="18"/>
          <w14:textFill>
            <w14:solidFill>
              <w14:schemeClr w14:val="tx1"/>
            </w14:solidFill>
          </w14:textFill>
        </w:rPr>
      </w:pPr>
    </w:p>
    <w:p w14:paraId="36C778DA">
      <w:pPr>
        <w:widowControl/>
        <w:spacing w:line="240" w:lineRule="auto"/>
        <w:ind w:firstLine="0" w:firstLineChars="0"/>
        <w:jc w:val="center"/>
        <w:rPr>
          <w:rFonts w:hint="eastAsia" w:ascii="宋体" w:hAnsi="宋体" w:eastAsia="宋体"/>
          <w:b w:val="0"/>
          <w:bCs/>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14:textFill>
            <w14:solidFill>
              <w14:schemeClr w14:val="tx1"/>
            </w14:solidFill>
          </w14:textFill>
        </w:rPr>
        <w:t>8-</w:t>
      </w:r>
      <w:r>
        <w:rPr>
          <w:rFonts w:hint="eastAsia" w:ascii="宋体" w:hAnsi="宋体" w:eastAsia="宋体"/>
          <w:b w:val="0"/>
          <w:bCs/>
          <w:color w:val="000000" w:themeColor="text1"/>
          <w:kern w:val="0"/>
          <w:sz w:val="18"/>
          <w:szCs w:val="18"/>
          <w:lang w:val="en-US" w:eastAsia="zh-CN"/>
          <w14:textFill>
            <w14:solidFill>
              <w14:schemeClr w14:val="tx1"/>
            </w14:solidFill>
          </w14:textFill>
        </w:rPr>
        <w:t>1</w:t>
      </w:r>
      <w:r>
        <w:rPr>
          <w:rFonts w:hint="eastAsia" w:ascii="宋体" w:hAnsi="宋体" w:eastAsia="宋体"/>
          <w:b w:val="0"/>
          <w:bCs/>
          <w:color w:val="000000" w:themeColor="text1"/>
          <w:kern w:val="0"/>
          <w:sz w:val="18"/>
          <w:szCs w:val="18"/>
          <w14:textFill>
            <w14:solidFill>
              <w14:schemeClr w14:val="tx1"/>
            </w14:solidFill>
          </w14:textFill>
        </w:rPr>
        <w:t>绿色信贷（六大绿色产业）的节能减排</w:t>
      </w:r>
    </w:p>
    <w:tbl>
      <w:tblPr>
        <w:tblStyle w:val="22"/>
        <w:tblpPr w:leftFromText="180" w:rightFromText="180" w:vertAnchor="text" w:horzAnchor="page" w:tblpX="1410" w:tblpY="293"/>
        <w:tblOverlap w:val="never"/>
        <w:tblW w:w="97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6"/>
        <w:gridCol w:w="2538"/>
        <w:gridCol w:w="930"/>
        <w:gridCol w:w="917"/>
        <w:gridCol w:w="845"/>
        <w:gridCol w:w="772"/>
        <w:gridCol w:w="874"/>
        <w:gridCol w:w="830"/>
        <w:gridCol w:w="1227"/>
      </w:tblGrid>
      <w:tr w14:paraId="36BFA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trPr>
        <w:tc>
          <w:tcPr>
            <w:tcW w:w="3404" w:type="dxa"/>
            <w:gridSpan w:val="2"/>
            <w:vMerge w:val="restart"/>
            <w:tcBorders>
              <w:top w:val="single" w:color="000000" w:sz="4" w:space="0"/>
              <w:left w:val="single" w:color="000000" w:sz="4" w:space="0"/>
              <w:right w:val="single" w:color="000000" w:sz="4" w:space="0"/>
            </w:tcBorders>
            <w:shd w:val="clear" w:color="auto" w:fill="auto"/>
            <w:vAlign w:val="center"/>
          </w:tcPr>
          <w:p w14:paraId="67520955">
            <w:pPr>
              <w:rPr>
                <w:b w:val="0"/>
                <w:bCs/>
              </w:rPr>
            </w:pPr>
            <w:r>
              <w:rPr>
                <w:rFonts w:ascii="宋体" w:hAnsi="宋体" w:eastAsia="宋体" w:cs="宋体"/>
                <w:b w:val="0"/>
                <w:bCs/>
                <w:sz w:val="18"/>
              </w:rPr>
              <w:t>指标名称</w:t>
            </w:r>
          </w:p>
        </w:tc>
        <w:tc>
          <w:tcPr>
            <w:tcW w:w="6395" w:type="dxa"/>
            <w:gridSpan w:val="7"/>
            <w:tcBorders>
              <w:top w:val="single" w:color="000000" w:sz="4" w:space="0"/>
              <w:left w:val="single" w:color="000000" w:sz="4" w:space="0"/>
              <w:bottom w:val="single" w:color="000000" w:sz="4" w:space="0"/>
              <w:right w:val="single" w:color="000000" w:sz="4" w:space="0"/>
            </w:tcBorders>
            <w:shd w:val="clear" w:color="auto" w:fill="auto"/>
            <w:noWrap/>
            <w:vAlign w:val="top"/>
          </w:tcPr>
          <w:p w14:paraId="5F17B8BB">
            <w:pPr>
              <w:keepNext w:val="0"/>
              <w:keepLines w:val="0"/>
              <w:widowControl/>
              <w:suppressLineNumbers w:val="0"/>
              <w:ind w:left="0" w:leftChars="0" w:firstLine="0" w:firstLineChars="0"/>
              <w:jc w:val="center"/>
              <w:textAlignment w:val="top"/>
              <w:rPr>
                <w:rFonts w:hint="eastAsia" w:ascii="宋体" w:hAnsi="宋体" w:eastAsia="宋体" w:cs="宋体"/>
                <w:b w:val="0"/>
                <w:bCs/>
                <w:i w:val="0"/>
                <w:iCs w:val="0"/>
                <w:color w:val="000000" w:themeColor="text1"/>
                <w:sz w:val="22"/>
                <w:szCs w:val="22"/>
                <w:u w:val="none"/>
                <w14:textFill>
                  <w14:solidFill>
                    <w14:schemeClr w14:val="tx1"/>
                  </w14:solidFill>
                </w14:textFill>
              </w:rPr>
            </w:pPr>
            <w:r>
              <w:rPr>
                <w:rFonts w:hint="eastAsia" w:ascii="宋体" w:hAnsi="宋体" w:eastAsia="宋体" w:cs="宋体"/>
                <w:b w:val="0"/>
                <w:bCs/>
                <w:color w:val="000000" w:themeColor="text1"/>
                <w:kern w:val="0"/>
                <w:sz w:val="18"/>
                <w:szCs w:val="18"/>
                <w:lang w:val="en-US" w:eastAsia="zh-CN"/>
                <w14:textFill>
                  <w14:solidFill>
                    <w14:schemeClr w14:val="tx1"/>
                  </w14:solidFill>
                </w14:textFill>
              </w:rPr>
              <w:t>绿色信贷的节能减排（六大绿色产业）</w:t>
            </w:r>
          </w:p>
        </w:tc>
      </w:tr>
      <w:tr w14:paraId="37C91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2" w:hRule="atLeast"/>
        </w:trPr>
        <w:tc>
          <w:tcPr>
            <w:tcW w:w="3404" w:type="dxa"/>
            <w:gridSpan w:val="2"/>
            <w:vMerge w:val="continue"/>
            <w:tcBorders>
              <w:left w:val="single" w:color="000000" w:sz="4" w:space="0"/>
              <w:bottom w:val="single" w:color="000000" w:sz="4" w:space="0"/>
              <w:right w:val="single" w:color="000000" w:sz="4" w:space="0"/>
            </w:tcBorders>
            <w:shd w:val="clear" w:color="auto" w:fill="auto"/>
            <w:vAlign w:val="top"/>
          </w:tcPr>
          <w:p w14:paraId="24E0C2E3">
            <w:pPr>
              <w:spacing w:line="360" w:lineRule="auto"/>
              <w:ind w:left="0" w:leftChars="0" w:firstLine="0" w:firstLineChars="0"/>
              <w:jc w:val="left"/>
              <w:rPr>
                <w:rFonts w:hint="eastAsia" w:ascii="方正仿宋_GBK" w:hAnsi="方正仿宋_GBK" w:eastAsia="方正仿宋_GBK" w:cs="方正仿宋_GBK"/>
                <w:b w:val="0"/>
                <w:bCs/>
                <w:i w:val="0"/>
                <w:iCs w:val="0"/>
                <w:color w:val="000000" w:themeColor="text1"/>
                <w:sz w:val="20"/>
                <w:szCs w:val="20"/>
                <w:u w:val="none"/>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top"/>
          </w:tcPr>
          <w:p w14:paraId="72AA7915">
            <w:pPr>
              <w:keepNext w:val="0"/>
              <w:keepLines w:val="0"/>
              <w:widowControl/>
              <w:suppressLineNumbers w:val="0"/>
              <w:ind w:left="0" w:leftChars="0" w:firstLine="0" w:firstLineChars="0"/>
              <w:jc w:val="left"/>
              <w:textAlignment w:val="top"/>
              <w:rPr>
                <w:rFonts w:hint="default" w:ascii="宋体" w:hAnsi="宋体" w:eastAsia="宋体" w:cs="宋体"/>
                <w:b w:val="0"/>
                <w:bCs/>
                <w:i w:val="0"/>
                <w:iCs w:val="0"/>
                <w:color w:val="000000" w:themeColor="text1"/>
                <w:sz w:val="20"/>
                <w:szCs w:val="20"/>
                <w:u w:val="none"/>
                <w:lang w:val="en-US"/>
                <w14:textFill>
                  <w14:solidFill>
                    <w14:schemeClr w14:val="tx1"/>
                  </w14:solidFill>
                </w14:textFill>
              </w:rPr>
            </w:pPr>
            <w:r>
              <w:rPr>
                <w:rFonts w:hint="eastAsia" w:ascii="宋体" w:hAnsi="宋体" w:eastAsia="宋体" w:cs="宋体"/>
                <w:b w:val="0"/>
                <w:bCs/>
                <w:i w:val="0"/>
                <w:iCs w:val="0"/>
                <w:color w:val="000000" w:themeColor="text1"/>
                <w:kern w:val="0"/>
                <w:sz w:val="20"/>
                <w:szCs w:val="20"/>
                <w:u w:val="none"/>
                <w:lang w:val="en-US" w:eastAsia="zh-CN" w:bidi="ar"/>
                <w14:textFill>
                  <w14:solidFill>
                    <w14:schemeClr w14:val="tx1"/>
                  </w14:solidFill>
                </w14:textFill>
              </w:rPr>
              <w:t>1 节能环保产业</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top"/>
          </w:tcPr>
          <w:p w14:paraId="39DE5EAA">
            <w:pPr>
              <w:keepNext w:val="0"/>
              <w:keepLines w:val="0"/>
              <w:widowControl/>
              <w:suppressLineNumbers w:val="0"/>
              <w:ind w:left="0" w:leftChars="0" w:firstLine="0" w:firstLineChars="0"/>
              <w:jc w:val="left"/>
              <w:textAlignment w:val="top"/>
              <w:rPr>
                <w:rFonts w:hint="eastAsia" w:ascii="宋体" w:hAnsi="宋体" w:eastAsia="宋体" w:cs="宋体"/>
                <w:b w:val="0"/>
                <w:bCs/>
                <w:i w:val="0"/>
                <w:iCs w:val="0"/>
                <w:color w:val="000000" w:themeColor="text1"/>
                <w:sz w:val="20"/>
                <w:szCs w:val="20"/>
                <w:u w:val="none"/>
                <w14:textFill>
                  <w14:solidFill>
                    <w14:schemeClr w14:val="tx1"/>
                  </w14:solidFill>
                </w14:textFill>
              </w:rPr>
            </w:pPr>
            <w:r>
              <w:rPr>
                <w:rFonts w:hint="eastAsia" w:ascii="宋体" w:hAnsi="宋体" w:eastAsia="宋体" w:cs="宋体"/>
                <w:b w:val="0"/>
                <w:bCs/>
                <w:i w:val="0"/>
                <w:iCs w:val="0"/>
                <w:color w:val="000000" w:themeColor="text1"/>
                <w:kern w:val="0"/>
                <w:sz w:val="20"/>
                <w:szCs w:val="20"/>
                <w:u w:val="none"/>
                <w:lang w:val="en-US" w:eastAsia="zh-CN" w:bidi="ar"/>
                <w14:textFill>
                  <w14:solidFill>
                    <w14:schemeClr w14:val="tx1"/>
                  </w14:solidFill>
                </w14:textFill>
              </w:rPr>
              <w:t>2 清洁生产产业</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top"/>
          </w:tcPr>
          <w:p w14:paraId="2F54829D">
            <w:pPr>
              <w:keepNext w:val="0"/>
              <w:keepLines w:val="0"/>
              <w:widowControl/>
              <w:suppressLineNumbers w:val="0"/>
              <w:ind w:left="0" w:leftChars="0" w:firstLine="0" w:firstLineChars="0"/>
              <w:jc w:val="left"/>
              <w:textAlignment w:val="top"/>
              <w:rPr>
                <w:rFonts w:hint="eastAsia" w:ascii="宋体" w:hAnsi="宋体" w:eastAsia="宋体" w:cs="宋体"/>
                <w:b w:val="0"/>
                <w:bCs/>
                <w:i w:val="0"/>
                <w:iCs w:val="0"/>
                <w:color w:val="000000" w:themeColor="text1"/>
                <w:sz w:val="20"/>
                <w:szCs w:val="20"/>
                <w:u w:val="none"/>
                <w14:textFill>
                  <w14:solidFill>
                    <w14:schemeClr w14:val="tx1"/>
                  </w14:solidFill>
                </w14:textFill>
              </w:rPr>
            </w:pPr>
            <w:r>
              <w:rPr>
                <w:rFonts w:hint="eastAsia" w:ascii="宋体" w:hAnsi="宋体" w:eastAsia="宋体" w:cs="宋体"/>
                <w:b w:val="0"/>
                <w:bCs/>
                <w:i w:val="0"/>
                <w:iCs w:val="0"/>
                <w:color w:val="000000" w:themeColor="text1"/>
                <w:kern w:val="0"/>
                <w:sz w:val="20"/>
                <w:szCs w:val="20"/>
                <w:u w:val="none"/>
                <w:lang w:val="en-US" w:eastAsia="zh-CN" w:bidi="ar"/>
                <w14:textFill>
                  <w14:solidFill>
                    <w14:schemeClr w14:val="tx1"/>
                  </w14:solidFill>
                </w14:textFill>
              </w:rPr>
              <w:t>3 清洁能源产业</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top"/>
          </w:tcPr>
          <w:p w14:paraId="698B9940">
            <w:pPr>
              <w:keepNext w:val="0"/>
              <w:keepLines w:val="0"/>
              <w:widowControl/>
              <w:suppressLineNumbers w:val="0"/>
              <w:ind w:left="0" w:leftChars="0" w:firstLine="0" w:firstLineChars="0"/>
              <w:jc w:val="left"/>
              <w:textAlignment w:val="top"/>
              <w:rPr>
                <w:rFonts w:hint="eastAsia" w:ascii="宋体" w:hAnsi="宋体" w:eastAsia="宋体" w:cs="宋体"/>
                <w:b w:val="0"/>
                <w:bCs/>
                <w:i w:val="0"/>
                <w:iCs w:val="0"/>
                <w:color w:val="000000" w:themeColor="text1"/>
                <w:sz w:val="20"/>
                <w:szCs w:val="20"/>
                <w:u w:val="none"/>
                <w14:textFill>
                  <w14:solidFill>
                    <w14:schemeClr w14:val="tx1"/>
                  </w14:solidFill>
                </w14:textFill>
              </w:rPr>
            </w:pPr>
            <w:r>
              <w:rPr>
                <w:rFonts w:hint="eastAsia" w:ascii="宋体" w:hAnsi="宋体" w:eastAsia="宋体" w:cs="宋体"/>
                <w:b w:val="0"/>
                <w:bCs/>
                <w:i w:val="0"/>
                <w:iCs w:val="0"/>
                <w:color w:val="000000" w:themeColor="text1"/>
                <w:kern w:val="0"/>
                <w:sz w:val="20"/>
                <w:szCs w:val="20"/>
                <w:u w:val="none"/>
                <w:lang w:val="en-US" w:eastAsia="zh-CN" w:bidi="ar"/>
                <w14:textFill>
                  <w14:solidFill>
                    <w14:schemeClr w14:val="tx1"/>
                  </w14:solidFill>
                </w14:textFill>
              </w:rPr>
              <w:t>4 生态环境产业</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top"/>
          </w:tcPr>
          <w:p w14:paraId="5EFD46EF">
            <w:pPr>
              <w:keepNext w:val="0"/>
              <w:keepLines w:val="0"/>
              <w:widowControl/>
              <w:suppressLineNumbers w:val="0"/>
              <w:ind w:left="0" w:leftChars="0" w:firstLine="0" w:firstLineChars="0"/>
              <w:jc w:val="left"/>
              <w:textAlignment w:val="top"/>
              <w:rPr>
                <w:rFonts w:hint="eastAsia" w:ascii="宋体" w:hAnsi="宋体" w:eastAsia="宋体" w:cs="宋体"/>
                <w:b w:val="0"/>
                <w:bCs/>
                <w:i w:val="0"/>
                <w:iCs w:val="0"/>
                <w:color w:val="000000" w:themeColor="text1"/>
                <w:sz w:val="20"/>
                <w:szCs w:val="20"/>
                <w:u w:val="none"/>
                <w14:textFill>
                  <w14:solidFill>
                    <w14:schemeClr w14:val="tx1"/>
                  </w14:solidFill>
                </w14:textFill>
              </w:rPr>
            </w:pPr>
            <w:r>
              <w:rPr>
                <w:rFonts w:hint="eastAsia" w:ascii="宋体" w:hAnsi="宋体" w:eastAsia="宋体" w:cs="宋体"/>
                <w:b w:val="0"/>
                <w:bCs/>
                <w:i w:val="0"/>
                <w:iCs w:val="0"/>
                <w:color w:val="000000" w:themeColor="text1"/>
                <w:kern w:val="0"/>
                <w:sz w:val="20"/>
                <w:szCs w:val="20"/>
                <w:u w:val="none"/>
                <w:lang w:val="en-US" w:eastAsia="zh-CN" w:bidi="ar"/>
                <w14:textFill>
                  <w14:solidFill>
                    <w14:schemeClr w14:val="tx1"/>
                  </w14:solidFill>
                </w14:textFill>
              </w:rPr>
              <w:t>5 基础设施绿色升级</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top"/>
          </w:tcPr>
          <w:p w14:paraId="70FCFD16">
            <w:pPr>
              <w:keepNext w:val="0"/>
              <w:keepLines w:val="0"/>
              <w:widowControl/>
              <w:suppressLineNumbers w:val="0"/>
              <w:ind w:left="0" w:leftChars="0" w:firstLine="0" w:firstLineChars="0"/>
              <w:jc w:val="left"/>
              <w:textAlignment w:val="top"/>
              <w:rPr>
                <w:rFonts w:hint="eastAsia" w:ascii="宋体" w:hAnsi="宋体" w:eastAsia="宋体" w:cs="宋体"/>
                <w:b w:val="0"/>
                <w:bCs/>
                <w:i w:val="0"/>
                <w:iCs w:val="0"/>
                <w:color w:val="000000" w:themeColor="text1"/>
                <w:sz w:val="20"/>
                <w:szCs w:val="20"/>
                <w:u w:val="none"/>
                <w14:textFill>
                  <w14:solidFill>
                    <w14:schemeClr w14:val="tx1"/>
                  </w14:solidFill>
                </w14:textFill>
              </w:rPr>
            </w:pPr>
            <w:r>
              <w:rPr>
                <w:rFonts w:hint="eastAsia" w:ascii="宋体" w:hAnsi="宋体" w:eastAsia="宋体" w:cs="宋体"/>
                <w:b w:val="0"/>
                <w:bCs/>
                <w:i w:val="0"/>
                <w:iCs w:val="0"/>
                <w:color w:val="000000" w:themeColor="text1"/>
                <w:kern w:val="0"/>
                <w:sz w:val="20"/>
                <w:szCs w:val="20"/>
                <w:u w:val="none"/>
                <w:lang w:val="en-US" w:eastAsia="zh-CN" w:bidi="ar"/>
                <w14:textFill>
                  <w14:solidFill>
                    <w14:schemeClr w14:val="tx1"/>
                  </w14:solidFill>
                </w14:textFill>
              </w:rPr>
              <w:t>6 绿色服务</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top"/>
          </w:tcPr>
          <w:p w14:paraId="46F04B84">
            <w:pPr>
              <w:keepNext w:val="0"/>
              <w:keepLines w:val="0"/>
              <w:widowControl/>
              <w:suppressLineNumbers w:val="0"/>
              <w:ind w:left="0" w:leftChars="0" w:firstLine="0" w:firstLineChars="0"/>
              <w:jc w:val="left"/>
              <w:textAlignment w:val="top"/>
              <w:rPr>
                <w:rFonts w:hint="eastAsia" w:ascii="宋体" w:hAnsi="宋体" w:eastAsia="宋体" w:cs="宋体"/>
                <w:b w:val="0"/>
                <w:bCs/>
                <w:i w:val="0"/>
                <w:iCs w:val="0"/>
                <w:color w:val="000000" w:themeColor="text1"/>
                <w:sz w:val="18"/>
                <w:szCs w:val="18"/>
                <w:u w:val="none"/>
                <w14:textFill>
                  <w14:solidFill>
                    <w14:schemeClr w14:val="tx1"/>
                  </w14:solidFill>
                </w14:textFill>
              </w:rPr>
            </w:pPr>
            <w:r>
              <w:rPr>
                <w:rFonts w:hint="eastAsia" w:ascii="宋体" w:hAnsi="宋体" w:eastAsia="宋体" w:cs="宋体"/>
                <w:b w:val="0"/>
                <w:bCs/>
                <w:i w:val="0"/>
                <w:iCs w:val="0"/>
                <w:color w:val="000000" w:themeColor="text1"/>
                <w:kern w:val="0"/>
                <w:sz w:val="18"/>
                <w:szCs w:val="18"/>
                <w:u w:val="none"/>
                <w:lang w:val="en-US" w:eastAsia="zh-CN" w:bidi="ar"/>
                <w14:textFill>
                  <w14:solidFill>
                    <w14:schemeClr w14:val="tx1"/>
                  </w14:solidFill>
                </w14:textFill>
              </w:rPr>
              <w:t>合计</w:t>
            </w:r>
          </w:p>
        </w:tc>
      </w:tr>
      <w:tr w14:paraId="213C8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8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91CA1B">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绿色信贷余额及占比</w:t>
            </w: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4DF0A">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绿色信贷余额（万元）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E4C92">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8750</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EF69E">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E563E">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5800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9AB41">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3896</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AC106">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A23A0">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20720</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C0F8">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39166</w:t>
            </w:r>
          </w:p>
        </w:tc>
      </w:tr>
      <w:tr w14:paraId="15D59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258DEF">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绿色信贷余额及占比</w:t>
            </w: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5C30A">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各项贷款余额（万元）</w:t>
            </w:r>
          </w:p>
        </w:tc>
        <w:tc>
          <w:tcPr>
            <w:tcW w:w="6395"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7AE8C">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2296310</w:t>
            </w:r>
          </w:p>
        </w:tc>
      </w:tr>
      <w:tr w14:paraId="4A3A6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D5FF3A">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绿色信贷余额及占比</w:t>
            </w: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07E65">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绿色信贷占比（%）</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06168">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0.38105%</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2AA36">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B366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0.25258%</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A4E75">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0.16966%</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F2994">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14F7A">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0.90232%</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813D1">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1.70561%</w:t>
            </w:r>
          </w:p>
        </w:tc>
      </w:tr>
      <w:tr w14:paraId="7C534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703171">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绿色信贷余额及占比</w:t>
            </w: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3A641">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绿色信贷不良贷款余额（万元）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9BF6A">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85D4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656AB">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FB6C7">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EBF5A">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7FE45">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1511D">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79A81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2CCCB7">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绿色信贷余额及占比</w:t>
            </w: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4A3F2">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绿色信贷不良率（%）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94F1D">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9C8B6">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578E4">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E899A">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E8176">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EF387">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ABF2C">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72606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8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EE0C71">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绿色信贷金额变动折合减排情况</w:t>
            </w: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E535F">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折合减排标准煤（吨）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C0D54">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FDC1E">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3B567">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203DA">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9730D">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D350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DD70F">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21EFC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8FF17">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绿色信贷金额变动折合减排情况</w:t>
            </w: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19053">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折合减排二氧化碳当量(tCO2e)</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D2440">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6639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D509A">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58D71">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23E79">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C7D5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4D8E0">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5A083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66669A">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绿色信贷金额变动折合减排情况</w:t>
            </w: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BA64E">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折合减排化学需氧量（吨）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EEEDA">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2A50C">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22C11">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001EE">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6F29E">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53150">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B2F11">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65341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1DBCBA">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绿色信贷金额变动折合减排情况</w:t>
            </w: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ADF2">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折合减排氨氮（吨）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76D0A">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80304">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2C805">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086ED">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57E49">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A2D1C">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AAFA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7BD29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7B0A6B">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绿色信贷金额变动折合减排情况</w:t>
            </w: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7371D">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折合减排二氧化硫（吨）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8ECC3">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831CF">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CA566">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9F74D">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4C469">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EE5EA">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55F3F">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5029F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4B290B">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绿色信贷金额变动折合减排情况</w:t>
            </w: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31E8D">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折合减排氮氧化物（吨）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CC2C3">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312FD">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3673C">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03FE3">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51282">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892BE">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5CE89">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r w14:paraId="3A9CE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DD5FF7">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绿色信贷金额变动折合减排情况</w:t>
            </w: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F7DE0">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折合节水（吨）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C06B6">
            <w:pPr>
              <w:widowControl/>
              <w:spacing w:line="240" w:lineRule="auto"/>
              <w:ind w:firstLine="0" w:firstLineChars="0"/>
              <w:jc w:val="center"/>
              <w:rPr>
                <w:rFonts w:hint="default"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147D9">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4A1C6">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CD3C9">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926B">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113DD">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6F98E">
            <w:pPr>
              <w:widowControl/>
              <w:spacing w:line="240" w:lineRule="auto"/>
              <w:ind w:firstLine="0" w:firstLineChars="0"/>
              <w:jc w:val="center"/>
              <w:rPr>
                <w:rFonts w:hint="eastAsia" w:ascii="宋体" w:hAnsi="宋体" w:eastAsia="宋体" w:cs="宋体"/>
                <w:b w:val="0"/>
                <w:bCs/>
                <w:color w:val="000000"/>
                <w:kern w:val="0"/>
                <w:sz w:val="18"/>
                <w:szCs w:val="18"/>
                <w:lang w:val="en-US" w:eastAsia="zh-CN"/>
              </w:rPr>
            </w:pPr>
            <w:r>
              <w:rPr>
                <w:rFonts w:hint="eastAsia" w:ascii="宋体" w:hAnsi="宋体" w:eastAsia="宋体" w:cs="宋体"/>
                <w:b w:val="0"/>
                <w:bCs/>
                <w:color w:val="000000"/>
                <w:kern w:val="0"/>
                <w:sz w:val="18"/>
                <w:szCs w:val="18"/>
                <w:lang w:val="en-US" w:eastAsia="zh-CN"/>
              </w:rPr>
              <w:t>0</w:t>
            </w:r>
          </w:p>
        </w:tc>
      </w:tr>
    </w:tbl>
    <w:p w14:paraId="2760F703">
      <w:pPr>
        <w:ind w:firstLine="0" w:firstLineChars="0"/>
        <w:rPr>
          <w:rFonts w:ascii="仿宋" w:hAnsi="仿宋" w:eastAsia="仿宋" w:cs="仿宋"/>
          <w:b w:val="0"/>
          <w:bCs/>
          <w:snapToGrid w:val="0"/>
          <w:color w:val="000000" w:themeColor="text1"/>
          <w:spacing w:val="6"/>
          <w:kern w:val="0"/>
          <w:sz w:val="24"/>
          <w:szCs w:val="24"/>
          <w14:textFill>
            <w14:solidFill>
              <w14:schemeClr w14:val="tx1"/>
            </w14:solidFill>
          </w14:textFill>
        </w:rPr>
      </w:pPr>
    </w:p>
    <w:p w14:paraId="23E53B33">
      <w:pPr>
        <w:ind w:firstLine="0" w:firstLineChars="0"/>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br w:type="page"/>
      </w:r>
    </w:p>
    <w:p w14:paraId="14B17665">
      <w:pPr>
        <w:pStyle w:val="19"/>
        <w:keepNext w:val="0"/>
        <w:keepLines w:val="0"/>
        <w:pageBreakBefore w:val="0"/>
        <w:widowControl/>
        <w:numPr>
          <w:ilvl w:val="0"/>
          <w:numId w:val="0"/>
        </w:numPr>
        <w:tabs>
          <w:tab w:val="right" w:leader="dot" w:pos="9897"/>
        </w:tabs>
        <w:kinsoku/>
        <w:wordWrap/>
        <w:overflowPunct/>
        <w:topLinePunct w:val="0"/>
        <w:autoSpaceDE/>
        <w:autoSpaceDN/>
        <w:bidi w:val="0"/>
        <w:adjustRightInd w:val="0"/>
        <w:snapToGrid w:val="0"/>
        <w:spacing w:before="872" w:beforeLines="200" w:after="20" w:line="360" w:lineRule="auto"/>
        <w:ind w:left="0" w:leftChars="0" w:firstLine="0" w:firstLineChars="0"/>
        <w:jc w:val="center"/>
        <w:textAlignment w:val="auto"/>
        <w:outlineLvl w:val="0"/>
        <w:rPr>
          <w:rFonts w:hint="eastAsia" w:ascii="黑体" w:hAnsi="黑体" w:eastAsia="黑体" w:cs="黑体"/>
          <w:b w:val="0"/>
          <w:bCs/>
          <w:color w:val="000000" w:themeColor="text1"/>
          <w:kern w:val="2"/>
          <w:sz w:val="32"/>
          <w:szCs w:val="32"/>
          <w:lang w:val="en-US" w:eastAsia="zh-CN"/>
          <w14:textFill>
            <w14:solidFill>
              <w14:schemeClr w14:val="tx1"/>
            </w14:solidFill>
          </w14:textFill>
        </w:rPr>
      </w:pPr>
      <w:bookmarkStart w:id="83" w:name="_Toc5147"/>
      <w:r>
        <w:rPr>
          <w:rFonts w:hint="eastAsia" w:ascii="黑体" w:hAnsi="黑体" w:eastAsia="黑体" w:cs="黑体"/>
          <w:b w:val="0"/>
          <w:bCs/>
          <w:color w:val="000000" w:themeColor="text1"/>
          <w:kern w:val="2"/>
          <w:sz w:val="32"/>
          <w:szCs w:val="32"/>
          <w:lang w:val="en-US" w:eastAsia="zh-CN"/>
          <w14:textFill>
            <w14:solidFill>
              <w14:schemeClr w14:val="tx1"/>
            </w14:solidFill>
          </w14:textFill>
        </w:rPr>
        <w:t>第九章 创新及研究</w:t>
      </w:r>
      <w:bookmarkEnd w:id="83"/>
    </w:p>
    <w:p w14:paraId="542973F0">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lang w:val="en-US" w:eastAsia="zh-CN"/>
          <w14:textFill>
            <w14:solidFill>
              <w14:schemeClr w14:val="tx1"/>
            </w14:solidFill>
          </w14:textFill>
        </w:rPr>
      </w:pPr>
      <w:bookmarkStart w:id="84" w:name="_Toc15147"/>
      <w:r>
        <w:rPr>
          <w:rFonts w:hint="eastAsia" w:ascii="黑体" w:hAnsi="黑体" w:eastAsia="黑体" w:cs="黑体"/>
          <w:b w:val="0"/>
          <w:bCs/>
          <w:color w:val="000000" w:themeColor="text1"/>
          <w:sz w:val="28"/>
          <w:szCs w:val="28"/>
          <w:lang w:val="en-US" w:eastAsia="zh-CN"/>
          <w14:textFill>
            <w14:solidFill>
              <w14:schemeClr w14:val="tx1"/>
            </w14:solidFill>
          </w14:textFill>
        </w:rPr>
        <w:t>9.1 绿色金融创新实践案例</w:t>
      </w:r>
      <w:bookmarkEnd w:id="84"/>
    </w:p>
    <w:p w14:paraId="4C0E629A">
      <w:pPr>
        <w:widowControl/>
        <w:kinsoku w:val="0"/>
        <w:autoSpaceDE w:val="0"/>
        <w:autoSpaceDN w:val="0"/>
        <w:adjustRightInd w:val="0"/>
        <w:snapToGrid w:val="0"/>
        <w:spacing w:before="156"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85" w:name="_Toc2976"/>
      <w:r>
        <w:rPr>
          <w:rFonts w:hint="eastAsia" w:ascii="黑体" w:hAnsi="黑体" w:eastAsia="黑体" w:cs="黑体"/>
          <w:b w:val="0"/>
          <w:bCs/>
          <w:color w:val="000000" w:themeColor="text1"/>
          <w:sz w:val="24"/>
          <w:szCs w:val="24"/>
          <w:lang w:val="en-US" w:eastAsia="zh-CN"/>
          <w14:textFill>
            <w14:solidFill>
              <w14:schemeClr w14:val="tx1"/>
            </w14:solidFill>
          </w14:textFill>
        </w:rPr>
        <w:t>9.1.1 建立投融资碳排放基础数据库</w:t>
      </w:r>
      <w:bookmarkEnd w:id="85"/>
    </w:p>
    <w:p w14:paraId="052A80A5">
      <w:pPr>
        <w:widowControl/>
        <w:kinsoku w:val="0"/>
        <w:autoSpaceDE w:val="0"/>
        <w:autoSpaceDN w:val="0"/>
        <w:adjustRightInd w:val="0"/>
        <w:snapToGrid w:val="0"/>
        <w:spacing w:before="156" w:beforeLines="50" w:line="240" w:lineRule="auto"/>
        <w:ind w:firstLine="480"/>
        <w:textAlignment w:val="baseline"/>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与专业第三方机构合作，上线金融碳核算系统，</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建立覆盖贷款客户的投融资碳排放</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绿色资产碳减排</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数据库，为</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本行</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绿</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色金融</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产品开发</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和绿色金融管理提供数据</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基础</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p>
    <w:p w14:paraId="0BB02E0E">
      <w:pPr>
        <w:widowControl/>
        <w:kinsoku w:val="0"/>
        <w:autoSpaceDE w:val="0"/>
        <w:autoSpaceDN w:val="0"/>
        <w:adjustRightInd w:val="0"/>
        <w:snapToGrid w:val="0"/>
        <w:spacing w:before="156" w:beforeLines="50" w:line="240" w:lineRule="auto"/>
        <w:ind w:firstLine="480" w:firstLineChars="200"/>
        <w:textAlignment w:val="baseline"/>
        <w:outlineLvl w:val="1"/>
        <w:rPr>
          <w:rFonts w:hint="default" w:ascii="黑体" w:hAnsi="黑体" w:eastAsia="黑体" w:cs="黑体"/>
          <w:b w:val="0"/>
          <w:bCs/>
          <w:color w:val="000000" w:themeColor="text1"/>
          <w:sz w:val="24"/>
          <w:szCs w:val="24"/>
          <w:lang w:val="en-US" w:eastAsia="zh-CN"/>
          <w14:textFill>
            <w14:solidFill>
              <w14:schemeClr w14:val="tx1"/>
            </w14:solidFill>
          </w14:textFill>
        </w:rPr>
      </w:pPr>
      <w:bookmarkStart w:id="86" w:name="_Toc24899"/>
      <w:r>
        <w:rPr>
          <w:rFonts w:hint="eastAsia" w:ascii="黑体" w:hAnsi="黑体" w:eastAsia="黑体" w:cs="黑体"/>
          <w:b w:val="0"/>
          <w:bCs/>
          <w:color w:val="000000" w:themeColor="text1"/>
          <w:sz w:val="24"/>
          <w:szCs w:val="24"/>
          <w:lang w:val="en-US" w:eastAsia="zh-CN"/>
          <w14:textFill>
            <w14:solidFill>
              <w14:schemeClr w14:val="tx1"/>
            </w14:solidFill>
          </w14:textFill>
        </w:rPr>
        <w:t>9.1.2 特色案例</w:t>
      </w:r>
      <w:bookmarkEnd w:id="86"/>
    </w:p>
    <w:p w14:paraId="3F166E46">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b w:val="0"/>
          <w:bCs/>
          <w:snapToGrid w:val="0"/>
          <w:color w:val="auto"/>
          <w:spacing w:val="6"/>
          <w:kern w:val="0"/>
          <w:sz w:val="24"/>
          <w:szCs w:val="24"/>
        </w:rPr>
      </w:pPr>
      <w:r>
        <w:rPr>
          <w:rFonts w:hint="eastAsia" w:ascii="仿宋" w:hAnsi="仿宋" w:eastAsia="仿宋" w:cs="仿宋"/>
          <w:b w:val="0"/>
          <w:bCs/>
          <w:snapToGrid w:val="0"/>
          <w:color w:val="auto"/>
          <w:spacing w:val="6"/>
          <w:kern w:val="0"/>
          <w:sz w:val="24"/>
          <w:szCs w:val="24"/>
        </w:rPr>
        <w:t>案例</w:t>
      </w:r>
      <w:r>
        <w:rPr>
          <w:rFonts w:hint="eastAsia" w:ascii="仿宋" w:hAnsi="仿宋" w:eastAsia="仿宋" w:cs="仿宋"/>
          <w:b w:val="0"/>
          <w:bCs/>
          <w:snapToGrid w:val="0"/>
          <w:color w:val="auto"/>
          <w:spacing w:val="6"/>
          <w:kern w:val="0"/>
          <w:sz w:val="24"/>
          <w:szCs w:val="24"/>
          <w:lang w:val="en-US" w:eastAsia="zh-CN"/>
        </w:rPr>
        <w:t>一</w:t>
      </w:r>
      <w:r>
        <w:rPr>
          <w:rFonts w:hint="eastAsia" w:ascii="仿宋" w:hAnsi="仿宋" w:eastAsia="仿宋" w:cs="仿宋"/>
          <w:b w:val="0"/>
          <w:bCs/>
          <w:snapToGrid w:val="0"/>
          <w:color w:val="auto"/>
          <w:spacing w:val="6"/>
          <w:kern w:val="0"/>
          <w:sz w:val="24"/>
          <w:szCs w:val="24"/>
        </w:rPr>
        <w:t>：</w:t>
      </w:r>
      <w:r>
        <w:rPr>
          <w:rFonts w:hint="eastAsia" w:ascii="仿宋" w:hAnsi="仿宋" w:eastAsia="仿宋" w:cs="仿宋"/>
          <w:b w:val="0"/>
          <w:bCs/>
          <w:snapToGrid w:val="0"/>
          <w:color w:val="auto"/>
          <w:spacing w:val="6"/>
          <w:kern w:val="0"/>
          <w:sz w:val="24"/>
          <w:szCs w:val="24"/>
          <w:lang w:val="en-US" w:eastAsia="zh-CN"/>
        </w:rPr>
        <w:t>支持固废处理</w:t>
      </w:r>
      <w:r>
        <w:rPr>
          <w:rFonts w:hint="eastAsia" w:ascii="仿宋" w:hAnsi="仿宋" w:eastAsia="仿宋" w:cs="仿宋"/>
          <w:b w:val="0"/>
          <w:bCs/>
          <w:snapToGrid w:val="0"/>
          <w:color w:val="auto"/>
          <w:spacing w:val="6"/>
          <w:kern w:val="0"/>
          <w:sz w:val="24"/>
          <w:szCs w:val="24"/>
        </w:rPr>
        <w:t>企业</w:t>
      </w:r>
      <w:r>
        <w:rPr>
          <w:rFonts w:hint="eastAsia" w:ascii="仿宋" w:hAnsi="仿宋" w:eastAsia="仿宋" w:cs="仿宋"/>
          <w:b w:val="0"/>
          <w:bCs/>
          <w:snapToGrid w:val="0"/>
          <w:color w:val="auto"/>
          <w:spacing w:val="6"/>
          <w:kern w:val="0"/>
          <w:sz w:val="24"/>
          <w:szCs w:val="24"/>
          <w:lang w:val="en-US" w:eastAsia="zh-CN"/>
        </w:rPr>
        <w:t>发展</w:t>
      </w:r>
      <w:r>
        <w:rPr>
          <w:rFonts w:hint="eastAsia" w:ascii="仿宋" w:hAnsi="仿宋" w:eastAsia="仿宋" w:cs="仿宋"/>
          <w:b w:val="0"/>
          <w:bCs/>
          <w:snapToGrid w:val="0"/>
          <w:color w:val="auto"/>
          <w:spacing w:val="6"/>
          <w:kern w:val="0"/>
          <w:sz w:val="24"/>
          <w:szCs w:val="24"/>
        </w:rPr>
        <w:t>。1）背景：某企业</w:t>
      </w:r>
      <w:r>
        <w:rPr>
          <w:rFonts w:hint="eastAsia" w:ascii="仿宋" w:hAnsi="仿宋" w:eastAsia="仿宋" w:cs="仿宋"/>
          <w:b w:val="0"/>
          <w:bCs/>
          <w:snapToGrid w:val="0"/>
          <w:color w:val="auto"/>
          <w:spacing w:val="6"/>
          <w:kern w:val="0"/>
          <w:sz w:val="24"/>
          <w:szCs w:val="24"/>
          <w:lang w:val="en-US" w:eastAsia="zh-CN"/>
        </w:rPr>
        <w:t>主体经营固废处理，为了扩大生产</w:t>
      </w:r>
      <w:r>
        <w:rPr>
          <w:rFonts w:hint="eastAsia" w:ascii="仿宋" w:hAnsi="仿宋" w:eastAsia="仿宋" w:cs="仿宋"/>
          <w:b w:val="0"/>
          <w:bCs/>
          <w:snapToGrid w:val="0"/>
          <w:color w:val="auto"/>
          <w:spacing w:val="6"/>
          <w:kern w:val="0"/>
          <w:sz w:val="24"/>
          <w:szCs w:val="24"/>
        </w:rPr>
        <w:t>，</w:t>
      </w:r>
      <w:r>
        <w:rPr>
          <w:rFonts w:hint="eastAsia" w:ascii="仿宋" w:hAnsi="仿宋" w:eastAsia="仿宋" w:cs="仿宋"/>
          <w:b w:val="0"/>
          <w:bCs/>
          <w:snapToGrid w:val="0"/>
          <w:color w:val="auto"/>
          <w:spacing w:val="6"/>
          <w:kern w:val="0"/>
          <w:sz w:val="24"/>
          <w:szCs w:val="24"/>
          <w:lang w:val="en-US" w:eastAsia="zh-CN"/>
        </w:rPr>
        <w:t>进一步推动本事的工业固体废弃物综合利用能力，</w:t>
      </w:r>
      <w:r>
        <w:rPr>
          <w:rFonts w:hint="eastAsia" w:ascii="仿宋" w:hAnsi="仿宋" w:eastAsia="仿宋" w:cs="仿宋"/>
          <w:b w:val="0"/>
          <w:bCs/>
          <w:snapToGrid w:val="0"/>
          <w:color w:val="auto"/>
          <w:spacing w:val="6"/>
          <w:kern w:val="0"/>
          <w:sz w:val="24"/>
          <w:szCs w:val="24"/>
        </w:rPr>
        <w:t>需要</w:t>
      </w:r>
      <w:r>
        <w:rPr>
          <w:rFonts w:hint="eastAsia" w:ascii="仿宋" w:hAnsi="仿宋" w:eastAsia="仿宋" w:cs="仿宋"/>
          <w:b w:val="0"/>
          <w:bCs/>
          <w:snapToGrid w:val="0"/>
          <w:color w:val="auto"/>
          <w:spacing w:val="6"/>
          <w:kern w:val="0"/>
          <w:sz w:val="24"/>
          <w:szCs w:val="24"/>
          <w:lang w:val="en-US" w:eastAsia="zh-CN"/>
        </w:rPr>
        <w:t>流动</w:t>
      </w:r>
      <w:r>
        <w:rPr>
          <w:rFonts w:hint="eastAsia" w:ascii="仿宋" w:hAnsi="仿宋" w:eastAsia="仿宋" w:cs="仿宋"/>
          <w:b w:val="0"/>
          <w:bCs/>
          <w:snapToGrid w:val="0"/>
          <w:color w:val="auto"/>
          <w:spacing w:val="6"/>
          <w:kern w:val="0"/>
          <w:sz w:val="24"/>
          <w:szCs w:val="24"/>
        </w:rPr>
        <w:t>资金支持。2）主要做法：</w:t>
      </w:r>
      <w:r>
        <w:rPr>
          <w:rFonts w:hint="eastAsia" w:ascii="仿宋" w:hAnsi="仿宋" w:eastAsia="仿宋" w:cs="仿宋"/>
          <w:b w:val="0"/>
          <w:bCs/>
          <w:snapToGrid w:val="0"/>
          <w:color w:val="auto"/>
          <w:spacing w:val="6"/>
          <w:kern w:val="0"/>
          <w:sz w:val="24"/>
          <w:szCs w:val="24"/>
          <w:lang w:val="en-US" w:eastAsia="zh-CN"/>
        </w:rPr>
        <w:t>高邮</w:t>
      </w:r>
      <w:r>
        <w:rPr>
          <w:rFonts w:hint="eastAsia" w:ascii="仿宋" w:hAnsi="仿宋" w:eastAsia="仿宋" w:cs="仿宋"/>
          <w:b w:val="0"/>
          <w:bCs/>
          <w:snapToGrid w:val="0"/>
          <w:color w:val="auto"/>
          <w:spacing w:val="6"/>
          <w:kern w:val="0"/>
          <w:sz w:val="24"/>
          <w:szCs w:val="24"/>
        </w:rPr>
        <w:t>农商银行</w:t>
      </w:r>
      <w:r>
        <w:rPr>
          <w:rFonts w:hint="eastAsia" w:ascii="仿宋" w:hAnsi="仿宋" w:eastAsia="仿宋" w:cs="仿宋"/>
          <w:b w:val="0"/>
          <w:bCs/>
          <w:snapToGrid w:val="0"/>
          <w:color w:val="auto"/>
          <w:spacing w:val="6"/>
          <w:kern w:val="0"/>
          <w:sz w:val="24"/>
          <w:szCs w:val="24"/>
          <w:lang w:val="en-US" w:eastAsia="zh-CN"/>
        </w:rPr>
        <w:t>主动上门对接，根据企业具体需求</w:t>
      </w:r>
      <w:r>
        <w:rPr>
          <w:rFonts w:hint="eastAsia" w:ascii="仿宋" w:hAnsi="仿宋" w:eastAsia="仿宋" w:cs="仿宋"/>
          <w:b w:val="0"/>
          <w:bCs/>
          <w:snapToGrid w:val="0"/>
          <w:color w:val="auto"/>
          <w:spacing w:val="6"/>
          <w:kern w:val="0"/>
          <w:sz w:val="24"/>
          <w:szCs w:val="24"/>
        </w:rPr>
        <w:t>提供</w:t>
      </w:r>
      <w:r>
        <w:rPr>
          <w:rFonts w:hint="eastAsia" w:ascii="仿宋" w:hAnsi="仿宋" w:eastAsia="仿宋" w:cs="仿宋"/>
          <w:b w:val="0"/>
          <w:bCs/>
          <w:snapToGrid w:val="0"/>
          <w:color w:val="auto"/>
          <w:spacing w:val="6"/>
          <w:kern w:val="0"/>
          <w:sz w:val="24"/>
          <w:szCs w:val="24"/>
          <w:lang w:val="en-US" w:eastAsia="zh-CN"/>
        </w:rPr>
        <w:t>资金</w:t>
      </w:r>
      <w:r>
        <w:rPr>
          <w:rFonts w:hint="eastAsia" w:ascii="仿宋" w:hAnsi="仿宋" w:eastAsia="仿宋" w:cs="仿宋"/>
          <w:b w:val="0"/>
          <w:bCs/>
          <w:snapToGrid w:val="0"/>
          <w:color w:val="auto"/>
          <w:spacing w:val="6"/>
          <w:kern w:val="0"/>
          <w:sz w:val="24"/>
          <w:szCs w:val="24"/>
        </w:rPr>
        <w:t>。3）主要成效：帮助企业顺利完成</w:t>
      </w:r>
      <w:r>
        <w:rPr>
          <w:rFonts w:hint="eastAsia" w:ascii="仿宋" w:hAnsi="仿宋" w:eastAsia="仿宋" w:cs="仿宋"/>
          <w:b w:val="0"/>
          <w:bCs/>
          <w:snapToGrid w:val="0"/>
          <w:color w:val="auto"/>
          <w:spacing w:val="6"/>
          <w:kern w:val="0"/>
          <w:sz w:val="24"/>
          <w:szCs w:val="24"/>
          <w:lang w:val="en-US" w:eastAsia="zh-CN"/>
        </w:rPr>
        <w:t>固废处理扩大经营生产</w:t>
      </w:r>
      <w:r>
        <w:rPr>
          <w:rFonts w:hint="eastAsia" w:ascii="仿宋" w:hAnsi="仿宋" w:eastAsia="仿宋" w:cs="仿宋"/>
          <w:b w:val="0"/>
          <w:bCs/>
          <w:snapToGrid w:val="0"/>
          <w:color w:val="auto"/>
          <w:spacing w:val="6"/>
          <w:kern w:val="0"/>
          <w:sz w:val="24"/>
          <w:szCs w:val="24"/>
        </w:rPr>
        <w:t>项目，提升了企业的</w:t>
      </w:r>
      <w:r>
        <w:rPr>
          <w:rFonts w:hint="eastAsia" w:ascii="仿宋" w:hAnsi="仿宋" w:eastAsia="仿宋" w:cs="仿宋"/>
          <w:b w:val="0"/>
          <w:bCs/>
          <w:snapToGrid w:val="0"/>
          <w:color w:val="auto"/>
          <w:spacing w:val="6"/>
          <w:kern w:val="0"/>
          <w:sz w:val="24"/>
          <w:szCs w:val="24"/>
          <w:lang w:val="en-US" w:eastAsia="zh-CN"/>
        </w:rPr>
        <w:t>固废处理能力及经营能力</w:t>
      </w:r>
      <w:r>
        <w:rPr>
          <w:rFonts w:hint="eastAsia" w:ascii="仿宋" w:hAnsi="仿宋" w:eastAsia="仿宋" w:cs="仿宋"/>
          <w:b w:val="0"/>
          <w:bCs/>
          <w:snapToGrid w:val="0"/>
          <w:color w:val="auto"/>
          <w:spacing w:val="6"/>
          <w:kern w:val="0"/>
          <w:sz w:val="24"/>
          <w:szCs w:val="24"/>
        </w:rPr>
        <w:t>。4）</w:t>
      </w:r>
      <w:r>
        <w:rPr>
          <w:rFonts w:hint="eastAsia" w:ascii="仿宋" w:hAnsi="仿宋" w:eastAsia="仿宋" w:cs="仿宋"/>
          <w:b w:val="0"/>
          <w:bCs/>
          <w:snapToGrid w:val="0"/>
          <w:color w:val="auto"/>
          <w:spacing w:val="6"/>
          <w:kern w:val="0"/>
          <w:sz w:val="24"/>
          <w:szCs w:val="24"/>
          <w:lang w:val="en-US" w:eastAsia="zh-CN"/>
        </w:rPr>
        <w:t>本案例发放4950万元贷款，</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解决了企业的融资需求，并执行优惠利率</w:t>
      </w:r>
      <w:r>
        <w:rPr>
          <w:rFonts w:hint="eastAsia" w:ascii="仿宋" w:hAnsi="仿宋" w:eastAsia="仿宋" w:cs="仿宋"/>
          <w:b w:val="0"/>
          <w:bCs/>
          <w:snapToGrid w:val="0"/>
          <w:color w:val="auto"/>
          <w:spacing w:val="6"/>
          <w:kern w:val="0"/>
          <w:sz w:val="24"/>
          <w:szCs w:val="24"/>
        </w:rPr>
        <w:t>。</w:t>
      </w:r>
    </w:p>
    <w:p w14:paraId="34EE254E">
      <w:pPr>
        <w:widowControl/>
        <w:kinsoku w:val="0"/>
        <w:autoSpaceDE w:val="0"/>
        <w:autoSpaceDN w:val="0"/>
        <w:adjustRightInd w:val="0"/>
        <w:snapToGrid w:val="0"/>
        <w:spacing w:before="156" w:beforeLines="50" w:line="240" w:lineRule="auto"/>
        <w:ind w:firstLine="480"/>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auto"/>
          <w:spacing w:val="6"/>
          <w:kern w:val="0"/>
          <w:sz w:val="24"/>
          <w:szCs w:val="24"/>
        </w:rPr>
        <w:t>案例</w:t>
      </w:r>
      <w:r>
        <w:rPr>
          <w:rFonts w:hint="eastAsia" w:ascii="仿宋" w:hAnsi="仿宋" w:eastAsia="仿宋" w:cs="仿宋"/>
          <w:b w:val="0"/>
          <w:bCs/>
          <w:snapToGrid w:val="0"/>
          <w:color w:val="auto"/>
          <w:spacing w:val="6"/>
          <w:kern w:val="0"/>
          <w:sz w:val="24"/>
          <w:szCs w:val="24"/>
          <w:lang w:val="en-US" w:eastAsia="zh-CN"/>
        </w:rPr>
        <w:t>二</w:t>
      </w:r>
      <w:r>
        <w:rPr>
          <w:rFonts w:hint="eastAsia" w:ascii="仿宋" w:hAnsi="仿宋" w:eastAsia="仿宋" w:cs="仿宋"/>
          <w:b w:val="0"/>
          <w:bCs/>
          <w:snapToGrid w:val="0"/>
          <w:color w:val="auto"/>
          <w:spacing w:val="6"/>
          <w:kern w:val="0"/>
          <w:sz w:val="24"/>
          <w:szCs w:val="24"/>
        </w:rPr>
        <w:t>：</w:t>
      </w:r>
      <w:r>
        <w:rPr>
          <w:rFonts w:hint="eastAsia" w:ascii="仿宋" w:hAnsi="仿宋" w:eastAsia="仿宋" w:cs="仿宋"/>
          <w:b w:val="0"/>
          <w:bCs/>
          <w:snapToGrid w:val="0"/>
          <w:color w:val="auto"/>
          <w:spacing w:val="6"/>
          <w:kern w:val="0"/>
          <w:sz w:val="24"/>
          <w:szCs w:val="24"/>
          <w:lang w:val="en-US" w:eastAsia="zh-CN"/>
        </w:rPr>
        <w:t>支持清洁能源设备生产</w:t>
      </w:r>
      <w:r>
        <w:rPr>
          <w:rFonts w:hint="eastAsia" w:ascii="仿宋" w:hAnsi="仿宋" w:eastAsia="仿宋" w:cs="仿宋"/>
          <w:b w:val="0"/>
          <w:bCs/>
          <w:snapToGrid w:val="0"/>
          <w:color w:val="auto"/>
          <w:spacing w:val="6"/>
          <w:kern w:val="0"/>
          <w:sz w:val="24"/>
          <w:szCs w:val="24"/>
        </w:rPr>
        <w:t>企业</w:t>
      </w:r>
      <w:r>
        <w:rPr>
          <w:rFonts w:hint="eastAsia" w:ascii="仿宋" w:hAnsi="仿宋" w:eastAsia="仿宋" w:cs="仿宋"/>
          <w:b w:val="0"/>
          <w:bCs/>
          <w:snapToGrid w:val="0"/>
          <w:color w:val="auto"/>
          <w:spacing w:val="6"/>
          <w:kern w:val="0"/>
          <w:sz w:val="24"/>
          <w:szCs w:val="24"/>
          <w:lang w:val="en-US" w:eastAsia="zh-CN"/>
        </w:rPr>
        <w:t>发展</w:t>
      </w:r>
      <w:r>
        <w:rPr>
          <w:rFonts w:hint="eastAsia" w:ascii="仿宋" w:hAnsi="仿宋" w:eastAsia="仿宋" w:cs="仿宋"/>
          <w:b w:val="0"/>
          <w:bCs/>
          <w:snapToGrid w:val="0"/>
          <w:color w:val="auto"/>
          <w:spacing w:val="6"/>
          <w:kern w:val="0"/>
          <w:sz w:val="24"/>
          <w:szCs w:val="24"/>
        </w:rPr>
        <w:t>。1）背景：某企业</w:t>
      </w:r>
      <w:r>
        <w:rPr>
          <w:rFonts w:hint="eastAsia" w:ascii="仿宋" w:hAnsi="仿宋" w:eastAsia="仿宋" w:cs="仿宋"/>
          <w:b w:val="0"/>
          <w:bCs/>
          <w:snapToGrid w:val="0"/>
          <w:color w:val="auto"/>
          <w:spacing w:val="6"/>
          <w:kern w:val="0"/>
          <w:sz w:val="24"/>
          <w:szCs w:val="24"/>
          <w:lang w:val="en-US" w:eastAsia="zh-CN"/>
        </w:rPr>
        <w:t>主体经营太阳能利用装备制造</w:t>
      </w:r>
      <w:r>
        <w:rPr>
          <w:rFonts w:hint="eastAsia" w:ascii="仿宋" w:hAnsi="仿宋" w:eastAsia="仿宋" w:cs="仿宋"/>
          <w:b w:val="0"/>
          <w:bCs/>
          <w:snapToGrid w:val="0"/>
          <w:color w:val="auto"/>
          <w:spacing w:val="6"/>
          <w:kern w:val="0"/>
          <w:sz w:val="24"/>
          <w:szCs w:val="24"/>
        </w:rPr>
        <w:t>，</w:t>
      </w:r>
      <w:r>
        <w:rPr>
          <w:rFonts w:hint="eastAsia" w:ascii="仿宋" w:hAnsi="仿宋" w:eastAsia="仿宋" w:cs="仿宋"/>
          <w:b w:val="0"/>
          <w:bCs/>
          <w:snapToGrid w:val="0"/>
          <w:color w:val="auto"/>
          <w:spacing w:val="6"/>
          <w:kern w:val="0"/>
          <w:sz w:val="24"/>
          <w:szCs w:val="24"/>
          <w:lang w:val="en-US" w:eastAsia="zh-CN"/>
        </w:rPr>
        <w:t>为了提高生产能力，加大本市太阳能装备制造的生产能力，</w:t>
      </w:r>
      <w:r>
        <w:rPr>
          <w:rFonts w:hint="eastAsia" w:ascii="仿宋" w:hAnsi="仿宋" w:eastAsia="仿宋" w:cs="仿宋"/>
          <w:b w:val="0"/>
          <w:bCs/>
          <w:snapToGrid w:val="0"/>
          <w:color w:val="auto"/>
          <w:spacing w:val="6"/>
          <w:kern w:val="0"/>
          <w:sz w:val="24"/>
          <w:szCs w:val="24"/>
        </w:rPr>
        <w:t>需要资金支持。2）主要做法：</w:t>
      </w:r>
      <w:r>
        <w:rPr>
          <w:rFonts w:hint="eastAsia" w:ascii="仿宋" w:hAnsi="仿宋" w:eastAsia="仿宋" w:cs="仿宋"/>
          <w:b w:val="0"/>
          <w:bCs/>
          <w:snapToGrid w:val="0"/>
          <w:color w:val="auto"/>
          <w:spacing w:val="6"/>
          <w:kern w:val="0"/>
          <w:sz w:val="24"/>
          <w:szCs w:val="24"/>
          <w:lang w:val="en-US" w:eastAsia="zh-CN"/>
        </w:rPr>
        <w:t>高邮</w:t>
      </w:r>
      <w:r>
        <w:rPr>
          <w:rFonts w:hint="eastAsia" w:ascii="仿宋" w:hAnsi="仿宋" w:eastAsia="仿宋" w:cs="仿宋"/>
          <w:b w:val="0"/>
          <w:bCs/>
          <w:snapToGrid w:val="0"/>
          <w:color w:val="auto"/>
          <w:spacing w:val="6"/>
          <w:kern w:val="0"/>
          <w:sz w:val="24"/>
          <w:szCs w:val="24"/>
        </w:rPr>
        <w:t>农商银行</w:t>
      </w:r>
      <w:r>
        <w:rPr>
          <w:rFonts w:hint="eastAsia" w:ascii="仿宋" w:hAnsi="仿宋" w:eastAsia="仿宋" w:cs="仿宋"/>
          <w:b w:val="0"/>
          <w:bCs/>
          <w:snapToGrid w:val="0"/>
          <w:color w:val="auto"/>
          <w:spacing w:val="6"/>
          <w:kern w:val="0"/>
          <w:sz w:val="24"/>
          <w:szCs w:val="24"/>
          <w:lang w:val="en-US" w:eastAsia="zh-CN"/>
        </w:rPr>
        <w:t>主动上门对接，根据企业具体需求</w:t>
      </w:r>
      <w:r>
        <w:rPr>
          <w:rFonts w:hint="eastAsia" w:ascii="仿宋" w:hAnsi="仿宋" w:eastAsia="仿宋" w:cs="仿宋"/>
          <w:b w:val="0"/>
          <w:bCs/>
          <w:snapToGrid w:val="0"/>
          <w:color w:val="auto"/>
          <w:spacing w:val="6"/>
          <w:kern w:val="0"/>
          <w:sz w:val="24"/>
          <w:szCs w:val="24"/>
        </w:rPr>
        <w:t>提供</w:t>
      </w:r>
      <w:r>
        <w:rPr>
          <w:rFonts w:hint="eastAsia" w:ascii="仿宋" w:hAnsi="仿宋" w:eastAsia="仿宋" w:cs="仿宋"/>
          <w:b w:val="0"/>
          <w:bCs/>
          <w:snapToGrid w:val="0"/>
          <w:color w:val="auto"/>
          <w:spacing w:val="6"/>
          <w:kern w:val="0"/>
          <w:sz w:val="24"/>
          <w:szCs w:val="24"/>
          <w:lang w:val="en-US" w:eastAsia="zh-CN"/>
        </w:rPr>
        <w:t>支撑，帮助客户购买原材料，提供流动资金</w:t>
      </w:r>
      <w:r>
        <w:rPr>
          <w:rFonts w:hint="eastAsia" w:ascii="仿宋" w:hAnsi="仿宋" w:eastAsia="仿宋" w:cs="仿宋"/>
          <w:b w:val="0"/>
          <w:bCs/>
          <w:snapToGrid w:val="0"/>
          <w:color w:val="auto"/>
          <w:spacing w:val="6"/>
          <w:kern w:val="0"/>
          <w:sz w:val="24"/>
          <w:szCs w:val="24"/>
        </w:rPr>
        <w:t>。3）主要成效：帮助企业顺利完成</w:t>
      </w:r>
      <w:r>
        <w:rPr>
          <w:rFonts w:hint="eastAsia" w:ascii="仿宋" w:hAnsi="仿宋" w:eastAsia="仿宋" w:cs="仿宋"/>
          <w:b w:val="0"/>
          <w:bCs/>
          <w:snapToGrid w:val="0"/>
          <w:color w:val="auto"/>
          <w:spacing w:val="6"/>
          <w:kern w:val="0"/>
          <w:sz w:val="24"/>
          <w:szCs w:val="24"/>
          <w:lang w:val="en-US" w:eastAsia="zh-CN"/>
        </w:rPr>
        <w:t>原材料的资金支持</w:t>
      </w:r>
      <w:r>
        <w:rPr>
          <w:rFonts w:hint="eastAsia" w:ascii="仿宋" w:hAnsi="仿宋" w:eastAsia="仿宋" w:cs="仿宋"/>
          <w:b w:val="0"/>
          <w:bCs/>
          <w:snapToGrid w:val="0"/>
          <w:color w:val="auto"/>
          <w:spacing w:val="6"/>
          <w:kern w:val="0"/>
          <w:sz w:val="24"/>
          <w:szCs w:val="24"/>
        </w:rPr>
        <w:t>，</w:t>
      </w:r>
      <w:r>
        <w:rPr>
          <w:rFonts w:hint="eastAsia" w:ascii="仿宋" w:hAnsi="仿宋" w:eastAsia="仿宋" w:cs="仿宋"/>
          <w:b w:val="0"/>
          <w:bCs/>
          <w:snapToGrid w:val="0"/>
          <w:color w:val="auto"/>
          <w:spacing w:val="6"/>
          <w:kern w:val="0"/>
          <w:sz w:val="24"/>
          <w:szCs w:val="24"/>
          <w:lang w:val="en-US" w:eastAsia="zh-CN"/>
        </w:rPr>
        <w:t>提升了客户的经营规模与能力，解决资金短缺问题</w:t>
      </w:r>
      <w:r>
        <w:rPr>
          <w:rFonts w:hint="eastAsia" w:ascii="仿宋" w:hAnsi="仿宋" w:eastAsia="仿宋" w:cs="仿宋"/>
          <w:b w:val="0"/>
          <w:bCs/>
          <w:snapToGrid w:val="0"/>
          <w:color w:val="auto"/>
          <w:spacing w:val="6"/>
          <w:kern w:val="0"/>
          <w:sz w:val="24"/>
          <w:szCs w:val="24"/>
        </w:rPr>
        <w:t>。4）</w:t>
      </w:r>
      <w:r>
        <w:rPr>
          <w:rFonts w:hint="eastAsia" w:ascii="仿宋" w:hAnsi="仿宋" w:eastAsia="仿宋" w:cs="仿宋"/>
          <w:b w:val="0"/>
          <w:bCs/>
          <w:snapToGrid w:val="0"/>
          <w:color w:val="auto"/>
          <w:spacing w:val="6"/>
          <w:kern w:val="0"/>
          <w:sz w:val="24"/>
          <w:szCs w:val="24"/>
          <w:lang w:val="en-US" w:eastAsia="zh-CN"/>
        </w:rPr>
        <w:t>本案例发放2800万元贷款</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w:t>
      </w:r>
    </w:p>
    <w:p w14:paraId="695EB9B6">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b w:val="0"/>
          <w:bCs/>
          <w:sz w:val="24"/>
          <w:szCs w:val="24"/>
        </w:rPr>
      </w:pPr>
    </w:p>
    <w:p w14:paraId="043891DC">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lang w:val="en-US" w:eastAsia="zh-CN"/>
          <w14:textFill>
            <w14:solidFill>
              <w14:schemeClr w14:val="tx1"/>
            </w14:solidFill>
          </w14:textFill>
        </w:rPr>
      </w:pPr>
      <w:bookmarkStart w:id="87" w:name="_Toc904"/>
      <w:r>
        <w:rPr>
          <w:rFonts w:hint="eastAsia" w:ascii="黑体" w:hAnsi="黑体" w:eastAsia="黑体" w:cs="黑体"/>
          <w:b w:val="0"/>
          <w:bCs/>
          <w:color w:val="000000" w:themeColor="text1"/>
          <w:sz w:val="28"/>
          <w:szCs w:val="28"/>
          <w:lang w:val="en-US" w:eastAsia="zh-CN"/>
          <w14:textFill>
            <w14:solidFill>
              <w14:schemeClr w14:val="tx1"/>
            </w14:solidFill>
          </w14:textFill>
        </w:rPr>
        <w:t>9.2 绿色金融研究</w:t>
      </w:r>
      <w:bookmarkEnd w:id="87"/>
    </w:p>
    <w:p w14:paraId="7A7FE8B1">
      <w:pPr>
        <w:widowControl/>
        <w:kinsoku w:val="0"/>
        <w:autoSpaceDE w:val="0"/>
        <w:autoSpaceDN w:val="0"/>
        <w:adjustRightInd w:val="0"/>
        <w:snapToGrid w:val="0"/>
        <w:spacing w:before="156"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88" w:name="_Toc2716"/>
      <w:r>
        <w:rPr>
          <w:rFonts w:hint="eastAsia" w:ascii="黑体" w:hAnsi="黑体" w:eastAsia="黑体" w:cs="黑体"/>
          <w:b w:val="0"/>
          <w:bCs/>
          <w:color w:val="000000" w:themeColor="text1"/>
          <w:sz w:val="24"/>
          <w:szCs w:val="24"/>
          <w:lang w:val="en-US" w:eastAsia="zh-CN"/>
          <w14:textFill>
            <w14:solidFill>
              <w14:schemeClr w14:val="tx1"/>
            </w14:solidFill>
          </w14:textFill>
        </w:rPr>
        <w:t>9.2.1 绿色金融研究</w:t>
      </w:r>
      <w:bookmarkEnd w:id="88"/>
    </w:p>
    <w:p w14:paraId="5786BB46">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1）绿色金融政策与趋势研究：本行积极学习《关于构建绿色金融体系的指导意见》（银发〔2016〕228号</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、《金融业标准化体系建设发展规划（2016</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2020年）》（银发〔2017〕115号）、《绿色信贷指引</w:t>
      </w:r>
      <w:r>
        <w:rPr>
          <w:rFonts w:ascii="仿宋" w:hAnsi="仿宋" w:eastAsia="仿宋" w:cs="仿宋"/>
          <w:b w:val="0"/>
          <w:bCs/>
          <w:snapToGrid w:val="0"/>
          <w:color w:val="000000" w:themeColor="text1"/>
          <w:spacing w:val="6"/>
          <w:kern w:val="0"/>
          <w:sz w:val="24"/>
          <w:szCs w:val="24"/>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ascii="仿宋" w:hAnsi="仿宋" w:eastAsia="仿宋" w:cs="仿宋"/>
          <w:b w:val="0"/>
          <w:bCs/>
          <w:snapToGrid w:val="0"/>
          <w:color w:val="000000" w:themeColor="text1"/>
          <w:spacing w:val="6"/>
          <w:kern w:val="0"/>
          <w:sz w:val="24"/>
          <w:szCs w:val="24"/>
          <w14:textFill>
            <w14:solidFill>
              <w14:schemeClr w14:val="tx1"/>
            </w14:solidFill>
          </w14:textFill>
        </w:rPr>
        <w:t>银监发〔2012〕4号</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ascii="仿宋" w:hAnsi="仿宋" w:eastAsia="仿宋" w:cs="仿宋"/>
          <w:b w:val="0"/>
          <w:bCs/>
          <w:snapToGrid w:val="0"/>
          <w:color w:val="000000" w:themeColor="text1"/>
          <w:spacing w:val="6"/>
          <w:kern w:val="0"/>
          <w:sz w:val="24"/>
          <w:szCs w:val="24"/>
          <w14:textFill>
            <w14:solidFill>
              <w14:schemeClr w14:val="tx1"/>
            </w14:solidFill>
          </w14:textFill>
        </w:rPr>
        <w:t xml:space="preserve">、《绿色信贷实施情况关键评价指标》 </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ascii="仿宋" w:hAnsi="仿宋" w:eastAsia="仿宋" w:cs="仿宋"/>
          <w:b w:val="0"/>
          <w:bCs/>
          <w:snapToGrid w:val="0"/>
          <w:color w:val="000000" w:themeColor="text1"/>
          <w:spacing w:val="6"/>
          <w:kern w:val="0"/>
          <w:sz w:val="24"/>
          <w:szCs w:val="24"/>
          <w14:textFill>
            <w14:solidFill>
              <w14:schemeClr w14:val="tx1"/>
            </w14:solidFill>
          </w14:textFill>
        </w:rPr>
        <w:t>银监办发〔2014〕186号</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、《关于建立绿色贷款专项统计制度的通知》</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银发〔2018〕10号</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、《绿色债券评估认证行为指引（暂行）》（人民银行 证监会公告〔2017〕20号）、《金融机构环境信息披露指南》（JR/T 0227-2021</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金融机构碳核算技术指南（试行）》（银办发〔2021〕119号）和《江苏省银行业金融机构环境信息披露指引》（苏银发〔2024〕49号）等绿色金融政策文件，对国内外绿色金融政策标准进行深入分析，把握绿色金融发展的最新趋势，明确了本行绿色金融的发展目标和重点任务，为全行绿色金融业务的推进提供了最新的战略指引。</w:t>
      </w:r>
    </w:p>
    <w:p w14:paraId="36017A62">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绿色金融产品与服务创新研究：探索绿色信贷、绿色债券等绿色金融产品的创新路径，针对“三农”、小微企业的绿色融资需求，推出了一系列标准化贷款融资模式和低碳金融产品，加大支持节能环保和绿色经济发展。</w:t>
      </w:r>
    </w:p>
    <w:p w14:paraId="6C370467">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3）环境风险管理研究：研究环境风险识别、评估和管理的方法论，建立健全环境风险管理体系，确保投融资活动符合可持续发展要求。本行尝试开展环境风险量化分析，将投融资主体受环境政策影响、自身环评和环境表现等因素纳入企业授信评估考量指标，评估环境物理风险和转型风险对信贷资产质量的影响程度，提升风险管理水平。</w:t>
      </w:r>
    </w:p>
    <w:p w14:paraId="3B379C34">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4）绿色低碳运营研究：本行积极探索绿色低碳运营转型路径，研究如何通过绿色办公、绿色采购、绿电绿证、绿色数据中心建设等措施降低自身运营过程中的环境影响，提升绿色运营水平。公司积极倡导绿色办公理念，通过金融科技推动运营管理集约化、日常工作数字化和业务办理智能化，进一步提升运营效率和节能减排效果。</w:t>
      </w:r>
    </w:p>
    <w:p w14:paraId="570D80B6">
      <w:pPr>
        <w:widowControl/>
        <w:kinsoku w:val="0"/>
        <w:autoSpaceDE w:val="0"/>
        <w:autoSpaceDN w:val="0"/>
        <w:adjustRightInd w:val="0"/>
        <w:snapToGrid w:val="0"/>
        <w:spacing w:before="156" w:beforeLines="50" w:line="240" w:lineRule="auto"/>
        <w:ind w:firstLine="513"/>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5）外部研究合作：本行积极参与环境、绿色金融领域的外部研究合作与沟通交流，推动本行绿色金融业务的深入发展。此外，公司还通过参加各类绿色金融论坛、研讨会等行业活动，交流绿色金融研究成果和实践经验，同时提升自身行业影响力。</w:t>
      </w:r>
    </w:p>
    <w:p w14:paraId="4080FAA4">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b w:val="0"/>
          <w:bCs/>
          <w:sz w:val="24"/>
          <w:szCs w:val="24"/>
        </w:rPr>
      </w:pPr>
    </w:p>
    <w:p w14:paraId="36180113">
      <w:pPr>
        <w:widowControl/>
        <w:kinsoku w:val="0"/>
        <w:autoSpaceDE w:val="0"/>
        <w:autoSpaceDN w:val="0"/>
        <w:adjustRightInd w:val="0"/>
        <w:snapToGrid w:val="0"/>
        <w:spacing w:before="156"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89" w:name="_Toc25960"/>
      <w:r>
        <w:rPr>
          <w:rFonts w:hint="eastAsia" w:ascii="黑体" w:hAnsi="黑体" w:eastAsia="黑体" w:cs="黑体"/>
          <w:b w:val="0"/>
          <w:bCs/>
          <w:color w:val="000000" w:themeColor="text1"/>
          <w:sz w:val="24"/>
          <w:szCs w:val="24"/>
          <w:lang w:val="en-US" w:eastAsia="zh-CN"/>
          <w14:textFill>
            <w14:solidFill>
              <w14:schemeClr w14:val="tx1"/>
            </w14:solidFill>
          </w14:textFill>
        </w:rPr>
        <w:t>9.2.2 绿色金融奖项</w:t>
      </w:r>
      <w:bookmarkEnd w:id="89"/>
    </w:p>
    <w:p w14:paraId="774DE1FF">
      <w:pPr>
        <w:ind w:firstLine="640"/>
        <w:rPr>
          <w:rFonts w:ascii="微软雅黑" w:hAnsi="微软雅黑" w:eastAsia="微软雅黑" w:cs="微软雅黑"/>
          <w:b w:val="0"/>
          <w:bCs/>
          <w:color w:val="000000" w:themeColor="text1"/>
          <w:szCs w:val="32"/>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本行</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在报告期内</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暂未</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获得绿色金融相关奖项。</w:t>
      </w:r>
      <w:r>
        <w:rPr>
          <w:rFonts w:hint="eastAsia" w:ascii="微软雅黑" w:hAnsi="微软雅黑" w:eastAsia="微软雅黑" w:cs="微软雅黑"/>
          <w:b w:val="0"/>
          <w:bCs/>
          <w:color w:val="000000" w:themeColor="text1"/>
          <w:szCs w:val="32"/>
          <w14:textFill>
            <w14:solidFill>
              <w14:schemeClr w14:val="tx1"/>
            </w14:solidFill>
          </w14:textFill>
        </w:rPr>
        <w:br w:type="page"/>
      </w:r>
    </w:p>
    <w:p w14:paraId="03D46A72">
      <w:pPr>
        <w:pStyle w:val="19"/>
        <w:keepNext w:val="0"/>
        <w:keepLines w:val="0"/>
        <w:pageBreakBefore w:val="0"/>
        <w:widowControl/>
        <w:numPr>
          <w:ilvl w:val="0"/>
          <w:numId w:val="0"/>
        </w:numPr>
        <w:tabs>
          <w:tab w:val="right" w:leader="dot" w:pos="9897"/>
        </w:tabs>
        <w:kinsoku/>
        <w:wordWrap/>
        <w:overflowPunct/>
        <w:topLinePunct w:val="0"/>
        <w:autoSpaceDE/>
        <w:autoSpaceDN/>
        <w:bidi w:val="0"/>
        <w:adjustRightInd w:val="0"/>
        <w:snapToGrid w:val="0"/>
        <w:spacing w:before="872" w:beforeLines="200" w:after="20" w:line="360" w:lineRule="auto"/>
        <w:ind w:left="0" w:leftChars="0" w:firstLine="0" w:firstLineChars="0"/>
        <w:jc w:val="center"/>
        <w:textAlignment w:val="auto"/>
        <w:outlineLvl w:val="0"/>
        <w:rPr>
          <w:rFonts w:hint="eastAsia" w:ascii="黑体" w:hAnsi="黑体" w:eastAsia="黑体" w:cs="黑体"/>
          <w:b w:val="0"/>
          <w:bCs/>
          <w:color w:val="000000" w:themeColor="text1"/>
          <w:kern w:val="2"/>
          <w:sz w:val="32"/>
          <w:szCs w:val="32"/>
          <w:lang w:val="en-US" w:eastAsia="zh-CN"/>
          <w14:textFill>
            <w14:solidFill>
              <w14:schemeClr w14:val="tx1"/>
            </w14:solidFill>
          </w14:textFill>
        </w:rPr>
      </w:pPr>
      <w:bookmarkStart w:id="90" w:name="_Toc6108"/>
      <w:r>
        <w:rPr>
          <w:rFonts w:hint="eastAsia" w:ascii="黑体" w:hAnsi="黑体" w:eastAsia="黑体" w:cs="黑体"/>
          <w:b w:val="0"/>
          <w:bCs/>
          <w:color w:val="000000" w:themeColor="text1"/>
          <w:kern w:val="2"/>
          <w:sz w:val="32"/>
          <w:szCs w:val="32"/>
          <w:lang w:val="en-US" w:eastAsia="zh-CN"/>
          <w14:textFill>
            <w14:solidFill>
              <w14:schemeClr w14:val="tx1"/>
            </w14:solidFill>
          </w14:textFill>
        </w:rPr>
        <w:t>第十章 数据质量管理</w:t>
      </w:r>
      <w:bookmarkEnd w:id="90"/>
    </w:p>
    <w:p w14:paraId="3EE32E6A">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lang w:val="en-US" w:eastAsia="zh-CN"/>
          <w14:textFill>
            <w14:solidFill>
              <w14:schemeClr w14:val="tx1"/>
            </w14:solidFill>
          </w14:textFill>
        </w:rPr>
      </w:pPr>
      <w:bookmarkStart w:id="91" w:name="_Toc16167"/>
      <w:r>
        <w:rPr>
          <w:rFonts w:hint="eastAsia" w:ascii="黑体" w:hAnsi="黑体" w:eastAsia="黑体" w:cs="黑体"/>
          <w:b w:val="0"/>
          <w:bCs/>
          <w:color w:val="000000" w:themeColor="text1"/>
          <w:sz w:val="28"/>
          <w:szCs w:val="28"/>
          <w:lang w:val="en-US" w:eastAsia="zh-CN"/>
          <w14:textFill>
            <w14:solidFill>
              <w14:schemeClr w14:val="tx1"/>
            </w14:solidFill>
          </w14:textFill>
        </w:rPr>
        <w:t>10.1 数据梳理、校验及保护</w:t>
      </w:r>
      <w:bookmarkEnd w:id="91"/>
    </w:p>
    <w:p w14:paraId="5086BBBF">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本行在金融碳核算和环境信息披露工作中制定了完善的数据收集、校验、管理流程，并有效保障了相关数据安全和数据主体权益。具体如下：</w:t>
      </w:r>
    </w:p>
    <w:p w14:paraId="0E1517AF">
      <w:pPr>
        <w:widowControl/>
        <w:kinsoku w:val="0"/>
        <w:autoSpaceDE w:val="0"/>
        <w:autoSpaceDN w:val="0"/>
        <w:adjustRightInd w:val="0"/>
        <w:snapToGrid w:val="0"/>
        <w:spacing w:before="156"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92" w:name="_Toc14272"/>
      <w:r>
        <w:rPr>
          <w:rFonts w:hint="eastAsia" w:ascii="黑体" w:hAnsi="黑体" w:eastAsia="黑体" w:cs="黑体"/>
          <w:b w:val="0"/>
          <w:bCs/>
          <w:color w:val="000000" w:themeColor="text1"/>
          <w:sz w:val="24"/>
          <w:szCs w:val="24"/>
          <w:lang w:val="en-US" w:eastAsia="zh-CN"/>
          <w14:textFill>
            <w14:solidFill>
              <w14:schemeClr w14:val="tx1"/>
            </w14:solidFill>
          </w14:textFill>
        </w:rPr>
        <w:t>10.1.1 数据收集</w:t>
      </w:r>
      <w:bookmarkEnd w:id="92"/>
    </w:p>
    <w:p w14:paraId="2D02F271">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1）制度保障：依据中国人民银行《绿色贷款专项统计制度》和《绿色债券支持项目目录（2021年版）》制定了本行绿色统计制度，详细规范绿色信贷和绿色债券的认定流程、标识指标及数据统计的具体方法，确保绿色资产数据收集的规范性和一致性。</w:t>
      </w:r>
    </w:p>
    <w:p w14:paraId="388C29BB">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组织保障：为保障金融碳核算和环境信息披露工作顺利开展，本行董事会办公室牵头成立了由多业务部门和子公司组成的专项工作组，专门负责本行金融碳核算（自身经营碳排放、投融资碳排放、绿色资产碳减排）和环境信息披露工作。</w:t>
      </w:r>
    </w:p>
    <w:p w14:paraId="1C786E07">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3）能力建设：为解决本行在金融碳核算和环境信息披露方面专业经验不足和专家团队薄弱难题，我们聘请了专业第三方咨询机构，辅导本行工作组设计了完整的可行性方案、工作计划、工作流程、操作手册、数据收集表和</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报告模板</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等文件，并采购和部署了本行金融碳核算系统数字化工具。</w:t>
      </w:r>
    </w:p>
    <w:p w14:paraId="6BE002BB">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 xml:space="preserve">基于以上制度、组织、能力保障，通过本行内部统计系统和外部客户数据收集，实现了环境信息披露所需数据的全面、准确和及时统计。  </w:t>
      </w:r>
    </w:p>
    <w:p w14:paraId="7DAB6430">
      <w:pPr>
        <w:widowControl/>
        <w:kinsoku w:val="0"/>
        <w:autoSpaceDE w:val="0"/>
        <w:autoSpaceDN w:val="0"/>
        <w:adjustRightInd w:val="0"/>
        <w:snapToGrid w:val="0"/>
        <w:spacing w:before="156"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93" w:name="_Toc17212"/>
      <w:r>
        <w:rPr>
          <w:rFonts w:hint="eastAsia" w:ascii="黑体" w:hAnsi="黑体" w:eastAsia="黑体" w:cs="黑体"/>
          <w:b w:val="0"/>
          <w:bCs/>
          <w:color w:val="000000" w:themeColor="text1"/>
          <w:sz w:val="24"/>
          <w:szCs w:val="24"/>
          <w:lang w:val="en-US" w:eastAsia="zh-CN"/>
          <w14:textFill>
            <w14:solidFill>
              <w14:schemeClr w14:val="tx1"/>
            </w14:solidFill>
          </w14:textFill>
        </w:rPr>
        <w:t>10.1.2 数据校验</w:t>
      </w:r>
      <w:bookmarkEnd w:id="93"/>
    </w:p>
    <w:p w14:paraId="1BDFA518">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本行建立了严格的数据校验流程，通过交叉核对、内部评审及外部审验多种方式对数据进行多维度校验，确保数据可追溯、可验证、可核查。</w:t>
      </w:r>
    </w:p>
    <w:p w14:paraId="39FEE757">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1</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所有原始数据收集和填报交叉核对机制，支行核对专员对客户经理收集和填报的《客户清单》、投融资碳排放、绿色资产碳减排初始数据逐个核对，总行核对专员对支行收集和填报的自身经营碳排放、投融资清单、碳减排清单，通过金融碳核算系统数据核验工具对数据进行自动化校验；</w:t>
      </w:r>
    </w:p>
    <w:p w14:paraId="443825DD">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本行专家依据评审规则和统计数据，对金融碳核算系统最终计算结果和各类碳报表进行内部评审；</w:t>
      </w:r>
    </w:p>
    <w:p w14:paraId="310B6961">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3</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第三方机构依据《金融机构碳核算技术指南（试行）》和《江苏省银行业金融机构环境信息披露指引》，参考行业内金融碳核算最佳实践经验做外部审验，对关键数据进行严格比对识别并纠正潜在偏差。</w:t>
      </w:r>
    </w:p>
    <w:p w14:paraId="085D6A92">
      <w:pPr>
        <w:widowControl/>
        <w:kinsoku w:val="0"/>
        <w:autoSpaceDE w:val="0"/>
        <w:autoSpaceDN w:val="0"/>
        <w:adjustRightInd w:val="0"/>
        <w:snapToGrid w:val="0"/>
        <w:spacing w:before="156"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94" w:name="_Toc16099"/>
      <w:r>
        <w:rPr>
          <w:rFonts w:hint="eastAsia" w:ascii="黑体" w:hAnsi="黑体" w:eastAsia="黑体" w:cs="黑体"/>
          <w:b w:val="0"/>
          <w:bCs/>
          <w:color w:val="000000" w:themeColor="text1"/>
          <w:sz w:val="24"/>
          <w:szCs w:val="24"/>
          <w:lang w:val="en-US" w:eastAsia="zh-CN"/>
          <w14:textFill>
            <w14:solidFill>
              <w14:schemeClr w14:val="tx1"/>
            </w14:solidFill>
          </w14:textFill>
        </w:rPr>
        <w:t>10.1.3 数据安全</w:t>
      </w:r>
      <w:bookmarkEnd w:id="94"/>
    </w:p>
    <w:p w14:paraId="7D98E61B">
      <w:pPr>
        <w:widowControl/>
        <w:numPr>
          <w:ilvl w:val="0"/>
          <w:numId w:val="0"/>
        </w:numPr>
        <w:kinsoku w:val="0"/>
        <w:autoSpaceDE w:val="0"/>
        <w:autoSpaceDN w:val="0"/>
        <w:adjustRightInd w:val="0"/>
        <w:snapToGrid w:val="0"/>
        <w:spacing w:before="156" w:beforeLines="50" w:line="240" w:lineRule="auto"/>
        <w:ind w:firstLine="504" w:firstLineChars="200"/>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1</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安全体系：本行建立了完善的信息安全管理体系，从体系上确保金融碳核算和环境信息披露数据在收集、处理、存储及传输过程中的安全性。</w:t>
      </w:r>
    </w:p>
    <w:p w14:paraId="08E23454">
      <w:pPr>
        <w:widowControl/>
        <w:numPr>
          <w:ilvl w:val="0"/>
          <w:numId w:val="0"/>
        </w:numPr>
        <w:kinsoku w:val="0"/>
        <w:autoSpaceDE w:val="0"/>
        <w:autoSpaceDN w:val="0"/>
        <w:adjustRightInd w:val="0"/>
        <w:snapToGrid w:val="0"/>
        <w:spacing w:before="156" w:beforeLines="50" w:line="240" w:lineRule="auto"/>
        <w:ind w:firstLine="504" w:firstLineChars="200"/>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访问控制：实施严格的数据访问控制策略，仅授权相关人员访问相关数据，防止环境信息披露数据泄露。</w:t>
      </w:r>
    </w:p>
    <w:p w14:paraId="34327277">
      <w:pPr>
        <w:widowControl/>
        <w:numPr>
          <w:ilvl w:val="0"/>
          <w:numId w:val="0"/>
        </w:numPr>
        <w:kinsoku w:val="0"/>
        <w:autoSpaceDE w:val="0"/>
        <w:autoSpaceDN w:val="0"/>
        <w:adjustRightInd w:val="0"/>
        <w:snapToGrid w:val="0"/>
        <w:spacing w:before="156" w:beforeLines="50" w:line="240" w:lineRule="auto"/>
        <w:ind w:firstLine="504" w:firstLineChars="200"/>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3</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加密技术：对敏感数据采用加密技术处理，确保环境信息披露数据在存储和传输过程中的保密性。</w:t>
      </w:r>
    </w:p>
    <w:p w14:paraId="50F9F454">
      <w:pPr>
        <w:widowControl/>
        <w:numPr>
          <w:ilvl w:val="0"/>
          <w:numId w:val="0"/>
        </w:numPr>
        <w:kinsoku w:val="0"/>
        <w:autoSpaceDE w:val="0"/>
        <w:autoSpaceDN w:val="0"/>
        <w:adjustRightInd w:val="0"/>
        <w:snapToGrid w:val="0"/>
        <w:spacing w:before="156" w:beforeLines="50" w:line="240" w:lineRule="auto"/>
        <w:ind w:firstLine="504" w:firstLineChars="200"/>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4</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备份恢复：建立数据备份与恢复机制，定期对环境数据进行备份，防止数据丢失或损坏，确保数据的完整性和可用性。</w:t>
      </w:r>
    </w:p>
    <w:p w14:paraId="6223BEF6">
      <w:pPr>
        <w:widowControl/>
        <w:kinsoku w:val="0"/>
        <w:autoSpaceDE w:val="0"/>
        <w:autoSpaceDN w:val="0"/>
        <w:adjustRightInd w:val="0"/>
        <w:snapToGrid w:val="0"/>
        <w:spacing w:before="156"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95" w:name="_Toc14283"/>
      <w:r>
        <w:rPr>
          <w:rFonts w:hint="eastAsia" w:ascii="黑体" w:hAnsi="黑体" w:eastAsia="黑体" w:cs="黑体"/>
          <w:b w:val="0"/>
          <w:bCs/>
          <w:color w:val="000000" w:themeColor="text1"/>
          <w:sz w:val="24"/>
          <w:szCs w:val="24"/>
          <w:lang w:val="en-US" w:eastAsia="zh-CN"/>
          <w14:textFill>
            <w14:solidFill>
              <w14:schemeClr w14:val="tx1"/>
            </w14:solidFill>
          </w14:textFill>
        </w:rPr>
        <w:t>10.1.4 数据主体权益</w:t>
      </w:r>
      <w:bookmarkEnd w:id="95"/>
    </w:p>
    <w:p w14:paraId="71495F03">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1）同意授权方面：在收集企业经营数据和环境信息时，确保获得数据主体的书面同意和数据授权。</w:t>
      </w:r>
    </w:p>
    <w:p w14:paraId="1C19C1A4">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2）最小化方面：遵循收集数据最小化原则避免过度收集，仅收集编制环境信息披露报告的必需数据。</w:t>
      </w:r>
    </w:p>
    <w:p w14:paraId="585A6A6E">
      <w:pPr>
        <w:widowControl/>
        <w:kinsoku w:val="0"/>
        <w:autoSpaceDE w:val="0"/>
        <w:autoSpaceDN w:val="0"/>
        <w:adjustRightInd w:val="0"/>
        <w:snapToGrid w:val="0"/>
        <w:spacing w:before="156" w:beforeLines="50" w:line="240" w:lineRule="auto"/>
        <w:ind w:firstLine="513"/>
        <w:textAlignment w:val="baseline"/>
        <w:rPr>
          <w:rFonts w:hint="eastAsia"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3）知情权方面：明确告知数据主体其数据将被如何使用和安全保护措施，保障数据主体充分知情。</w:t>
      </w:r>
    </w:p>
    <w:p w14:paraId="57DC0723">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b w:val="0"/>
          <w:bCs/>
          <w:sz w:val="24"/>
          <w:szCs w:val="24"/>
        </w:rPr>
      </w:pPr>
    </w:p>
    <w:p w14:paraId="2937C932">
      <w:pPr>
        <w:widowControl/>
        <w:kinsoku w:val="0"/>
        <w:autoSpaceDE w:val="0"/>
        <w:autoSpaceDN w:val="0"/>
        <w:adjustRightInd w:val="0"/>
        <w:snapToGrid w:val="0"/>
        <w:spacing w:before="217" w:beforeLines="50" w:line="240" w:lineRule="auto"/>
        <w:ind w:firstLine="0" w:firstLineChars="0"/>
        <w:textAlignment w:val="baseline"/>
        <w:outlineLvl w:val="0"/>
        <w:rPr>
          <w:rFonts w:hint="eastAsia" w:ascii="黑体" w:hAnsi="黑体" w:eastAsia="黑体" w:cs="黑体"/>
          <w:b w:val="0"/>
          <w:bCs/>
          <w:color w:val="000000" w:themeColor="text1"/>
          <w:sz w:val="28"/>
          <w:szCs w:val="28"/>
          <w:lang w:val="en-US" w:eastAsia="zh-CN"/>
          <w14:textFill>
            <w14:solidFill>
              <w14:schemeClr w14:val="tx1"/>
            </w14:solidFill>
          </w14:textFill>
        </w:rPr>
      </w:pPr>
      <w:bookmarkStart w:id="96" w:name="_Toc156994200"/>
      <w:bookmarkStart w:id="97" w:name="_Toc30444"/>
      <w:r>
        <w:rPr>
          <w:rFonts w:hint="eastAsia" w:ascii="黑体" w:hAnsi="黑体" w:eastAsia="黑体" w:cs="黑体"/>
          <w:b w:val="0"/>
          <w:bCs/>
          <w:color w:val="000000" w:themeColor="text1"/>
          <w:sz w:val="28"/>
          <w:szCs w:val="28"/>
          <w:lang w:val="en-US" w:eastAsia="zh-CN"/>
          <w14:textFill>
            <w14:solidFill>
              <w14:schemeClr w14:val="tx1"/>
            </w14:solidFill>
          </w14:textFill>
        </w:rPr>
        <w:t>10.2 碳排放</w:t>
      </w:r>
      <w:bookmarkEnd w:id="96"/>
      <w:r>
        <w:rPr>
          <w:rFonts w:hint="eastAsia" w:ascii="黑体" w:hAnsi="黑体" w:eastAsia="黑体" w:cs="黑体"/>
          <w:b w:val="0"/>
          <w:bCs/>
          <w:color w:val="000000" w:themeColor="text1"/>
          <w:sz w:val="28"/>
          <w:szCs w:val="28"/>
          <w:lang w:val="en-US" w:eastAsia="zh-CN"/>
          <w14:textFill>
            <w14:solidFill>
              <w14:schemeClr w14:val="tx1"/>
            </w14:solidFill>
          </w14:textFill>
        </w:rPr>
        <w:t>数据质量管理</w:t>
      </w:r>
      <w:bookmarkEnd w:id="97"/>
    </w:p>
    <w:p w14:paraId="570EC7D9">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本行在金融碳核算和环境信息披露工作中采用的核算原则、统计口径、测算方法均符合《江苏省银行业金融机构环境信息披露指引</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试行</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》（以下简称《指引》）政策标准，并采取了一系列数据质量保障措施，具体如下：</w:t>
      </w:r>
    </w:p>
    <w:p w14:paraId="4F56DF61">
      <w:pPr>
        <w:widowControl/>
        <w:kinsoku w:val="0"/>
        <w:autoSpaceDE w:val="0"/>
        <w:autoSpaceDN w:val="0"/>
        <w:adjustRightInd w:val="0"/>
        <w:snapToGrid w:val="0"/>
        <w:spacing w:before="156"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98" w:name="_Toc13227"/>
      <w:r>
        <w:rPr>
          <w:rFonts w:hint="eastAsia" w:ascii="黑体" w:hAnsi="黑体" w:eastAsia="黑体" w:cs="黑体"/>
          <w:b w:val="0"/>
          <w:bCs/>
          <w:color w:val="000000" w:themeColor="text1"/>
          <w:sz w:val="24"/>
          <w:szCs w:val="24"/>
          <w:lang w:val="en-US" w:eastAsia="zh-CN"/>
          <w14:textFill>
            <w14:solidFill>
              <w14:schemeClr w14:val="tx1"/>
            </w14:solidFill>
          </w14:textFill>
        </w:rPr>
        <w:t>10.2.1 遵循原则</w:t>
      </w:r>
      <w:bookmarkEnd w:id="98"/>
    </w:p>
    <w:p w14:paraId="08D8CE24">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1）真实性原则。本行已客观、准确、完整地向监管部门和利益相关各方披露环境相关信息，引用的数据、资料均注明来源，并对要求披露但无法准确披露的信息已作出解释说明。</w:t>
      </w:r>
    </w:p>
    <w:p w14:paraId="019E6802">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2）及时性原则。本行碳排放核算与信息披露工作已于202</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5</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年0</w:t>
      </w: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7</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月完成，环境信息披露报告定量数据和定性内容信息完整，</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截至报告期</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本行和本行的关联机构未发生对社会公众利益有重大影响的环境事件。</w:t>
      </w:r>
    </w:p>
    <w:p w14:paraId="4E375D36">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3）一致性原则。本行环境信息披露工作，碳排放核算与信息披露的测算口径和方法严格与《指引》保持一致。</w:t>
      </w:r>
    </w:p>
    <w:p w14:paraId="7ECEF5CE">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4）连贯性原则。本行从首个环境信息披露报告年度开始，将在环境信息披露的统计核算标准、边界、方法和内容方面始终保持连贯性，如因某些原因发生改变的情况，将在报告中详细说明。</w:t>
      </w:r>
    </w:p>
    <w:p w14:paraId="2F4F800F">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5）依法性原则。本行承诺环境信息披露内容合法合规，披露渠道符合政策标准，无虚假记载、误导性陈述或重大遗漏。</w:t>
      </w:r>
    </w:p>
    <w:p w14:paraId="7E97814A">
      <w:pPr>
        <w:widowControl/>
        <w:kinsoku w:val="0"/>
        <w:autoSpaceDE w:val="0"/>
        <w:autoSpaceDN w:val="0"/>
        <w:adjustRightInd w:val="0"/>
        <w:snapToGrid w:val="0"/>
        <w:spacing w:before="156"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99" w:name="_Toc26617"/>
      <w:r>
        <w:rPr>
          <w:rFonts w:hint="eastAsia" w:ascii="黑体" w:hAnsi="黑体" w:eastAsia="黑体" w:cs="黑体"/>
          <w:b w:val="0"/>
          <w:bCs/>
          <w:color w:val="000000" w:themeColor="text1"/>
          <w:sz w:val="24"/>
          <w:szCs w:val="24"/>
          <w:lang w:val="en-US" w:eastAsia="zh-CN"/>
          <w14:textFill>
            <w14:solidFill>
              <w14:schemeClr w14:val="tx1"/>
            </w14:solidFill>
          </w14:textFill>
        </w:rPr>
        <w:t>10.2.2 统计口径</w:t>
      </w:r>
      <w:bookmarkEnd w:id="99"/>
    </w:p>
    <w:p w14:paraId="031916D3">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1）自身经营的碳排放信息：范围1经营活动直接碳排放，包括本行自有交通运输工具和采暖</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制冷</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设备直接能源消耗产生的碳排放等；范围2经营活动间接碳排放，包括本行营业、办公所外购的电力和热力服务间接能源消耗产生的碳排放等；范围3经营活动价值链碳排放，包括购买商品与服务、上游运输和配送、运营中产生的废物，差旅、员工通勤等机构经营活动价值链上游产生的碳排放。</w:t>
      </w:r>
    </w:p>
    <w:p w14:paraId="098B5435">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投融资活动的碳排放信息：项目融资将正式运营超过30天的融资项目全部纳入碳排放统计核算披露范围。非项目融资纳入报告期期末贷款余额大于零的制造业企业和报告期期末贷款余额在500万元及以上的非制造业企业。</w:t>
      </w:r>
    </w:p>
    <w:p w14:paraId="106EE0F3">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3）绿色资产的碳减排信息：纳入绿色信贷（项目业务）的碳减排信息和报告期期末持有的绿色债券的碳减排信息这两类。绿色信贷（非项目业务）鉴于目前缺乏有效的企业碳减排核算方法，本次不单独核算披露绿色信贷（非项目业务）的碳减排信息。</w:t>
      </w:r>
    </w:p>
    <w:p w14:paraId="6A14D659">
      <w:pPr>
        <w:widowControl/>
        <w:kinsoku w:val="0"/>
        <w:autoSpaceDE w:val="0"/>
        <w:autoSpaceDN w:val="0"/>
        <w:adjustRightInd w:val="0"/>
        <w:snapToGrid w:val="0"/>
        <w:spacing w:before="156"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100" w:name="_Toc16541"/>
      <w:r>
        <w:rPr>
          <w:rFonts w:hint="eastAsia" w:ascii="黑体" w:hAnsi="黑体" w:eastAsia="黑体" w:cs="黑体"/>
          <w:b w:val="0"/>
          <w:bCs/>
          <w:color w:val="000000" w:themeColor="text1"/>
          <w:sz w:val="24"/>
          <w:szCs w:val="24"/>
          <w:lang w:val="en-US" w:eastAsia="zh-CN"/>
          <w14:textFill>
            <w14:solidFill>
              <w14:schemeClr w14:val="tx1"/>
            </w14:solidFill>
          </w14:textFill>
        </w:rPr>
        <w:t>10.2.3 测算方法</w:t>
      </w:r>
      <w:bookmarkEnd w:id="100"/>
    </w:p>
    <w:p w14:paraId="4055A212">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本行部署了经国际权威机构认证的金融碳核算系统，本次金融碳核算工作流程严格按照中国人民银行发布的《金融机构碳核算技术指南</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试行</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》和温室气体排放核算相关国家标准及指南确定核算边界与方法，识别排放源，收集活动水平数据，选择或测算排放因子，计算与汇总自身经营碳排放量、投融资碳排放量或碳减排量。</w:t>
      </w:r>
    </w:p>
    <w:p w14:paraId="5F8F40B6">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1）自身经营的碳排放测算方法：本行自身经营范围1直接碳排放和范围2间接碳排放，测算方法采用《公共建筑运营单位（企业）温室气体排放核算方法和报告指南（试行）》，活动水平通过实际监测获得实景数据，关键的电力排放因子采用生态环境部、国家统计局最新公布的电力二氧化碳排放因子。本行自身经营范围3价值链碳排放测算方法采用国际通行的温室气体核算体系（</w:t>
      </w:r>
      <w:r>
        <w:rPr>
          <w:rFonts w:ascii="仿宋" w:hAnsi="仿宋" w:eastAsia="仿宋" w:cs="仿宋"/>
          <w:b w:val="0"/>
          <w:bCs/>
          <w:snapToGrid w:val="0"/>
          <w:color w:val="000000" w:themeColor="text1"/>
          <w:spacing w:val="6"/>
          <w:kern w:val="0"/>
          <w:sz w:val="24"/>
          <w:szCs w:val="24"/>
          <w14:textFill>
            <w14:solidFill>
              <w14:schemeClr w14:val="tx1"/>
            </w14:solidFill>
          </w14:textFill>
        </w:rPr>
        <w:t>GHG Protocol</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）《企业价值链</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范围3</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核算与报告标准》，活动水平包括购买商品与服务、上游运输和配送、运营中产生的废物，差旅、员工通勤数据通过实际监测和合理估算获取，价值链排放因子采用《中国产品全生命周期温室气体排放系数集（2022）》。本行总行、分行、支行均单独核算自身经营碳排放，生成独立《碳排放报告》，并且报告生成后活动水平数据被锁定不可篡改，确保数据可追溯、可验证、可核查。</w:t>
      </w:r>
    </w:p>
    <w:p w14:paraId="04F9E2E8">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投融资活动的碳排放测算方法：本行投融资碳排放测算按项目融资、非项目融资和债券投资分别计算每一个融资主体报告期碳排放（范围1+2），再通过归因因子折算本行投融资对应份额，然后分别汇总。投融资主体如已有《碳核查报告</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碳排放报告》或项目可研报告、环评报告、节能报告碳排放数据的，直接采用该碳排放数据计算；如无直接碳排放数据来源，则测算方法采用国家市场监督管理总局12个行业温室气体排放核算国家标准和国家发改委24个行业温室气体排放核算方法与报告指南，范围1+2活动水平通过企业客户实际监测获得实景数据，化石燃料排放因子采用生态环境部最新公布的常用化石燃料相关参数缺省值和工业过程排放因子缺省值，电力排放因子采用生态环境部、国家统计局最新公布的电力二氧化碳排放因子。每家投融资企业和项目均单独核算碳排放，生成独立《碳排放报告》，并且报告生成后活动水平锁定不可篡改，确保数据可追溯、可验证、可核查。</w:t>
      </w:r>
    </w:p>
    <w:p w14:paraId="2589BCF9">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3）绿色资产的碳减排测算方法：先收集每一个绿色项目和绿色债券报告期碳减排数据，再通过归因因子折算本行绿色资产对应份额，然后分别汇总。绿色项目和绿色债券类型属于相关主管部门及各级政府确定的重点用能单位、重点排放单位及纳入碳排放交易的单位的，本行收集《项目碳减排报告》或可研报告、环评报告、节能报告中数据，并按照评估报告的结果汇总计算其碳减排数据。对于其他类型，本行要求融资主体提供符合相关标准、技术指南及方法学等要求的碳减排评估数据。</w:t>
      </w:r>
    </w:p>
    <w:p w14:paraId="15A8CB71">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4）归因因子测算方法：项目业务归因因子，本行根据对项目的投资额（报告期）与项目总投资（报告期）的比例分摊折算项目融资业务对应的碳排放量和碳减排量。非项目业务和债券投资归因因子，依据对融资主体的融资额（报告期）与融资主体主营业务收入（报告期）的比例分摊折算对应的碳排放量和碳减排量。</w:t>
      </w:r>
    </w:p>
    <w:p w14:paraId="7F2CAB2B">
      <w:pPr>
        <w:widowControl/>
        <w:kinsoku w:val="0"/>
        <w:autoSpaceDE w:val="0"/>
        <w:autoSpaceDN w:val="0"/>
        <w:adjustRightInd w:val="0"/>
        <w:snapToGrid w:val="0"/>
        <w:spacing w:before="156" w:beforeLines="50" w:line="240" w:lineRule="auto"/>
        <w:ind w:firstLine="480" w:firstLineChars="200"/>
        <w:textAlignment w:val="baseline"/>
        <w:outlineLvl w:val="1"/>
        <w:rPr>
          <w:rFonts w:hint="eastAsia" w:ascii="黑体" w:hAnsi="黑体" w:eastAsia="黑体" w:cs="黑体"/>
          <w:b w:val="0"/>
          <w:bCs/>
          <w:color w:val="000000" w:themeColor="text1"/>
          <w:sz w:val="24"/>
          <w:szCs w:val="24"/>
          <w:lang w:val="en-US" w:eastAsia="zh-CN"/>
          <w14:textFill>
            <w14:solidFill>
              <w14:schemeClr w14:val="tx1"/>
            </w14:solidFill>
          </w14:textFill>
        </w:rPr>
      </w:pPr>
      <w:bookmarkStart w:id="101" w:name="_Toc30330"/>
      <w:r>
        <w:rPr>
          <w:rFonts w:hint="eastAsia" w:ascii="黑体" w:hAnsi="黑体" w:eastAsia="黑体" w:cs="黑体"/>
          <w:b w:val="0"/>
          <w:bCs/>
          <w:color w:val="000000" w:themeColor="text1"/>
          <w:sz w:val="24"/>
          <w:szCs w:val="24"/>
          <w:lang w:val="en-US" w:eastAsia="zh-CN"/>
          <w14:textFill>
            <w14:solidFill>
              <w14:schemeClr w14:val="tx1"/>
            </w14:solidFill>
          </w14:textFill>
        </w:rPr>
        <w:t>10.2.4 数据质量保障措施</w:t>
      </w:r>
      <w:bookmarkEnd w:id="101"/>
    </w:p>
    <w:p w14:paraId="2C12B15B">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1）环境相关数据质量的梳理和校验：定期进行数据质量评估，包括完整性、准确性、一致性和时效性；使用自动化工具进行数据清洗和校验，减少人工错误；建立数据质量标准，并确保所有收集和处理的数据都符合标准。</w:t>
      </w:r>
    </w:p>
    <w:p w14:paraId="1ECD1319">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2）提升基础数据质量：对数据来源进行严格的审核，确保数据的可靠性和准确性；开展数据质量培训，</w:t>
      </w: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增强</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员工的数据意识和处理能力；实施数据治理策略，确保数据的规范管理和使用。</w:t>
      </w:r>
    </w:p>
    <w:p w14:paraId="5CB1FF42">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3）保证数据披露的及时性、准确性：建立数据更新和披露的定时机制，确保信息的时效性；在披露前对数据进行严格的审核和校验，确保准确性；使用先进的技术手段，如实时数据处理和可视化工具，提高信息披露的效率和质量。</w:t>
      </w:r>
    </w:p>
    <w:p w14:paraId="284D384B">
      <w:pPr>
        <w:widowControl/>
        <w:kinsoku w:val="0"/>
        <w:autoSpaceDE w:val="0"/>
        <w:autoSpaceDN w:val="0"/>
        <w:adjustRightInd w:val="0"/>
        <w:snapToGrid w:val="0"/>
        <w:spacing w:before="156" w:beforeLines="50" w:line="240" w:lineRule="auto"/>
        <w:ind w:firstLine="513"/>
        <w:textAlignment w:val="baseline"/>
        <w:rPr>
          <w:rFonts w:ascii="仿宋" w:hAnsi="仿宋" w:eastAsia="仿宋" w:cs="仿宋"/>
          <w:b w:val="0"/>
          <w:bCs/>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4）建立应急预案：针对可能的数据安全事件或事故，制定详细的应急预案；定期进行应急演练，提高员工对数据安全事件的应对能力；与相关的法律、技术和业务团队建立紧密的协作机制，确保在数据安全事件发生时能够迅速、有效地应对。</w:t>
      </w:r>
    </w:p>
    <w:p w14:paraId="1A813688">
      <w:pPr>
        <w:ind w:firstLine="640"/>
        <w:rPr>
          <w:b w:val="0"/>
          <w:bCs/>
        </w:rPr>
      </w:pPr>
    </w:p>
    <w:p w14:paraId="2B99C760">
      <w:pPr>
        <w:ind w:firstLine="640"/>
        <w:rPr>
          <w:b w:val="0"/>
          <w:bCs/>
        </w:rPr>
      </w:pPr>
    </w:p>
    <w:sectPr>
      <w:headerReference r:id="rId25" w:type="first"/>
      <w:headerReference r:id="rId23" w:type="default"/>
      <w:headerReference r:id="rId24" w:type="even"/>
      <w:pgSz w:w="11906" w:h="16838"/>
      <w:pgMar w:top="998" w:right="998" w:bottom="1451" w:left="133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swiss"/>
    <w:pitch w:val="default"/>
    <w:sig w:usb0="80000287" w:usb1="2ACF3C50" w:usb2="00000016" w:usb3="00000000" w:csb0="0004001F" w:csb1="00000000"/>
  </w:font>
  <w:font w:name="方正黑体_GBK">
    <w:altName w:val="微软雅黑"/>
    <w:panose1 w:val="020B0604020202020204"/>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Calibri Light">
    <w:panose1 w:val="020F0302020204030204"/>
    <w:charset w:val="00"/>
    <w:family w:val="swiss"/>
    <w:pitch w:val="default"/>
    <w:sig w:usb0="E4002EFF" w:usb1="C200247B" w:usb2="00000009" w:usb3="00000000" w:csb0="200001FF" w:csb1="00000000"/>
  </w:font>
  <w:font w:name="Arial Unicode MS">
    <w:altName w:val="Arial"/>
    <w:panose1 w:val="020B0604020202020204"/>
    <w:charset w:val="80"/>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6"/>
      </w:rPr>
      <w:id w:val="1330793077"/>
      <w:docPartObj>
        <w:docPartGallery w:val="autotext"/>
      </w:docPartObj>
    </w:sdtPr>
    <w:sdtEndPr>
      <w:rPr>
        <w:rStyle w:val="26"/>
      </w:rPr>
    </w:sdtEndPr>
    <w:sdtContent>
      <w:p w14:paraId="15783803">
        <w:pPr>
          <w:pStyle w:val="15"/>
          <w:framePr w:wrap="auto" w:vAnchor="text" w:hAnchor="margin" w:xAlign="center" w:y="1"/>
          <w:ind w:firstLine="360"/>
          <w:rPr>
            <w:rStyle w:val="26"/>
          </w:rPr>
        </w:pPr>
        <w:r>
          <w:rPr>
            <w:rStyle w:val="26"/>
          </w:rPr>
          <w:fldChar w:fldCharType="begin"/>
        </w:r>
        <w:r>
          <w:rPr>
            <w:rStyle w:val="26"/>
          </w:rPr>
          <w:instrText xml:space="preserve"> PAGE </w:instrText>
        </w:r>
        <w:r>
          <w:rPr>
            <w:rStyle w:val="26"/>
          </w:rPr>
          <w:fldChar w:fldCharType="separate"/>
        </w:r>
        <w:r>
          <w:rPr>
            <w:rStyle w:val="26"/>
          </w:rPr>
          <w:t>1</w:t>
        </w:r>
        <w:r>
          <w:rPr>
            <w:rStyle w:val="26"/>
          </w:rPr>
          <w:fldChar w:fldCharType="end"/>
        </w:r>
      </w:p>
    </w:sdtContent>
  </w:sdt>
  <w:p w14:paraId="27594677">
    <w:pPr>
      <w:pStyle w:val="15"/>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B26417">
    <w:pPr>
      <w:pStyle w:val="1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B44CB">
    <w:pPr>
      <w:pStyle w:val="1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2C440">
    <w:pPr>
      <w:pStyle w:val="15"/>
      <w:ind w:firstLine="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6"/>
      </w:rPr>
      <w:id w:val="673328606"/>
      <w:docPartObj>
        <w:docPartGallery w:val="autotext"/>
      </w:docPartObj>
    </w:sdtPr>
    <w:sdtEndPr>
      <w:rPr>
        <w:rStyle w:val="26"/>
      </w:rPr>
    </w:sdtEndPr>
    <w:sdtContent>
      <w:p w14:paraId="2F07EB79">
        <w:pPr>
          <w:pStyle w:val="15"/>
          <w:framePr w:wrap="auto" w:vAnchor="text" w:hAnchor="margin" w:xAlign="center" w:y="1"/>
          <w:ind w:firstLine="360"/>
          <w:rPr>
            <w:rStyle w:val="26"/>
          </w:rPr>
        </w:pPr>
        <w:r>
          <w:rPr>
            <w:rStyle w:val="26"/>
          </w:rPr>
          <w:fldChar w:fldCharType="begin"/>
        </w:r>
        <w:r>
          <w:rPr>
            <w:rStyle w:val="26"/>
          </w:rPr>
          <w:instrText xml:space="preserve"> PAGE </w:instrText>
        </w:r>
        <w:r>
          <w:rPr>
            <w:rStyle w:val="26"/>
          </w:rPr>
          <w:fldChar w:fldCharType="end"/>
        </w:r>
      </w:p>
    </w:sdtContent>
  </w:sdt>
  <w:sdt>
    <w:sdtPr>
      <w:rPr>
        <w:rStyle w:val="26"/>
      </w:rPr>
      <w:id w:val="470790979"/>
      <w:docPartObj>
        <w:docPartGallery w:val="autotext"/>
      </w:docPartObj>
    </w:sdtPr>
    <w:sdtEndPr>
      <w:rPr>
        <w:rStyle w:val="26"/>
      </w:rPr>
    </w:sdtEndPr>
    <w:sdtContent>
      <w:p w14:paraId="0E775E51">
        <w:pPr>
          <w:pStyle w:val="15"/>
          <w:framePr w:wrap="auto" w:vAnchor="text" w:hAnchor="margin" w:xAlign="right" w:y="1"/>
          <w:ind w:firstLine="360"/>
          <w:rPr>
            <w:rStyle w:val="26"/>
          </w:rPr>
        </w:pPr>
        <w:r>
          <w:rPr>
            <w:rStyle w:val="26"/>
          </w:rPr>
          <w:fldChar w:fldCharType="begin"/>
        </w:r>
        <w:r>
          <w:rPr>
            <w:rStyle w:val="26"/>
          </w:rPr>
          <w:instrText xml:space="preserve"> PAGE </w:instrText>
        </w:r>
        <w:r>
          <w:rPr>
            <w:rStyle w:val="26"/>
          </w:rPr>
          <w:fldChar w:fldCharType="end"/>
        </w:r>
      </w:p>
    </w:sdtContent>
  </w:sdt>
  <w:sdt>
    <w:sdtPr>
      <w:rPr>
        <w:rStyle w:val="26"/>
      </w:rPr>
      <w:id w:val="188039930"/>
      <w:docPartObj>
        <w:docPartGallery w:val="autotext"/>
      </w:docPartObj>
    </w:sdtPr>
    <w:sdtEndPr>
      <w:rPr>
        <w:rStyle w:val="26"/>
      </w:rPr>
    </w:sdtEndPr>
    <w:sdtContent>
      <w:p w14:paraId="65150201">
        <w:pPr>
          <w:pStyle w:val="15"/>
          <w:framePr w:wrap="auto" w:vAnchor="text" w:hAnchor="margin" w:xAlign="center" w:y="1"/>
          <w:ind w:right="360" w:firstLine="360"/>
          <w:rPr>
            <w:rStyle w:val="26"/>
          </w:rPr>
        </w:pPr>
        <w:r>
          <w:rPr>
            <w:rStyle w:val="26"/>
          </w:rPr>
          <w:fldChar w:fldCharType="begin"/>
        </w:r>
        <w:r>
          <w:rPr>
            <w:rStyle w:val="26"/>
          </w:rPr>
          <w:instrText xml:space="preserve"> PAGE </w:instrText>
        </w:r>
        <w:r>
          <w:rPr>
            <w:rStyle w:val="26"/>
          </w:rPr>
          <w:fldChar w:fldCharType="end"/>
        </w:r>
      </w:p>
    </w:sdtContent>
  </w:sdt>
  <w:sdt>
    <w:sdtPr>
      <w:rPr>
        <w:rStyle w:val="26"/>
      </w:rPr>
      <w:id w:val="1047030819"/>
      <w:docPartObj>
        <w:docPartGallery w:val="autotext"/>
      </w:docPartObj>
    </w:sdtPr>
    <w:sdtEndPr>
      <w:rPr>
        <w:rStyle w:val="26"/>
      </w:rPr>
    </w:sdtEndPr>
    <w:sdtContent>
      <w:p w14:paraId="43472341">
        <w:pPr>
          <w:pStyle w:val="15"/>
          <w:framePr w:wrap="auto" w:vAnchor="text" w:hAnchor="margin" w:xAlign="center" w:y="1"/>
          <w:ind w:firstLine="360"/>
          <w:rPr>
            <w:rStyle w:val="26"/>
          </w:rPr>
        </w:pPr>
        <w:r>
          <w:rPr>
            <w:rStyle w:val="26"/>
          </w:rPr>
          <w:fldChar w:fldCharType="begin"/>
        </w:r>
        <w:r>
          <w:rPr>
            <w:rStyle w:val="26"/>
          </w:rPr>
          <w:instrText xml:space="preserve"> PAGE </w:instrText>
        </w:r>
        <w:r>
          <w:rPr>
            <w:rStyle w:val="26"/>
          </w:rPr>
          <w:fldChar w:fldCharType="end"/>
        </w:r>
      </w:p>
    </w:sdtContent>
  </w:sdt>
  <w:p w14:paraId="425B3215">
    <w:pPr>
      <w:pStyle w:val="15"/>
      <w:ind w:right="-58" w:firstLine="0" w:firstLineChars="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5A193">
    <w:pPr>
      <w:pStyle w:val="15"/>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6"/>
      </w:rPr>
      <w:id w:val="1661424410"/>
      <w:docPartObj>
        <w:docPartGallery w:val="autotext"/>
      </w:docPartObj>
    </w:sdtPr>
    <w:sdtEndPr>
      <w:rPr>
        <w:rStyle w:val="26"/>
      </w:rPr>
    </w:sdtEndPr>
    <w:sdtContent>
      <w:p w14:paraId="48442A33">
        <w:pPr>
          <w:pStyle w:val="15"/>
          <w:framePr w:wrap="auto" w:vAnchor="text" w:hAnchor="margin" w:xAlign="center" w:y="1"/>
          <w:ind w:firstLine="360"/>
          <w:rPr>
            <w:rStyle w:val="26"/>
          </w:rPr>
        </w:pPr>
        <w:r>
          <w:rPr>
            <w:rStyle w:val="26"/>
          </w:rPr>
          <w:fldChar w:fldCharType="begin"/>
        </w:r>
        <w:r>
          <w:rPr>
            <w:rStyle w:val="26"/>
          </w:rPr>
          <w:instrText xml:space="preserve"> PAGE </w:instrText>
        </w:r>
        <w:r>
          <w:rPr>
            <w:rStyle w:val="26"/>
          </w:rPr>
          <w:fldChar w:fldCharType="separate"/>
        </w:r>
        <w:r>
          <w:rPr>
            <w:rStyle w:val="26"/>
          </w:rPr>
          <w:t>1</w:t>
        </w:r>
        <w:r>
          <w:rPr>
            <w:rStyle w:val="26"/>
          </w:rPr>
          <w:fldChar w:fldCharType="end"/>
        </w:r>
      </w:p>
    </w:sdtContent>
  </w:sdt>
  <w:p w14:paraId="127F1121">
    <w:pPr>
      <w:pStyle w:val="15"/>
      <w:ind w:firstLine="360"/>
      <w:rPr>
        <w:rFonts w:hint="eastAsi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6"/>
      </w:rPr>
      <w:id w:val="19616238"/>
      <w:docPartObj>
        <w:docPartGallery w:val="autotext"/>
      </w:docPartObj>
    </w:sdtPr>
    <w:sdtEndPr>
      <w:rPr>
        <w:rStyle w:val="26"/>
      </w:rPr>
    </w:sdtEndPr>
    <w:sdtContent>
      <w:p w14:paraId="312BCDBC">
        <w:pPr>
          <w:pStyle w:val="15"/>
          <w:framePr w:wrap="auto" w:vAnchor="text" w:hAnchor="margin" w:xAlign="center" w:y="1"/>
          <w:ind w:firstLine="360"/>
          <w:rPr>
            <w:rStyle w:val="26"/>
          </w:rPr>
        </w:pPr>
        <w:r>
          <w:rPr>
            <w:rStyle w:val="26"/>
          </w:rPr>
          <w:fldChar w:fldCharType="begin"/>
        </w:r>
        <w:r>
          <w:rPr>
            <w:rStyle w:val="26"/>
          </w:rPr>
          <w:instrText xml:space="preserve"> PAGE </w:instrText>
        </w:r>
        <w:r>
          <w:rPr>
            <w:rStyle w:val="26"/>
          </w:rPr>
          <w:fldChar w:fldCharType="separate"/>
        </w:r>
        <w:r>
          <w:rPr>
            <w:rStyle w:val="26"/>
          </w:rPr>
          <w:t>24</w:t>
        </w:r>
        <w:r>
          <w:rPr>
            <w:rStyle w:val="26"/>
          </w:rPr>
          <w:fldChar w:fldCharType="end"/>
        </w:r>
      </w:p>
    </w:sdtContent>
  </w:sdt>
  <w:p w14:paraId="207BD071">
    <w:pPr>
      <w:pStyle w:val="15"/>
      <w:ind w:right="360"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6"/>
      </w:rPr>
      <w:id w:val="438658773"/>
      <w:docPartObj>
        <w:docPartGallery w:val="autotext"/>
      </w:docPartObj>
    </w:sdtPr>
    <w:sdtEndPr>
      <w:rPr>
        <w:rStyle w:val="26"/>
      </w:rPr>
    </w:sdtEndPr>
    <w:sdtContent>
      <w:p w14:paraId="72760084">
        <w:pPr>
          <w:pStyle w:val="15"/>
          <w:framePr w:wrap="auto" w:vAnchor="text" w:hAnchor="margin" w:xAlign="center" w:y="1"/>
          <w:ind w:firstLine="360"/>
          <w:rPr>
            <w:rStyle w:val="26"/>
          </w:rPr>
        </w:pPr>
        <w:r>
          <w:rPr>
            <w:rStyle w:val="26"/>
          </w:rPr>
          <w:fldChar w:fldCharType="begin"/>
        </w:r>
        <w:r>
          <w:rPr>
            <w:rStyle w:val="26"/>
          </w:rPr>
          <w:instrText xml:space="preserve"> PAGE </w:instrText>
        </w:r>
        <w:r>
          <w:rPr>
            <w:rStyle w:val="26"/>
          </w:rPr>
          <w:fldChar w:fldCharType="separate"/>
        </w:r>
        <w:r>
          <w:rPr>
            <w:rStyle w:val="26"/>
          </w:rPr>
          <w:t>24</w:t>
        </w:r>
        <w:r>
          <w:rPr>
            <w:rStyle w:val="26"/>
          </w:rPr>
          <w:fldChar w:fldCharType="end"/>
        </w:r>
      </w:p>
    </w:sdtContent>
  </w:sdt>
  <w:p w14:paraId="6391388F">
    <w:pPr>
      <w:pStyle w:val="1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0D155">
    <w:pPr>
      <w:pStyle w:val="16"/>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650E6">
    <w:pPr>
      <w:pStyle w:val="1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4178D">
    <w:pPr>
      <w:pStyle w:val="16"/>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FBCE7">
    <w:pPr>
      <w:pStyle w:val="16"/>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6"/>
      </w:rPr>
      <w:id w:val="-1"/>
      <w:docPartObj>
        <w:docPartGallery w:val="autotext"/>
      </w:docPartObj>
    </w:sdtPr>
    <w:sdtEndPr>
      <w:rPr>
        <w:rStyle w:val="26"/>
      </w:rPr>
    </w:sdtEndPr>
    <w:sdtContent>
      <w:p w14:paraId="6CDB094F">
        <w:pPr>
          <w:pStyle w:val="16"/>
          <w:framePr w:wrap="auto" w:vAnchor="text" w:hAnchor="margin" w:xAlign="center" w:y="1"/>
          <w:ind w:firstLine="360"/>
          <w:rPr>
            <w:rStyle w:val="26"/>
          </w:rPr>
        </w:pPr>
        <w:r>
          <w:rPr>
            <w:rStyle w:val="26"/>
          </w:rPr>
          <w:fldChar w:fldCharType="begin"/>
        </w:r>
        <w:r>
          <w:rPr>
            <w:rStyle w:val="26"/>
          </w:rPr>
          <w:instrText xml:space="preserve"> PAGE </w:instrText>
        </w:r>
        <w:r>
          <w:rPr>
            <w:rStyle w:val="26"/>
          </w:rPr>
          <w:fldChar w:fldCharType="end"/>
        </w:r>
      </w:p>
    </w:sdtContent>
  </w:sdt>
  <w:p w14:paraId="27AFCD8E">
    <w:pPr>
      <w:pStyle w:val="16"/>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A5A44">
    <w:pPr>
      <w:ind w:firstLine="0" w:firstLineChars="0"/>
      <w:jc w:val="center"/>
      <w:rPr>
        <w:b/>
        <w:bCs/>
        <w:sz w:val="21"/>
        <w:szCs w:val="16"/>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9599E5">
    <w:pPr>
      <w:ind w:firstLine="0" w:firstLineChars="0"/>
      <w:jc w:val="center"/>
      <w:rPr>
        <w:b/>
        <w:bCs/>
        <w:sz w:val="21"/>
        <w:szCs w:val="16"/>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2B0B3">
    <w:pPr>
      <w:pStyle w:val="16"/>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6A40C">
    <w:pPr>
      <w:pStyle w:val="16"/>
      <w:ind w:firstLine="36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8FC2C9">
    <w:pPr>
      <w:pStyle w:val="16"/>
      <w:tabs>
        <w:tab w:val="clear" w:pos="4153"/>
      </w:tabs>
      <w:ind w:firstLine="360"/>
      <w:jc w:val="right"/>
    </w:pPr>
    <w:r>
      <w:rPr>
        <w:rFonts w:hint="eastAsia"/>
      </w:rPr>
      <w:tab/>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BA20F4">
    <w:pPr>
      <w:pStyle w:val="16"/>
      <w:ind w:firstLine="36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5A96A">
    <w:pPr>
      <w:pStyle w:val="1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pStyle w:val="46"/>
      <w:lvlText w:val="表%1"/>
      <w:lvlJc w:val="left"/>
      <w:pPr>
        <w:tabs>
          <w:tab w:val="left" w:pos="420"/>
        </w:tabs>
        <w:ind w:left="0" w:firstLine="0"/>
      </w:pPr>
      <w:rPr>
        <w:rFonts w:hint="default" w:ascii="Times New Roman" w:hAnsi="Times New Roman" w:eastAsia="方正仿宋_GBK"/>
        <w:b/>
        <w:bCs/>
        <w:sz w:val="32"/>
        <w:szCs w:val="32"/>
      </w:rPr>
    </w:lvl>
  </w:abstractNum>
  <w:abstractNum w:abstractNumId="1">
    <w:nsid w:val="00000003"/>
    <w:multiLevelType w:val="multilevel"/>
    <w:tmpl w:val="0000000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360" w:firstLine="0"/>
      </w:pPr>
      <w:rPr>
        <w:rFonts w:hint="eastAsia" w:ascii="黑体" w:hAnsi="Times New Roman" w:eastAsia="黑体" w:cs="Times New Roman"/>
        <w:b w:val="0"/>
        <w:bCs w:val="0"/>
        <w:i w:val="0"/>
        <w:iCs w:val="0"/>
        <w:caps w:val="0"/>
        <w:spacing w:val="0"/>
        <w:kern w:val="0"/>
        <w:position w:val="0"/>
        <w:sz w:val="21"/>
        <w:szCs w:val="21"/>
        <w:u w:val="none"/>
      </w:rPr>
    </w:lvl>
    <w:lvl w:ilvl="2" w:tentative="0">
      <w:start w:val="1"/>
      <w:numFmt w:val="decimal"/>
      <w:pStyle w:val="58"/>
      <w:suff w:val="nothing"/>
      <w:lvlText w:val="%1.%2.%3　"/>
      <w:lvlJc w:val="left"/>
      <w:pPr>
        <w:ind w:left="3828" w:firstLine="0"/>
      </w:pPr>
      <w:rPr>
        <w:rFonts w:hint="eastAsia" w:ascii="黑体" w:hAnsi="Times New Roman" w:eastAsia="黑体"/>
        <w:b w:val="0"/>
        <w:i w:val="0"/>
        <w:sz w:val="21"/>
        <w:lang w:eastAsia="zh-TW"/>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00000004"/>
    <w:multiLevelType w:val="multilevel"/>
    <w:tmpl w:val="00000004"/>
    <w:lvl w:ilvl="0" w:tentative="0">
      <w:start w:val="1"/>
      <w:numFmt w:val="chineseCounting"/>
      <w:suff w:val="space"/>
      <w:lvlText w:val="%1"/>
      <w:lvlJc w:val="left"/>
      <w:pPr>
        <w:tabs>
          <w:tab w:val="left" w:pos="0"/>
        </w:tabs>
        <w:ind w:left="425" w:hanging="425"/>
      </w:pPr>
      <w:rPr>
        <w:rFonts w:hint="eastAsia" w:ascii="宋体" w:hAnsi="宋体" w:eastAsia="宋体" w:cs="宋体"/>
      </w:rPr>
    </w:lvl>
    <w:lvl w:ilvl="1" w:tentative="0">
      <w:start w:val="1"/>
      <w:numFmt w:val="decimal"/>
      <w:isLgl/>
      <w:suff w:val="space"/>
      <w:lvlText w:val="%1.%2"/>
      <w:lvlJc w:val="left"/>
      <w:pPr>
        <w:tabs>
          <w:tab w:val="left" w:pos="0"/>
        </w:tabs>
        <w:ind w:left="567" w:hanging="567"/>
      </w:pPr>
      <w:rPr>
        <w:rFonts w:hint="eastAsia" w:ascii="宋体" w:hAnsi="宋体" w:eastAsia="宋体" w:cs="宋体"/>
      </w:rPr>
    </w:lvl>
    <w:lvl w:ilvl="2" w:tentative="0">
      <w:start w:val="1"/>
      <w:numFmt w:val="decimal"/>
      <w:pStyle w:val="5"/>
      <w:isLgl/>
      <w:suff w:val="space"/>
      <w:lvlText w:val="%1.%2.%3"/>
      <w:lvlJc w:val="left"/>
      <w:pPr>
        <w:tabs>
          <w:tab w:val="left" w:pos="420"/>
        </w:tabs>
        <w:ind w:left="709" w:hanging="709"/>
      </w:pPr>
      <w:rPr>
        <w:rFonts w:hint="eastAsia" w:ascii="宋体" w:hAnsi="宋体" w:eastAsia="宋体" w:cs="宋体"/>
      </w:rPr>
    </w:lvl>
    <w:lvl w:ilvl="3" w:tentative="0">
      <w:start w:val="1"/>
      <w:numFmt w:val="decimal"/>
      <w:lvlText w:val="%1.%2.%3.%4."/>
      <w:lvlJc w:val="left"/>
      <w:pPr>
        <w:ind w:left="850" w:hanging="850"/>
      </w:pPr>
      <w:rPr>
        <w:rFonts w:hint="eastAsia"/>
      </w:rPr>
    </w:lvl>
    <w:lvl w:ilvl="4" w:tentative="0">
      <w:start w:val="1"/>
      <w:numFmt w:val="decimal"/>
      <w:lvlText w:val="%1.%2.%3.%4.%5."/>
      <w:lvlJc w:val="left"/>
      <w:pPr>
        <w:ind w:left="991" w:hanging="991"/>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5" w:hanging="1275"/>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8" w:hanging="1558"/>
      </w:pPr>
      <w:rPr>
        <w:rFonts w:hint="eastAsia"/>
      </w:rPr>
    </w:lvl>
  </w:abstractNum>
  <w:abstractNum w:abstractNumId="3">
    <w:nsid w:val="00000005"/>
    <w:multiLevelType w:val="singleLevel"/>
    <w:tmpl w:val="00000005"/>
    <w:lvl w:ilvl="0" w:tentative="0">
      <w:start w:val="1"/>
      <w:numFmt w:val="decimal"/>
      <w:pStyle w:val="47"/>
      <w:lvlText w:val="图%1"/>
      <w:lvlJc w:val="left"/>
      <w:pPr>
        <w:tabs>
          <w:tab w:val="left" w:pos="420"/>
        </w:tabs>
        <w:ind w:left="425" w:hanging="425"/>
      </w:pPr>
      <w:rPr>
        <w:rFonts w:hint="default" w:eastAsia="方正仿宋_GBK"/>
        <w:b/>
        <w:sz w:val="32"/>
      </w:rPr>
    </w:lvl>
  </w:abstractNum>
  <w:abstractNum w:abstractNumId="4">
    <w:nsid w:val="00000006"/>
    <w:multiLevelType w:val="singleLevel"/>
    <w:tmpl w:val="00000006"/>
    <w:lvl w:ilvl="0" w:tentative="0">
      <w:start w:val="1"/>
      <w:numFmt w:val="chineseCounting"/>
      <w:suff w:val="space"/>
      <w:lvlText w:val="第%1章"/>
      <w:lvlJc w:val="left"/>
      <w:rPr>
        <w:rFonts w:hint="eastAsia"/>
      </w:rPr>
    </w:lvl>
  </w:abstractNum>
  <w:abstractNum w:abstractNumId="5">
    <w:nsid w:val="54CB2A2C"/>
    <w:multiLevelType w:val="multilevel"/>
    <w:tmpl w:val="54CB2A2C"/>
    <w:lvl w:ilvl="0" w:tentative="0">
      <w:start w:val="1"/>
      <w:numFmt w:val="chineseCounting"/>
      <w:lvlText w:val="%1、"/>
      <w:lvlJc w:val="left"/>
      <w:pPr>
        <w:ind w:left="432" w:hanging="432"/>
      </w:pPr>
      <w:rPr>
        <w:rFonts w:hint="eastAsia" w:ascii="Times New Roman" w:hAnsi="Times New Roman" w:eastAsia="方正黑体_GBK"/>
        <w:b/>
        <w:bCs/>
        <w:sz w:val="32"/>
        <w:szCs w:val="32"/>
      </w:rPr>
    </w:lvl>
    <w:lvl w:ilvl="1" w:tentative="0">
      <w:start w:val="1"/>
      <w:numFmt w:val="decimal"/>
      <w:lvlText w:val="%2"/>
      <w:lvlJc w:val="left"/>
      <w:pPr>
        <w:ind w:left="575" w:hanging="575"/>
      </w:pPr>
      <w:rPr>
        <w:rFonts w:hint="eastAsia" w:ascii="宋体" w:hAnsi="宋体" w:eastAsia="宋体" w:cs="宋体"/>
        <w:b/>
      </w:rPr>
    </w:lvl>
    <w:lvl w:ilvl="2" w:tentative="0">
      <w:start w:val="1"/>
      <w:numFmt w:val="decimal"/>
      <w:lvlText w:val="%1.%2.%3"/>
      <w:lvlJc w:val="left"/>
      <w:pPr>
        <w:ind w:left="720" w:hanging="720"/>
      </w:pPr>
      <w:rPr>
        <w:rFonts w:hint="eastAsia" w:ascii="Times New Roman" w:hAnsi="Times New Roman" w:eastAsia="宋体" w:cs="Times New Roman"/>
        <w:b/>
      </w:rPr>
    </w:lvl>
    <w:lvl w:ilvl="3" w:tentative="0">
      <w:start w:val="1"/>
      <w:numFmt w:val="decimal"/>
      <w:pStyle w:val="6"/>
      <w:lvlText w:val="%1.%2.%3.%4"/>
      <w:lvlJc w:val="left"/>
      <w:pPr>
        <w:ind w:left="864" w:hanging="864"/>
      </w:pPr>
      <w:rPr>
        <w:rFonts w:hint="eastAsia" w:ascii="Times New Roman" w:hAnsi="Times New Roman" w:eastAsia="宋体" w:cs="Times New Roman"/>
      </w:rPr>
    </w:lvl>
    <w:lvl w:ilvl="4" w:tentative="0">
      <w:start w:val="1"/>
      <w:numFmt w:val="decimal"/>
      <w:pStyle w:val="7"/>
      <w:lvlText w:val="%1.%2.%3.%4.%5."/>
      <w:lvlJc w:val="left"/>
      <w:pPr>
        <w:ind w:left="1008" w:hanging="1008"/>
      </w:pPr>
      <w:rPr>
        <w:rFonts w:hint="eastAsia"/>
      </w:rPr>
    </w:lvl>
    <w:lvl w:ilvl="5" w:tentative="0">
      <w:start w:val="1"/>
      <w:numFmt w:val="decimal"/>
      <w:pStyle w:val="8"/>
      <w:lvlText w:val="%1.%2.%3.%4.%5.%6."/>
      <w:lvlJc w:val="left"/>
      <w:pPr>
        <w:ind w:left="1151" w:hanging="1151"/>
      </w:pPr>
      <w:rPr>
        <w:rFonts w:hint="eastAsia"/>
      </w:rPr>
    </w:lvl>
    <w:lvl w:ilvl="6" w:tentative="0">
      <w:start w:val="1"/>
      <w:numFmt w:val="decimal"/>
      <w:pStyle w:val="9"/>
      <w:lvlText w:val="%1.%2.%3.%4.%5.%6.%7."/>
      <w:lvlJc w:val="left"/>
      <w:pPr>
        <w:ind w:left="1296" w:hanging="1296"/>
      </w:pPr>
      <w:rPr>
        <w:rFonts w:hint="eastAsia"/>
      </w:rPr>
    </w:lvl>
    <w:lvl w:ilvl="7" w:tentative="0">
      <w:start w:val="1"/>
      <w:numFmt w:val="decimal"/>
      <w:pStyle w:val="10"/>
      <w:lvlText w:val="%1.%2.%3.%4.%5.%6.%7.%8."/>
      <w:lvlJc w:val="left"/>
      <w:pPr>
        <w:ind w:left="1440" w:hanging="1440"/>
      </w:pPr>
      <w:rPr>
        <w:rFonts w:hint="eastAsia"/>
      </w:rPr>
    </w:lvl>
    <w:lvl w:ilvl="8" w:tentative="0">
      <w:start w:val="1"/>
      <w:numFmt w:val="decimal"/>
      <w:pStyle w:val="11"/>
      <w:lvlText w:val="%1.%2.%3.%4.%5.%6.%7.%8.%9."/>
      <w:lvlJc w:val="left"/>
      <w:pPr>
        <w:ind w:left="1583" w:hanging="1583"/>
      </w:pPr>
      <w:rPr>
        <w:rFonts w:hint="eastAsia"/>
      </w:rPr>
    </w:lvl>
  </w:abstractNum>
  <w:num w:numId="1">
    <w:abstractNumId w:val="2"/>
  </w:num>
  <w:num w:numId="2">
    <w:abstractNumId w:val="5"/>
  </w:num>
  <w:num w:numId="3">
    <w:abstractNumId w:val="0"/>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M3OWE5ZmFlNGRlOWVlYjI4ZGZkY2Q2YWIzMGYyODQifQ=="/>
  </w:docVars>
  <w:rsids>
    <w:rsidRoot w:val="007A75F3"/>
    <w:rsid w:val="000F6981"/>
    <w:rsid w:val="00325DBE"/>
    <w:rsid w:val="00387BA9"/>
    <w:rsid w:val="00407522"/>
    <w:rsid w:val="00410068"/>
    <w:rsid w:val="005171BB"/>
    <w:rsid w:val="007112E5"/>
    <w:rsid w:val="007A04A4"/>
    <w:rsid w:val="007A75F3"/>
    <w:rsid w:val="007D0408"/>
    <w:rsid w:val="008A689A"/>
    <w:rsid w:val="00A335A5"/>
    <w:rsid w:val="00B352C7"/>
    <w:rsid w:val="00B445D8"/>
    <w:rsid w:val="00BE285C"/>
    <w:rsid w:val="00BF7E58"/>
    <w:rsid w:val="00C21C18"/>
    <w:rsid w:val="00C643D5"/>
    <w:rsid w:val="00C77777"/>
    <w:rsid w:val="00C94DCA"/>
    <w:rsid w:val="00CD7FFA"/>
    <w:rsid w:val="00D7128D"/>
    <w:rsid w:val="00DA3D1B"/>
    <w:rsid w:val="00E8641E"/>
    <w:rsid w:val="00FB5450"/>
    <w:rsid w:val="00FE122C"/>
    <w:rsid w:val="00FE2958"/>
    <w:rsid w:val="0241491C"/>
    <w:rsid w:val="026779BA"/>
    <w:rsid w:val="02922F6E"/>
    <w:rsid w:val="02AC7103"/>
    <w:rsid w:val="02AD7AC3"/>
    <w:rsid w:val="02B961CD"/>
    <w:rsid w:val="02D45050"/>
    <w:rsid w:val="02F62EDE"/>
    <w:rsid w:val="030F52BB"/>
    <w:rsid w:val="033108D6"/>
    <w:rsid w:val="036068E4"/>
    <w:rsid w:val="039E11BA"/>
    <w:rsid w:val="03E3412E"/>
    <w:rsid w:val="03E45C6D"/>
    <w:rsid w:val="04021749"/>
    <w:rsid w:val="048021EF"/>
    <w:rsid w:val="04DF6C8A"/>
    <w:rsid w:val="056B71E9"/>
    <w:rsid w:val="060043AE"/>
    <w:rsid w:val="066D11AA"/>
    <w:rsid w:val="067816BC"/>
    <w:rsid w:val="068E3768"/>
    <w:rsid w:val="06B37672"/>
    <w:rsid w:val="073364FA"/>
    <w:rsid w:val="07A11279"/>
    <w:rsid w:val="08316AA1"/>
    <w:rsid w:val="088E3EF3"/>
    <w:rsid w:val="08CC38F7"/>
    <w:rsid w:val="08D535BC"/>
    <w:rsid w:val="094F52D8"/>
    <w:rsid w:val="09840E52"/>
    <w:rsid w:val="09DB16A8"/>
    <w:rsid w:val="0A8F3F52"/>
    <w:rsid w:val="0B877EBE"/>
    <w:rsid w:val="0C770DFE"/>
    <w:rsid w:val="0C880C59"/>
    <w:rsid w:val="0CB101B0"/>
    <w:rsid w:val="0CCF38FF"/>
    <w:rsid w:val="0CE045F1"/>
    <w:rsid w:val="0D1B16BD"/>
    <w:rsid w:val="0D283592"/>
    <w:rsid w:val="0D8B084E"/>
    <w:rsid w:val="0E2C3DC4"/>
    <w:rsid w:val="0E340CB9"/>
    <w:rsid w:val="0EAA26CD"/>
    <w:rsid w:val="0F010FFC"/>
    <w:rsid w:val="0F900551"/>
    <w:rsid w:val="0FCB1589"/>
    <w:rsid w:val="11ED40C5"/>
    <w:rsid w:val="12543AB7"/>
    <w:rsid w:val="12BB3B36"/>
    <w:rsid w:val="143040B0"/>
    <w:rsid w:val="144135AB"/>
    <w:rsid w:val="14A214B8"/>
    <w:rsid w:val="14AB1989"/>
    <w:rsid w:val="15201D1B"/>
    <w:rsid w:val="154F67B8"/>
    <w:rsid w:val="155B6F0B"/>
    <w:rsid w:val="168129A1"/>
    <w:rsid w:val="16C61609"/>
    <w:rsid w:val="16FC296F"/>
    <w:rsid w:val="171E4694"/>
    <w:rsid w:val="18075128"/>
    <w:rsid w:val="1821268E"/>
    <w:rsid w:val="192D0BBE"/>
    <w:rsid w:val="19A43CF2"/>
    <w:rsid w:val="1A4C776A"/>
    <w:rsid w:val="1AAB4490"/>
    <w:rsid w:val="1ADB00F7"/>
    <w:rsid w:val="1AFF2141"/>
    <w:rsid w:val="1B4D379A"/>
    <w:rsid w:val="1B8756CA"/>
    <w:rsid w:val="1C60574F"/>
    <w:rsid w:val="1CA76EDA"/>
    <w:rsid w:val="1CF76738"/>
    <w:rsid w:val="1DBA49EB"/>
    <w:rsid w:val="1E1B42AB"/>
    <w:rsid w:val="1F7A6B27"/>
    <w:rsid w:val="201C198C"/>
    <w:rsid w:val="20552E77"/>
    <w:rsid w:val="20F8421E"/>
    <w:rsid w:val="211A411E"/>
    <w:rsid w:val="215533A8"/>
    <w:rsid w:val="22085D6A"/>
    <w:rsid w:val="22210EA4"/>
    <w:rsid w:val="227C6712"/>
    <w:rsid w:val="232D7D0A"/>
    <w:rsid w:val="23863CED"/>
    <w:rsid w:val="23B87C1E"/>
    <w:rsid w:val="2432352D"/>
    <w:rsid w:val="24455956"/>
    <w:rsid w:val="24A6641F"/>
    <w:rsid w:val="24D50412"/>
    <w:rsid w:val="255E3D90"/>
    <w:rsid w:val="25920E87"/>
    <w:rsid w:val="25AE753E"/>
    <w:rsid w:val="25B54415"/>
    <w:rsid w:val="26D1527F"/>
    <w:rsid w:val="26F96584"/>
    <w:rsid w:val="27E45486"/>
    <w:rsid w:val="286A22CA"/>
    <w:rsid w:val="288D78CB"/>
    <w:rsid w:val="28BC1F5F"/>
    <w:rsid w:val="294C5091"/>
    <w:rsid w:val="295108F9"/>
    <w:rsid w:val="29BB6DAB"/>
    <w:rsid w:val="29DA5A8A"/>
    <w:rsid w:val="29FF490D"/>
    <w:rsid w:val="2A0B4F4C"/>
    <w:rsid w:val="2A3A313B"/>
    <w:rsid w:val="2A5D507B"/>
    <w:rsid w:val="2A5E4402"/>
    <w:rsid w:val="2AD634E7"/>
    <w:rsid w:val="2BB1601F"/>
    <w:rsid w:val="2BF50816"/>
    <w:rsid w:val="2D522E91"/>
    <w:rsid w:val="2DA55B89"/>
    <w:rsid w:val="2DDF3232"/>
    <w:rsid w:val="2E701821"/>
    <w:rsid w:val="2EBFDAE5"/>
    <w:rsid w:val="2EE572FA"/>
    <w:rsid w:val="2F5E419E"/>
    <w:rsid w:val="2F601896"/>
    <w:rsid w:val="2FA71273"/>
    <w:rsid w:val="2FF35785"/>
    <w:rsid w:val="303B24C1"/>
    <w:rsid w:val="30533AD9"/>
    <w:rsid w:val="30D20571"/>
    <w:rsid w:val="30F009F7"/>
    <w:rsid w:val="30F6750D"/>
    <w:rsid w:val="30F85AFE"/>
    <w:rsid w:val="30FD4EC2"/>
    <w:rsid w:val="3146280D"/>
    <w:rsid w:val="320209E2"/>
    <w:rsid w:val="32326DEE"/>
    <w:rsid w:val="323674D1"/>
    <w:rsid w:val="32382656"/>
    <w:rsid w:val="32852D31"/>
    <w:rsid w:val="33044C2E"/>
    <w:rsid w:val="333A5102"/>
    <w:rsid w:val="3417273F"/>
    <w:rsid w:val="34A35D81"/>
    <w:rsid w:val="35074561"/>
    <w:rsid w:val="356024C6"/>
    <w:rsid w:val="366652B8"/>
    <w:rsid w:val="36742A8F"/>
    <w:rsid w:val="369473A6"/>
    <w:rsid w:val="36BB6985"/>
    <w:rsid w:val="37167D01"/>
    <w:rsid w:val="37321D6A"/>
    <w:rsid w:val="37BF0CD0"/>
    <w:rsid w:val="37FE0B36"/>
    <w:rsid w:val="3825367C"/>
    <w:rsid w:val="382F2FC9"/>
    <w:rsid w:val="38305B7D"/>
    <w:rsid w:val="3851621F"/>
    <w:rsid w:val="3881462B"/>
    <w:rsid w:val="392B4CC2"/>
    <w:rsid w:val="39455658"/>
    <w:rsid w:val="394750CB"/>
    <w:rsid w:val="394A5BAB"/>
    <w:rsid w:val="3950297B"/>
    <w:rsid w:val="39766A08"/>
    <w:rsid w:val="397B5842"/>
    <w:rsid w:val="39AA6E47"/>
    <w:rsid w:val="39F30EC3"/>
    <w:rsid w:val="3A15327D"/>
    <w:rsid w:val="3A52627F"/>
    <w:rsid w:val="3BDF7FE6"/>
    <w:rsid w:val="3BF21AC7"/>
    <w:rsid w:val="3BFF5DA5"/>
    <w:rsid w:val="3CBF1F49"/>
    <w:rsid w:val="3D3D3216"/>
    <w:rsid w:val="3D6C5F71"/>
    <w:rsid w:val="3DFF38A6"/>
    <w:rsid w:val="3E1F291C"/>
    <w:rsid w:val="3E2717D1"/>
    <w:rsid w:val="3E8F1DC6"/>
    <w:rsid w:val="3E9C56EF"/>
    <w:rsid w:val="3E9E5F37"/>
    <w:rsid w:val="3EA232A3"/>
    <w:rsid w:val="3EBA2645"/>
    <w:rsid w:val="3F1F2B5D"/>
    <w:rsid w:val="3FBE63F8"/>
    <w:rsid w:val="3FC419CD"/>
    <w:rsid w:val="404459DC"/>
    <w:rsid w:val="411918A4"/>
    <w:rsid w:val="41923405"/>
    <w:rsid w:val="41CE1354"/>
    <w:rsid w:val="41E2613A"/>
    <w:rsid w:val="420B38E3"/>
    <w:rsid w:val="426A160C"/>
    <w:rsid w:val="42927B60"/>
    <w:rsid w:val="431F0CC7"/>
    <w:rsid w:val="43922C3E"/>
    <w:rsid w:val="44476729"/>
    <w:rsid w:val="447D65EE"/>
    <w:rsid w:val="449622A8"/>
    <w:rsid w:val="44DE52DF"/>
    <w:rsid w:val="452105C8"/>
    <w:rsid w:val="455530C7"/>
    <w:rsid w:val="457902F6"/>
    <w:rsid w:val="45A007E6"/>
    <w:rsid w:val="46D36999"/>
    <w:rsid w:val="47721A05"/>
    <w:rsid w:val="478657BA"/>
    <w:rsid w:val="47C54B0C"/>
    <w:rsid w:val="47E36768"/>
    <w:rsid w:val="48050DD4"/>
    <w:rsid w:val="485D476D"/>
    <w:rsid w:val="48D50569"/>
    <w:rsid w:val="4AA246B9"/>
    <w:rsid w:val="4AA91EEB"/>
    <w:rsid w:val="4AB525B6"/>
    <w:rsid w:val="4B693428"/>
    <w:rsid w:val="4BAD4101"/>
    <w:rsid w:val="4BBA5530"/>
    <w:rsid w:val="4BD96800"/>
    <w:rsid w:val="4BE00100"/>
    <w:rsid w:val="4C681932"/>
    <w:rsid w:val="4C96024D"/>
    <w:rsid w:val="4D0F1E82"/>
    <w:rsid w:val="4D9001A3"/>
    <w:rsid w:val="4DA60964"/>
    <w:rsid w:val="4DC969DC"/>
    <w:rsid w:val="4DD70B1D"/>
    <w:rsid w:val="4DDFCD89"/>
    <w:rsid w:val="4E0937BC"/>
    <w:rsid w:val="4E7B3B9E"/>
    <w:rsid w:val="4E834801"/>
    <w:rsid w:val="4E881E17"/>
    <w:rsid w:val="4EDCCD3C"/>
    <w:rsid w:val="4EFF657E"/>
    <w:rsid w:val="4F0973FC"/>
    <w:rsid w:val="4F1A33B7"/>
    <w:rsid w:val="4F610FE6"/>
    <w:rsid w:val="4F8610E9"/>
    <w:rsid w:val="4F9D0583"/>
    <w:rsid w:val="50595BFA"/>
    <w:rsid w:val="505C17AE"/>
    <w:rsid w:val="50A15DEB"/>
    <w:rsid w:val="51D07D5D"/>
    <w:rsid w:val="52777DAB"/>
    <w:rsid w:val="528F1C9C"/>
    <w:rsid w:val="52B4767F"/>
    <w:rsid w:val="52C55AF5"/>
    <w:rsid w:val="535624E4"/>
    <w:rsid w:val="53E775E0"/>
    <w:rsid w:val="53FF0DCE"/>
    <w:rsid w:val="54240834"/>
    <w:rsid w:val="543E2C5B"/>
    <w:rsid w:val="549F0DC3"/>
    <w:rsid w:val="54C65448"/>
    <w:rsid w:val="54D5369B"/>
    <w:rsid w:val="55990DAE"/>
    <w:rsid w:val="55A27C63"/>
    <w:rsid w:val="55AC6D33"/>
    <w:rsid w:val="55B17EA6"/>
    <w:rsid w:val="569D042A"/>
    <w:rsid w:val="56D0416C"/>
    <w:rsid w:val="56D57BC4"/>
    <w:rsid w:val="56EF512A"/>
    <w:rsid w:val="57635426"/>
    <w:rsid w:val="58E30CBE"/>
    <w:rsid w:val="592941F7"/>
    <w:rsid w:val="59330767"/>
    <w:rsid w:val="595B0854"/>
    <w:rsid w:val="598853C1"/>
    <w:rsid w:val="59D52B06"/>
    <w:rsid w:val="5A233363"/>
    <w:rsid w:val="5A384AD6"/>
    <w:rsid w:val="5AC97A40"/>
    <w:rsid w:val="5AF70A51"/>
    <w:rsid w:val="5B0373F5"/>
    <w:rsid w:val="5B5B3059"/>
    <w:rsid w:val="5B5C5EAD"/>
    <w:rsid w:val="5BB24978"/>
    <w:rsid w:val="5BB4249E"/>
    <w:rsid w:val="5BE508A9"/>
    <w:rsid w:val="5C2C472A"/>
    <w:rsid w:val="5C521D26"/>
    <w:rsid w:val="5C763BF7"/>
    <w:rsid w:val="5CEA65A2"/>
    <w:rsid w:val="5D017965"/>
    <w:rsid w:val="5D20494C"/>
    <w:rsid w:val="5DA87473"/>
    <w:rsid w:val="5E073728"/>
    <w:rsid w:val="5E1611EE"/>
    <w:rsid w:val="5E5B3B59"/>
    <w:rsid w:val="5E9B7945"/>
    <w:rsid w:val="5EA22A81"/>
    <w:rsid w:val="5EE27322"/>
    <w:rsid w:val="5F7F2233"/>
    <w:rsid w:val="5F8E3006"/>
    <w:rsid w:val="5FCA6734"/>
    <w:rsid w:val="5FF437B1"/>
    <w:rsid w:val="5FFB79E6"/>
    <w:rsid w:val="5FFFC323"/>
    <w:rsid w:val="602D2580"/>
    <w:rsid w:val="60787F3E"/>
    <w:rsid w:val="60C018E5"/>
    <w:rsid w:val="60C95281"/>
    <w:rsid w:val="610F5757"/>
    <w:rsid w:val="61113EEE"/>
    <w:rsid w:val="61D60F4A"/>
    <w:rsid w:val="62465E1A"/>
    <w:rsid w:val="63306AC8"/>
    <w:rsid w:val="63696264"/>
    <w:rsid w:val="63AE3C76"/>
    <w:rsid w:val="646670BD"/>
    <w:rsid w:val="65501489"/>
    <w:rsid w:val="655B7506"/>
    <w:rsid w:val="65A215B9"/>
    <w:rsid w:val="65DC0F6F"/>
    <w:rsid w:val="66A355E9"/>
    <w:rsid w:val="66D17929"/>
    <w:rsid w:val="6784366C"/>
    <w:rsid w:val="6861575B"/>
    <w:rsid w:val="68BE541E"/>
    <w:rsid w:val="695452C0"/>
    <w:rsid w:val="69E2467A"/>
    <w:rsid w:val="6A024D1C"/>
    <w:rsid w:val="6B482C03"/>
    <w:rsid w:val="6B975E4A"/>
    <w:rsid w:val="6CCC0C53"/>
    <w:rsid w:val="6CD3474E"/>
    <w:rsid w:val="6D0D7C60"/>
    <w:rsid w:val="6DEFE473"/>
    <w:rsid w:val="6DF80910"/>
    <w:rsid w:val="6E032E11"/>
    <w:rsid w:val="6E337B9A"/>
    <w:rsid w:val="6E7D1B7C"/>
    <w:rsid w:val="6EBD4F8D"/>
    <w:rsid w:val="6F162CBE"/>
    <w:rsid w:val="6F215C44"/>
    <w:rsid w:val="6F60794F"/>
    <w:rsid w:val="6F6E2E43"/>
    <w:rsid w:val="6F751769"/>
    <w:rsid w:val="6FCE7B7A"/>
    <w:rsid w:val="6FD1766A"/>
    <w:rsid w:val="6FE25F7F"/>
    <w:rsid w:val="6FFC58A5"/>
    <w:rsid w:val="707352C8"/>
    <w:rsid w:val="71011921"/>
    <w:rsid w:val="71A83F33"/>
    <w:rsid w:val="726B01EF"/>
    <w:rsid w:val="72D975AD"/>
    <w:rsid w:val="72FF629D"/>
    <w:rsid w:val="7318735E"/>
    <w:rsid w:val="734819F2"/>
    <w:rsid w:val="743106D8"/>
    <w:rsid w:val="74375FCC"/>
    <w:rsid w:val="74CB0B2C"/>
    <w:rsid w:val="74DF784A"/>
    <w:rsid w:val="75601BDC"/>
    <w:rsid w:val="760F457D"/>
    <w:rsid w:val="76944F4E"/>
    <w:rsid w:val="77399A8A"/>
    <w:rsid w:val="773B361B"/>
    <w:rsid w:val="7758332B"/>
    <w:rsid w:val="77AA4DD8"/>
    <w:rsid w:val="77BF8CBD"/>
    <w:rsid w:val="77CEC075"/>
    <w:rsid w:val="77DC568A"/>
    <w:rsid w:val="78244A5D"/>
    <w:rsid w:val="78EF25DF"/>
    <w:rsid w:val="78F30652"/>
    <w:rsid w:val="79654980"/>
    <w:rsid w:val="79725A1A"/>
    <w:rsid w:val="7ABC03B8"/>
    <w:rsid w:val="7AEF3908"/>
    <w:rsid w:val="7B1F5E6F"/>
    <w:rsid w:val="7B3B1409"/>
    <w:rsid w:val="7B664809"/>
    <w:rsid w:val="7B851309"/>
    <w:rsid w:val="7C4D0405"/>
    <w:rsid w:val="7C6B0305"/>
    <w:rsid w:val="7D1FC9B7"/>
    <w:rsid w:val="7D3FFC61"/>
    <w:rsid w:val="7D807FDA"/>
    <w:rsid w:val="7D821FA4"/>
    <w:rsid w:val="7DB55ED6"/>
    <w:rsid w:val="7DE40569"/>
    <w:rsid w:val="7E0D5429"/>
    <w:rsid w:val="7E7538B7"/>
    <w:rsid w:val="7EF5E5D5"/>
    <w:rsid w:val="7EFBC817"/>
    <w:rsid w:val="7EFD520E"/>
    <w:rsid w:val="7EFE2909"/>
    <w:rsid w:val="7F274E48"/>
    <w:rsid w:val="7F7E055C"/>
    <w:rsid w:val="7FB86A3A"/>
    <w:rsid w:val="7FD25273"/>
    <w:rsid w:val="7FEF3D4B"/>
    <w:rsid w:val="7FF8C56C"/>
    <w:rsid w:val="7FFF1E38"/>
    <w:rsid w:val="7FFF36D5"/>
    <w:rsid w:val="82FF8526"/>
    <w:rsid w:val="93951D3D"/>
    <w:rsid w:val="9FFF0312"/>
    <w:rsid w:val="9FFFB596"/>
    <w:rsid w:val="AA9EFC81"/>
    <w:rsid w:val="ADFD9EF0"/>
    <w:rsid w:val="AF8BCD0B"/>
    <w:rsid w:val="AFB35A9B"/>
    <w:rsid w:val="AFBC2332"/>
    <w:rsid w:val="BDDE7B63"/>
    <w:rsid w:val="BDE4D766"/>
    <w:rsid w:val="BE3D2206"/>
    <w:rsid w:val="BE576147"/>
    <w:rsid w:val="BED791F9"/>
    <w:rsid w:val="BEE7F7E8"/>
    <w:rsid w:val="BF7E1DC9"/>
    <w:rsid w:val="BFD7F22A"/>
    <w:rsid w:val="BFDFF389"/>
    <w:rsid w:val="CB87F191"/>
    <w:rsid w:val="CBFFBB41"/>
    <w:rsid w:val="CE77F314"/>
    <w:rsid w:val="D7FFE223"/>
    <w:rsid w:val="D9EB11C9"/>
    <w:rsid w:val="DABA27D7"/>
    <w:rsid w:val="DAEFABA3"/>
    <w:rsid w:val="DAFFD851"/>
    <w:rsid w:val="DB2F5708"/>
    <w:rsid w:val="DBBDD14C"/>
    <w:rsid w:val="DDDFA294"/>
    <w:rsid w:val="DDF5836D"/>
    <w:rsid w:val="DEDF8E7D"/>
    <w:rsid w:val="DFEBAE18"/>
    <w:rsid w:val="E37FCBB1"/>
    <w:rsid w:val="E6CEC56A"/>
    <w:rsid w:val="E6FF1AAB"/>
    <w:rsid w:val="E7EFA140"/>
    <w:rsid w:val="E7FFBF33"/>
    <w:rsid w:val="EBAFC830"/>
    <w:rsid w:val="EF5F91D3"/>
    <w:rsid w:val="EF773DF4"/>
    <w:rsid w:val="EFBD7E16"/>
    <w:rsid w:val="EFBE82A8"/>
    <w:rsid w:val="EFDA5142"/>
    <w:rsid w:val="F3EADEB7"/>
    <w:rsid w:val="F3F76E12"/>
    <w:rsid w:val="F6DE3214"/>
    <w:rsid w:val="F6F759BA"/>
    <w:rsid w:val="F7DFA8EF"/>
    <w:rsid w:val="F8FB6DFC"/>
    <w:rsid w:val="FBDE4AF7"/>
    <w:rsid w:val="FDCB4C0B"/>
    <w:rsid w:val="FDFBA06F"/>
    <w:rsid w:val="FDFD0E63"/>
    <w:rsid w:val="FEEDB617"/>
    <w:rsid w:val="FEFA3571"/>
    <w:rsid w:val="FEFB6B84"/>
    <w:rsid w:val="FEFFEB40"/>
    <w:rsid w:val="FF7B42A9"/>
    <w:rsid w:val="FF7FB4D8"/>
    <w:rsid w:val="FFBF2516"/>
    <w:rsid w:val="FFBF2AB1"/>
    <w:rsid w:val="FFBF4286"/>
    <w:rsid w:val="FFD78CCD"/>
    <w:rsid w:val="FFEFEC29"/>
    <w:rsid w:val="FFF71D8F"/>
    <w:rsid w:val="FFFB39BD"/>
    <w:rsid w:val="FFFDA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803" w:firstLineChars="200"/>
      <w:jc w:val="both"/>
    </w:pPr>
    <w:rPr>
      <w:rFonts w:ascii="Times New Roman" w:hAnsi="Times New Roman" w:eastAsia="方正仿宋_GBK" w:cs="宋体"/>
      <w:kern w:val="2"/>
      <w:sz w:val="32"/>
      <w:szCs w:val="22"/>
      <w:lang w:val="en-US" w:eastAsia="zh-CN" w:bidi="ar-SA"/>
    </w:rPr>
  </w:style>
  <w:style w:type="paragraph" w:styleId="3">
    <w:name w:val="heading 1"/>
    <w:basedOn w:val="1"/>
    <w:next w:val="1"/>
    <w:link w:val="32"/>
    <w:qFormat/>
    <w:uiPriority w:val="9"/>
    <w:pPr>
      <w:keepNext/>
      <w:keepLines/>
      <w:tabs>
        <w:tab w:val="left" w:pos="0"/>
        <w:tab w:val="left" w:pos="420"/>
      </w:tabs>
      <w:ind w:firstLine="0" w:firstLineChars="0"/>
      <w:jc w:val="left"/>
      <w:outlineLvl w:val="0"/>
    </w:pPr>
    <w:rPr>
      <w:rFonts w:eastAsia="方正黑体_GBK"/>
      <w:b/>
      <w:kern w:val="44"/>
    </w:rPr>
  </w:style>
  <w:style w:type="paragraph" w:styleId="4">
    <w:name w:val="heading 2"/>
    <w:basedOn w:val="1"/>
    <w:next w:val="1"/>
    <w:link w:val="33"/>
    <w:qFormat/>
    <w:uiPriority w:val="9"/>
    <w:pPr>
      <w:tabs>
        <w:tab w:val="left" w:pos="0"/>
      </w:tabs>
      <w:snapToGrid w:val="0"/>
      <w:spacing w:beforeAutospacing="1" w:afterAutospacing="1"/>
      <w:ind w:firstLine="0" w:firstLineChars="0"/>
      <w:jc w:val="left"/>
      <w:outlineLvl w:val="1"/>
    </w:pPr>
    <w:rPr>
      <w:rFonts w:hint="eastAsia" w:ascii="宋体" w:hAnsi="宋体" w:eastAsia="宋体" w:cs="Times New Roman"/>
      <w:b/>
      <w:bCs/>
      <w:kern w:val="0"/>
      <w:sz w:val="36"/>
      <w:szCs w:val="36"/>
    </w:rPr>
  </w:style>
  <w:style w:type="paragraph" w:styleId="5">
    <w:name w:val="heading 3"/>
    <w:basedOn w:val="1"/>
    <w:next w:val="1"/>
    <w:link w:val="34"/>
    <w:qFormat/>
    <w:uiPriority w:val="0"/>
    <w:pPr>
      <w:keepNext/>
      <w:keepLines/>
      <w:numPr>
        <w:ilvl w:val="2"/>
        <w:numId w:val="1"/>
      </w:numPr>
      <w:tabs>
        <w:tab w:val="clear" w:pos="420"/>
      </w:tabs>
      <w:ind w:firstLine="0" w:firstLineChars="0"/>
      <w:jc w:val="left"/>
      <w:outlineLvl w:val="2"/>
    </w:pPr>
    <w:rPr>
      <w:b/>
    </w:rPr>
  </w:style>
  <w:style w:type="paragraph" w:styleId="6">
    <w:name w:val="heading 4"/>
    <w:basedOn w:val="1"/>
    <w:next w:val="1"/>
    <w:link w:val="35"/>
    <w:qFormat/>
    <w:uiPriority w:val="0"/>
    <w:pPr>
      <w:keepNext/>
      <w:keepLines/>
      <w:numPr>
        <w:ilvl w:val="3"/>
        <w:numId w:val="2"/>
      </w:numPr>
      <w:ind w:firstLine="0" w:firstLineChars="0"/>
      <w:outlineLvl w:val="3"/>
    </w:pPr>
    <w:rPr>
      <w:rFonts w:eastAsia="宋体"/>
      <w:b/>
      <w:sz w:val="28"/>
    </w:rPr>
  </w:style>
  <w:style w:type="paragraph" w:styleId="7">
    <w:name w:val="heading 5"/>
    <w:basedOn w:val="1"/>
    <w:next w:val="1"/>
    <w:link w:val="36"/>
    <w:qFormat/>
    <w:uiPriority w:val="0"/>
    <w:pPr>
      <w:keepNext/>
      <w:keepLines/>
      <w:numPr>
        <w:ilvl w:val="4"/>
        <w:numId w:val="2"/>
      </w:numPr>
      <w:spacing w:before="280" w:after="290" w:line="372" w:lineRule="auto"/>
      <w:ind w:firstLine="0" w:firstLineChars="0"/>
      <w:outlineLvl w:val="4"/>
    </w:pPr>
    <w:rPr>
      <w:b/>
      <w:sz w:val="28"/>
    </w:rPr>
  </w:style>
  <w:style w:type="paragraph" w:styleId="8">
    <w:name w:val="heading 6"/>
    <w:basedOn w:val="1"/>
    <w:next w:val="1"/>
    <w:link w:val="37"/>
    <w:qFormat/>
    <w:uiPriority w:val="0"/>
    <w:pPr>
      <w:keepNext/>
      <w:keepLines/>
      <w:numPr>
        <w:ilvl w:val="5"/>
        <w:numId w:val="2"/>
      </w:numPr>
      <w:spacing w:before="240" w:after="64" w:line="317" w:lineRule="auto"/>
      <w:ind w:firstLine="0" w:firstLineChars="0"/>
      <w:outlineLvl w:val="5"/>
    </w:pPr>
    <w:rPr>
      <w:rFonts w:ascii="Arial" w:hAnsi="Arial" w:eastAsia="黑体"/>
      <w:b/>
      <w:sz w:val="24"/>
    </w:rPr>
  </w:style>
  <w:style w:type="paragraph" w:styleId="9">
    <w:name w:val="heading 7"/>
    <w:basedOn w:val="1"/>
    <w:next w:val="1"/>
    <w:link w:val="38"/>
    <w:qFormat/>
    <w:uiPriority w:val="0"/>
    <w:pPr>
      <w:keepNext/>
      <w:keepLines/>
      <w:numPr>
        <w:ilvl w:val="6"/>
        <w:numId w:val="2"/>
      </w:numPr>
      <w:spacing w:before="240" w:after="64" w:line="317" w:lineRule="auto"/>
      <w:ind w:firstLine="0" w:firstLineChars="0"/>
      <w:outlineLvl w:val="6"/>
    </w:pPr>
    <w:rPr>
      <w:b/>
      <w:sz w:val="24"/>
    </w:rPr>
  </w:style>
  <w:style w:type="paragraph" w:styleId="10">
    <w:name w:val="heading 8"/>
    <w:basedOn w:val="1"/>
    <w:next w:val="1"/>
    <w:link w:val="39"/>
    <w:qFormat/>
    <w:uiPriority w:val="0"/>
    <w:pPr>
      <w:keepNext/>
      <w:keepLines/>
      <w:numPr>
        <w:ilvl w:val="7"/>
        <w:numId w:val="2"/>
      </w:numPr>
      <w:spacing w:before="240" w:after="64" w:line="317" w:lineRule="auto"/>
      <w:ind w:firstLine="0" w:firstLineChars="0"/>
      <w:outlineLvl w:val="7"/>
    </w:pPr>
    <w:rPr>
      <w:rFonts w:ascii="Arial" w:hAnsi="Arial" w:eastAsia="黑体"/>
      <w:sz w:val="24"/>
    </w:rPr>
  </w:style>
  <w:style w:type="paragraph" w:styleId="11">
    <w:name w:val="heading 9"/>
    <w:basedOn w:val="1"/>
    <w:next w:val="1"/>
    <w:link w:val="40"/>
    <w:qFormat/>
    <w:uiPriority w:val="0"/>
    <w:pPr>
      <w:keepNext/>
      <w:keepLines/>
      <w:numPr>
        <w:ilvl w:val="8"/>
        <w:numId w:val="2"/>
      </w:numPr>
      <w:spacing w:before="240" w:after="64" w:line="317" w:lineRule="auto"/>
      <w:ind w:firstLine="0" w:firstLineChars="0"/>
      <w:outlineLvl w:val="8"/>
    </w:pPr>
    <w:rPr>
      <w:rFonts w:ascii="Arial" w:hAnsi="Arial" w:eastAsia="黑体"/>
      <w:sz w:val="21"/>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41"/>
    <w:qFormat/>
    <w:uiPriority w:val="99"/>
    <w:pPr>
      <w:spacing w:after="120"/>
    </w:pPr>
  </w:style>
  <w:style w:type="paragraph" w:styleId="12">
    <w:name w:val="annotation text"/>
    <w:basedOn w:val="1"/>
    <w:link w:val="42"/>
    <w:qFormat/>
    <w:uiPriority w:val="0"/>
    <w:pPr>
      <w:jc w:val="left"/>
    </w:pPr>
  </w:style>
  <w:style w:type="paragraph" w:styleId="13">
    <w:name w:val="Body Text Indent"/>
    <w:basedOn w:val="1"/>
    <w:qFormat/>
    <w:uiPriority w:val="0"/>
    <w:pPr>
      <w:ind w:firstLine="420"/>
    </w:pPr>
    <w:rPr>
      <w:szCs w:val="20"/>
    </w:rPr>
  </w:style>
  <w:style w:type="paragraph" w:styleId="14">
    <w:name w:val="toc 3"/>
    <w:basedOn w:val="1"/>
    <w:next w:val="1"/>
    <w:qFormat/>
    <w:uiPriority w:val="39"/>
    <w:pPr>
      <w:widowControl/>
      <w:spacing w:after="100" w:line="259" w:lineRule="auto"/>
      <w:ind w:left="440" w:firstLine="0" w:firstLineChars="0"/>
      <w:jc w:val="left"/>
    </w:pPr>
    <w:rPr>
      <w:rFonts w:ascii="Calibri" w:hAnsi="Calibri" w:eastAsia="宋体" w:cs="Times New Roman"/>
      <w:kern w:val="0"/>
      <w:sz w:val="22"/>
    </w:rPr>
  </w:style>
  <w:style w:type="paragraph" w:styleId="15">
    <w:name w:val="footer"/>
    <w:basedOn w:val="1"/>
    <w:link w:val="31"/>
    <w:unhideWhenUsed/>
    <w:qFormat/>
    <w:uiPriority w:val="99"/>
    <w:pPr>
      <w:tabs>
        <w:tab w:val="center" w:pos="4153"/>
        <w:tab w:val="right" w:pos="8306"/>
      </w:tabs>
      <w:snapToGrid w:val="0"/>
      <w:jc w:val="left"/>
    </w:pPr>
    <w:rPr>
      <w:sz w:val="18"/>
      <w:szCs w:val="18"/>
    </w:rPr>
  </w:style>
  <w:style w:type="paragraph" w:styleId="16">
    <w:name w:val="header"/>
    <w:basedOn w:val="1"/>
    <w:link w:val="30"/>
    <w:unhideWhenUsed/>
    <w:qFormat/>
    <w:uiPriority w:val="99"/>
    <w:pPr>
      <w:tabs>
        <w:tab w:val="center" w:pos="4153"/>
        <w:tab w:val="right" w:pos="8306"/>
      </w:tabs>
      <w:snapToGrid w:val="0"/>
      <w:jc w:val="center"/>
    </w:pPr>
    <w:rPr>
      <w:sz w:val="18"/>
      <w:szCs w:val="18"/>
    </w:rPr>
  </w:style>
  <w:style w:type="paragraph" w:styleId="17">
    <w:name w:val="toc 1"/>
    <w:basedOn w:val="1"/>
    <w:next w:val="1"/>
    <w:qFormat/>
    <w:uiPriority w:val="39"/>
    <w:pPr>
      <w:widowControl/>
      <w:spacing w:after="100" w:line="259" w:lineRule="auto"/>
      <w:ind w:firstLine="0" w:firstLineChars="0"/>
      <w:jc w:val="left"/>
    </w:pPr>
    <w:rPr>
      <w:rFonts w:ascii="Calibri" w:hAnsi="Calibri" w:eastAsia="宋体" w:cs="Times New Roman"/>
      <w:kern w:val="0"/>
      <w:sz w:val="22"/>
    </w:rPr>
  </w:style>
  <w:style w:type="paragraph" w:styleId="18">
    <w:name w:val="footnote text"/>
    <w:basedOn w:val="1"/>
    <w:link w:val="43"/>
    <w:qFormat/>
    <w:uiPriority w:val="0"/>
    <w:pPr>
      <w:snapToGrid w:val="0"/>
      <w:jc w:val="left"/>
    </w:pPr>
    <w:rPr>
      <w:sz w:val="18"/>
    </w:rPr>
  </w:style>
  <w:style w:type="paragraph" w:styleId="19">
    <w:name w:val="toc 2"/>
    <w:basedOn w:val="1"/>
    <w:next w:val="1"/>
    <w:qFormat/>
    <w:uiPriority w:val="39"/>
    <w:pPr>
      <w:widowControl/>
      <w:spacing w:after="100" w:line="259" w:lineRule="auto"/>
      <w:ind w:left="220" w:firstLine="0" w:firstLineChars="0"/>
      <w:jc w:val="left"/>
    </w:pPr>
    <w:rPr>
      <w:rFonts w:ascii="Calibri" w:hAnsi="Calibri" w:eastAsia="宋体" w:cs="Times New Roman"/>
      <w:kern w:val="0"/>
      <w:sz w:val="22"/>
    </w:rPr>
  </w:style>
  <w:style w:type="paragraph" w:styleId="20">
    <w:name w:val="HTML Preformatted"/>
    <w:basedOn w:val="1"/>
    <w:link w:val="44"/>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paragraph" w:styleId="21">
    <w:name w:val="Normal (Web)"/>
    <w:basedOn w:val="1"/>
    <w:semiHidden/>
    <w:unhideWhenUsed/>
    <w:qFormat/>
    <w:uiPriority w:val="99"/>
    <w:pPr>
      <w:spacing w:beforeAutospacing="1" w:afterAutospacing="1"/>
      <w:jc w:val="left"/>
    </w:pPr>
    <w:rPr>
      <w:rFonts w:cs="Times New Roman"/>
      <w:kern w:val="0"/>
      <w:sz w:val="24"/>
    </w:rPr>
  </w:style>
  <w:style w:type="table" w:styleId="23">
    <w:name w:val="Table Grid"/>
    <w:basedOn w:val="22"/>
    <w:qFormat/>
    <w:uiPriority w:val="59"/>
    <w:rPr>
      <w:rFonts w:eastAsia="宋体"/>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5">
    <w:name w:val="Strong"/>
    <w:basedOn w:val="24"/>
    <w:qFormat/>
    <w:uiPriority w:val="0"/>
    <w:rPr>
      <w:b/>
    </w:rPr>
  </w:style>
  <w:style w:type="character" w:styleId="26">
    <w:name w:val="page number"/>
    <w:basedOn w:val="24"/>
    <w:semiHidden/>
    <w:unhideWhenUsed/>
    <w:qFormat/>
    <w:uiPriority w:val="99"/>
  </w:style>
  <w:style w:type="character" w:styleId="27">
    <w:name w:val="FollowedHyperlink"/>
    <w:basedOn w:val="24"/>
    <w:semiHidden/>
    <w:unhideWhenUsed/>
    <w:qFormat/>
    <w:uiPriority w:val="99"/>
    <w:rPr>
      <w:color w:val="954F72" w:themeColor="followedHyperlink"/>
      <w:u w:val="single"/>
      <w14:textFill>
        <w14:solidFill>
          <w14:schemeClr w14:val="folHlink"/>
        </w14:solidFill>
      </w14:textFill>
    </w:rPr>
  </w:style>
  <w:style w:type="character" w:styleId="28">
    <w:name w:val="line number"/>
    <w:basedOn w:val="24"/>
    <w:semiHidden/>
    <w:unhideWhenUsed/>
    <w:qFormat/>
    <w:uiPriority w:val="99"/>
  </w:style>
  <w:style w:type="character" w:styleId="29">
    <w:name w:val="Hyperlink"/>
    <w:basedOn w:val="24"/>
    <w:qFormat/>
    <w:uiPriority w:val="99"/>
    <w:rPr>
      <w:color w:val="0000FF"/>
      <w:u w:val="single"/>
    </w:rPr>
  </w:style>
  <w:style w:type="character" w:customStyle="1" w:styleId="30">
    <w:name w:val="页眉 字符"/>
    <w:basedOn w:val="24"/>
    <w:link w:val="16"/>
    <w:qFormat/>
    <w:uiPriority w:val="99"/>
    <w:rPr>
      <w:sz w:val="18"/>
      <w:szCs w:val="18"/>
    </w:rPr>
  </w:style>
  <w:style w:type="character" w:customStyle="1" w:styleId="31">
    <w:name w:val="页脚 字符"/>
    <w:basedOn w:val="24"/>
    <w:link w:val="15"/>
    <w:qFormat/>
    <w:uiPriority w:val="99"/>
    <w:rPr>
      <w:sz w:val="18"/>
      <w:szCs w:val="18"/>
    </w:rPr>
  </w:style>
  <w:style w:type="character" w:customStyle="1" w:styleId="32">
    <w:name w:val="标题 1 字符"/>
    <w:basedOn w:val="24"/>
    <w:link w:val="3"/>
    <w:qFormat/>
    <w:uiPriority w:val="9"/>
    <w:rPr>
      <w:rFonts w:ascii="Times New Roman" w:hAnsi="Times New Roman" w:eastAsia="方正黑体_GBK" w:cs="宋体"/>
      <w:b/>
      <w:kern w:val="44"/>
      <w:sz w:val="32"/>
    </w:rPr>
  </w:style>
  <w:style w:type="character" w:customStyle="1" w:styleId="33">
    <w:name w:val="标题 2 字符"/>
    <w:basedOn w:val="24"/>
    <w:link w:val="4"/>
    <w:qFormat/>
    <w:uiPriority w:val="9"/>
    <w:rPr>
      <w:rFonts w:ascii="宋体" w:hAnsi="宋体" w:eastAsia="宋体" w:cs="Times New Roman"/>
      <w:b/>
      <w:bCs/>
      <w:kern w:val="0"/>
      <w:sz w:val="36"/>
      <w:szCs w:val="36"/>
    </w:rPr>
  </w:style>
  <w:style w:type="character" w:customStyle="1" w:styleId="34">
    <w:name w:val="标题 3 字符"/>
    <w:basedOn w:val="24"/>
    <w:link w:val="5"/>
    <w:qFormat/>
    <w:uiPriority w:val="0"/>
    <w:rPr>
      <w:rFonts w:ascii="Times New Roman" w:hAnsi="Times New Roman" w:eastAsia="方正仿宋_GBK" w:cs="宋体"/>
      <w:b/>
      <w:sz w:val="32"/>
    </w:rPr>
  </w:style>
  <w:style w:type="character" w:customStyle="1" w:styleId="35">
    <w:name w:val="标题 4 字符"/>
    <w:basedOn w:val="24"/>
    <w:link w:val="6"/>
    <w:qFormat/>
    <w:uiPriority w:val="0"/>
    <w:rPr>
      <w:rFonts w:ascii="Times New Roman" w:hAnsi="Times New Roman" w:eastAsia="宋体" w:cs="宋体"/>
      <w:b/>
      <w:sz w:val="28"/>
    </w:rPr>
  </w:style>
  <w:style w:type="character" w:customStyle="1" w:styleId="36">
    <w:name w:val="标题 5 字符"/>
    <w:basedOn w:val="24"/>
    <w:link w:val="7"/>
    <w:qFormat/>
    <w:uiPriority w:val="0"/>
    <w:rPr>
      <w:rFonts w:ascii="Times New Roman" w:hAnsi="Times New Roman" w:eastAsia="方正仿宋_GBK" w:cs="宋体"/>
      <w:b/>
      <w:sz w:val="28"/>
    </w:rPr>
  </w:style>
  <w:style w:type="character" w:customStyle="1" w:styleId="37">
    <w:name w:val="标题 6 字符"/>
    <w:basedOn w:val="24"/>
    <w:link w:val="8"/>
    <w:qFormat/>
    <w:uiPriority w:val="0"/>
    <w:rPr>
      <w:rFonts w:ascii="Arial" w:hAnsi="Arial" w:eastAsia="黑体" w:cs="宋体"/>
      <w:b/>
      <w:sz w:val="24"/>
    </w:rPr>
  </w:style>
  <w:style w:type="character" w:customStyle="1" w:styleId="38">
    <w:name w:val="标题 7 字符"/>
    <w:basedOn w:val="24"/>
    <w:link w:val="9"/>
    <w:qFormat/>
    <w:uiPriority w:val="0"/>
    <w:rPr>
      <w:rFonts w:ascii="Times New Roman" w:hAnsi="Times New Roman" w:eastAsia="方正仿宋_GBK" w:cs="宋体"/>
      <w:b/>
      <w:sz w:val="24"/>
    </w:rPr>
  </w:style>
  <w:style w:type="character" w:customStyle="1" w:styleId="39">
    <w:name w:val="标题 8 字符"/>
    <w:basedOn w:val="24"/>
    <w:link w:val="10"/>
    <w:qFormat/>
    <w:uiPriority w:val="0"/>
    <w:rPr>
      <w:rFonts w:ascii="Arial" w:hAnsi="Arial" w:eastAsia="黑体" w:cs="宋体"/>
      <w:sz w:val="24"/>
    </w:rPr>
  </w:style>
  <w:style w:type="character" w:customStyle="1" w:styleId="40">
    <w:name w:val="标题 9 字符"/>
    <w:basedOn w:val="24"/>
    <w:link w:val="11"/>
    <w:qFormat/>
    <w:uiPriority w:val="0"/>
    <w:rPr>
      <w:rFonts w:ascii="Arial" w:hAnsi="Arial" w:eastAsia="黑体" w:cs="宋体"/>
    </w:rPr>
  </w:style>
  <w:style w:type="character" w:customStyle="1" w:styleId="41">
    <w:name w:val="正文文本 字符"/>
    <w:basedOn w:val="24"/>
    <w:link w:val="2"/>
    <w:qFormat/>
    <w:uiPriority w:val="99"/>
    <w:rPr>
      <w:rFonts w:ascii="Times New Roman" w:hAnsi="Times New Roman" w:eastAsia="方正仿宋_GBK" w:cs="宋体"/>
      <w:sz w:val="32"/>
    </w:rPr>
  </w:style>
  <w:style w:type="character" w:customStyle="1" w:styleId="42">
    <w:name w:val="批注文字 字符"/>
    <w:basedOn w:val="24"/>
    <w:link w:val="12"/>
    <w:qFormat/>
    <w:uiPriority w:val="0"/>
    <w:rPr>
      <w:rFonts w:ascii="Times New Roman" w:hAnsi="Times New Roman" w:eastAsia="方正仿宋_GBK" w:cs="宋体"/>
      <w:sz w:val="32"/>
    </w:rPr>
  </w:style>
  <w:style w:type="character" w:customStyle="1" w:styleId="43">
    <w:name w:val="脚注文本 字符"/>
    <w:basedOn w:val="24"/>
    <w:link w:val="18"/>
    <w:qFormat/>
    <w:uiPriority w:val="0"/>
    <w:rPr>
      <w:rFonts w:ascii="Times New Roman" w:hAnsi="Times New Roman" w:eastAsia="方正仿宋_GBK" w:cs="宋体"/>
      <w:sz w:val="18"/>
    </w:rPr>
  </w:style>
  <w:style w:type="character" w:customStyle="1" w:styleId="44">
    <w:name w:val="HTML 预设格式 字符"/>
    <w:basedOn w:val="24"/>
    <w:link w:val="20"/>
    <w:qFormat/>
    <w:uiPriority w:val="0"/>
    <w:rPr>
      <w:rFonts w:ascii="宋体" w:hAnsi="宋体" w:eastAsia="宋体" w:cs="宋体"/>
      <w:kern w:val="0"/>
      <w:sz w:val="24"/>
      <w:szCs w:val="24"/>
    </w:rPr>
  </w:style>
  <w:style w:type="paragraph" w:customStyle="1" w:styleId="45">
    <w:name w:val="图标备注"/>
    <w:basedOn w:val="1"/>
    <w:qFormat/>
    <w:uiPriority w:val="0"/>
    <w:pPr>
      <w:spacing w:line="240" w:lineRule="auto"/>
      <w:ind w:firstLine="0" w:firstLineChars="0"/>
    </w:pPr>
    <w:rPr>
      <w:rFonts w:eastAsia="仿宋"/>
    </w:rPr>
  </w:style>
  <w:style w:type="paragraph" w:customStyle="1" w:styleId="46">
    <w:name w:val="表格标题"/>
    <w:basedOn w:val="1"/>
    <w:qFormat/>
    <w:uiPriority w:val="0"/>
    <w:pPr>
      <w:numPr>
        <w:ilvl w:val="0"/>
        <w:numId w:val="3"/>
      </w:numPr>
      <w:spacing w:line="240" w:lineRule="auto"/>
      <w:ind w:firstLineChars="0"/>
      <w:jc w:val="center"/>
    </w:pPr>
    <w:rPr>
      <w:b/>
    </w:rPr>
  </w:style>
  <w:style w:type="paragraph" w:customStyle="1" w:styleId="47">
    <w:name w:val="图标题"/>
    <w:basedOn w:val="1"/>
    <w:qFormat/>
    <w:uiPriority w:val="0"/>
    <w:pPr>
      <w:numPr>
        <w:ilvl w:val="0"/>
        <w:numId w:val="4"/>
      </w:numPr>
      <w:spacing w:line="240" w:lineRule="auto"/>
      <w:ind w:firstLine="0" w:firstLineChars="0"/>
      <w:jc w:val="center"/>
    </w:pPr>
    <w:rPr>
      <w:b/>
    </w:rPr>
  </w:style>
  <w:style w:type="paragraph" w:customStyle="1" w:styleId="48">
    <w:name w:val="表内格式"/>
    <w:basedOn w:val="1"/>
    <w:qFormat/>
    <w:uiPriority w:val="0"/>
    <w:pPr>
      <w:spacing w:line="240" w:lineRule="auto"/>
      <w:ind w:firstLine="0" w:firstLineChars="0"/>
    </w:pPr>
    <w:rPr>
      <w:sz w:val="24"/>
    </w:rPr>
  </w:style>
  <w:style w:type="paragraph" w:customStyle="1" w:styleId="49">
    <w:name w:val="大标题"/>
    <w:basedOn w:val="1"/>
    <w:qFormat/>
    <w:uiPriority w:val="0"/>
    <w:pPr>
      <w:ind w:firstLine="0" w:firstLineChars="0"/>
      <w:jc w:val="center"/>
    </w:pPr>
    <w:rPr>
      <w:rFonts w:ascii="Calibri" w:hAnsi="Calibri" w:eastAsia="方正小标宋_GBK" w:cs="Times New Roman"/>
      <w:b/>
      <w:sz w:val="44"/>
    </w:rPr>
  </w:style>
  <w:style w:type="paragraph" w:customStyle="1" w:styleId="50">
    <w:name w:val="图片格式"/>
    <w:basedOn w:val="1"/>
    <w:qFormat/>
    <w:uiPriority w:val="0"/>
    <w:pPr>
      <w:ind w:firstLine="0" w:firstLineChars="0"/>
      <w:jc w:val="center"/>
    </w:pPr>
    <w:rPr>
      <w:b/>
    </w:rPr>
  </w:style>
  <w:style w:type="paragraph" w:customStyle="1" w:styleId="51">
    <w:name w:val="封面副标题"/>
    <w:basedOn w:val="1"/>
    <w:qFormat/>
    <w:uiPriority w:val="0"/>
    <w:pPr>
      <w:ind w:firstLine="5301" w:firstLineChars="1200"/>
      <w:jc w:val="left"/>
    </w:pPr>
    <w:rPr>
      <w:rFonts w:eastAsia="方正小标宋_GBK" w:cs="Times New Roman"/>
      <w:sz w:val="24"/>
    </w:rPr>
  </w:style>
  <w:style w:type="paragraph" w:styleId="52">
    <w:name w:val="List Paragraph"/>
    <w:basedOn w:val="1"/>
    <w:qFormat/>
    <w:uiPriority w:val="99"/>
    <w:pPr>
      <w:ind w:firstLine="420"/>
    </w:pPr>
  </w:style>
  <w:style w:type="paragraph" w:customStyle="1" w:styleId="53">
    <w:name w:val="TOC 标题1"/>
    <w:basedOn w:val="3"/>
    <w:next w:val="1"/>
    <w:qFormat/>
    <w:uiPriority w:val="39"/>
    <w:pPr>
      <w:widowControl/>
      <w:tabs>
        <w:tab w:val="clear" w:pos="0"/>
        <w:tab w:val="clear" w:pos="420"/>
      </w:tabs>
      <w:spacing w:before="240" w:line="259" w:lineRule="auto"/>
      <w:outlineLvl w:val="9"/>
    </w:pPr>
    <w:rPr>
      <w:rFonts w:ascii="Calibri Light" w:hAnsi="Calibri Light" w:eastAsia="宋体"/>
      <w:b w:val="0"/>
      <w:color w:val="2E75B6"/>
      <w:kern w:val="0"/>
      <w:szCs w:val="32"/>
    </w:rPr>
  </w:style>
  <w:style w:type="character" w:customStyle="1" w:styleId="54">
    <w:name w:val="未处理的提及1"/>
    <w:basedOn w:val="24"/>
    <w:qFormat/>
    <w:uiPriority w:val="99"/>
    <w:rPr>
      <w:color w:val="605E5C"/>
      <w:shd w:val="clear" w:color="auto" w:fill="E1DFDD"/>
    </w:rPr>
  </w:style>
  <w:style w:type="table" w:customStyle="1" w:styleId="55">
    <w:name w:val="Table Normal"/>
    <w:qFormat/>
    <w:uiPriority w:val="0"/>
    <w:rPr>
      <w:rFonts w:eastAsia="宋体"/>
    </w:rPr>
    <w:tblPr>
      <w:tblCellMar>
        <w:top w:w="0" w:type="dxa"/>
        <w:left w:w="0" w:type="dxa"/>
        <w:bottom w:w="0" w:type="dxa"/>
        <w:right w:w="0" w:type="dxa"/>
      </w:tblCellMar>
    </w:tblPr>
  </w:style>
  <w:style w:type="paragraph" w:customStyle="1" w:styleId="56">
    <w:name w:val="Table Text"/>
    <w:basedOn w:val="1"/>
    <w:qFormat/>
    <w:uiPriority w:val="0"/>
    <w:rPr>
      <w:rFonts w:ascii="宋体" w:hAnsi="宋体" w:eastAsia="宋体"/>
      <w:sz w:val="21"/>
      <w:szCs w:val="21"/>
      <w:lang w:eastAsia="en-US"/>
    </w:rPr>
  </w:style>
  <w:style w:type="paragraph" w:customStyle="1" w:styleId="57">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58">
    <w:name w:val="二级无"/>
    <w:qFormat/>
    <w:uiPriority w:val="0"/>
    <w:pPr>
      <w:numPr>
        <w:ilvl w:val="2"/>
        <w:numId w:val="5"/>
      </w:numPr>
      <w:outlineLvl w:val="3"/>
    </w:pPr>
    <w:rPr>
      <w:rFonts w:ascii="宋体" w:hAnsi="Times New Roman" w:eastAsia="宋体" w:cs="Times New Roman"/>
      <w:sz w:val="21"/>
      <w:szCs w:val="21"/>
      <w:lang w:val="en-US" w:eastAsia="zh-CN" w:bidi="ar-SA"/>
    </w:rPr>
  </w:style>
  <w:style w:type="character" w:customStyle="1" w:styleId="59">
    <w:name w:val="font21"/>
    <w:basedOn w:val="24"/>
    <w:qFormat/>
    <w:uiPriority w:val="0"/>
    <w:rPr>
      <w:rFonts w:hint="eastAsia" w:ascii="方正仿宋_GBK" w:hAnsi="方正仿宋_GBK" w:eastAsia="方正仿宋_GBK" w:cs="方正仿宋_GBK"/>
      <w:b/>
      <w:bCs/>
      <w:color w:val="000000"/>
      <w:sz w:val="21"/>
      <w:szCs w:val="21"/>
      <w:u w:val="none"/>
    </w:rPr>
  </w:style>
  <w:style w:type="character" w:customStyle="1" w:styleId="60">
    <w:name w:val="font51"/>
    <w:basedOn w:val="24"/>
    <w:qFormat/>
    <w:uiPriority w:val="0"/>
    <w:rPr>
      <w:rFonts w:hint="eastAsia" w:ascii="方正仿宋_GBK" w:hAnsi="方正仿宋_GBK" w:eastAsia="方正仿宋_GBK" w:cs="方正仿宋_GBK"/>
      <w:color w:val="000000"/>
      <w:sz w:val="20"/>
      <w:szCs w:val="20"/>
      <w:u w:val="none"/>
      <w:vertAlign w:val="subscript"/>
    </w:rPr>
  </w:style>
  <w:style w:type="character" w:customStyle="1" w:styleId="61">
    <w:name w:val="font41"/>
    <w:basedOn w:val="24"/>
    <w:qFormat/>
    <w:uiPriority w:val="0"/>
    <w:rPr>
      <w:rFonts w:hint="eastAsia" w:ascii="方正仿宋_GBK" w:hAnsi="方正仿宋_GBK" w:eastAsia="方正仿宋_GBK" w:cs="方正仿宋_GBK"/>
      <w:color w:val="000000"/>
      <w:sz w:val="20"/>
      <w:szCs w:val="20"/>
      <w:u w:val="none"/>
    </w:rPr>
  </w:style>
  <w:style w:type="character" w:customStyle="1" w:styleId="62">
    <w:name w:val="font61"/>
    <w:basedOn w:val="24"/>
    <w:qFormat/>
    <w:uiPriority w:val="0"/>
    <w:rPr>
      <w:rFonts w:hint="eastAsia" w:ascii="方正仿宋_GBK" w:hAnsi="方正仿宋_GBK" w:eastAsia="方正仿宋_GBK" w:cs="方正仿宋_GBK"/>
      <w:color w:val="000000"/>
      <w:sz w:val="20"/>
      <w:szCs w:val="20"/>
      <w:u w:val="none"/>
    </w:rPr>
  </w:style>
  <w:style w:type="character" w:customStyle="1" w:styleId="63">
    <w:name w:val="font71"/>
    <w:basedOn w:val="24"/>
    <w:qFormat/>
    <w:uiPriority w:val="0"/>
    <w:rPr>
      <w:rFonts w:hint="eastAsia" w:ascii="方正仿宋_GBK" w:hAnsi="方正仿宋_GBK" w:eastAsia="方正仿宋_GBK" w:cs="方正仿宋_GBK"/>
      <w:color w:val="000000"/>
      <w:sz w:val="20"/>
      <w:szCs w:val="20"/>
      <w:u w:val="none"/>
      <w:vertAlign w:val="subscript"/>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image" Target="media/image3.png"/><Relationship Id="rId28" Type="http://schemas.openxmlformats.org/officeDocument/2006/relationships/image" Target="media/image2.png"/><Relationship Id="rId27" Type="http://schemas.openxmlformats.org/officeDocument/2006/relationships/image" Target="media/image1.jpeg"/><Relationship Id="rId26" Type="http://schemas.openxmlformats.org/officeDocument/2006/relationships/theme" Target="theme/theme1.xml"/><Relationship Id="rId25" Type="http://schemas.openxmlformats.org/officeDocument/2006/relationships/header" Target="header12.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35</Pages>
  <Words>11207</Words>
  <Characters>12082</Characters>
  <Lines>220</Lines>
  <Paragraphs>62</Paragraphs>
  <TotalTime>261</TotalTime>
  <ScaleCrop>false</ScaleCrop>
  <LinksUpToDate>false</LinksUpToDate>
  <CharactersWithSpaces>12280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2024-07-30T13:23:00Z</dcterms:created>
  <dc:creator>jacob stark</dc:creator>
  <cp:lastModifiedBy>我的栋啊</cp:lastModifiedBy>
  <cp:lastPrinted>2024-08-02T08:37:00Z</cp:lastPrinted>
  <dcterms:modified xsi:type="dcterms:W3CDTF">2025-08-14T02:24:05Z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166E71BA7E719897E58CC66738666272_43</vt:lpwstr>
  </property>
  <property fmtid="{D5CDD505-2E9C-101B-9397-08002B2CF9AE}" pid="4" name="KSOTemplateDocerSaveRecord">
    <vt:lpwstr>eyJoZGlkIjoiZWExNTdhN2VlYTI1MzAzZTNkM2VhMDhmMmViYzgyMjQiLCJ1c2VySWQiOiIyNDEyNjkzNDkifQ==</vt:lpwstr>
  </property>
</Properties>
</file>