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520" w:lineRule="exact"/>
        <w:ind w:right="170"/>
        <w:jc w:val="center"/>
        <w:textAlignment w:val="baseline"/>
        <w:rPr>
          <w:rFonts w:hint="eastAsia" w:ascii="黑体" w:hAnsi="黑体" w:eastAsia="黑体" w:cs="黑体"/>
          <w:b/>
          <w:snapToGrid w:val="0"/>
          <w:color w:val="000000"/>
          <w:kern w:val="0"/>
          <w:sz w:val="40"/>
          <w:szCs w:val="40"/>
          <w:highlight w:val="none"/>
          <w:lang w:val="en-US" w:eastAsia="zh-CN"/>
        </w:rPr>
      </w:pPr>
      <w:r>
        <w:rPr>
          <w:rFonts w:hint="eastAsia" w:ascii="黑体" w:hAnsi="黑体" w:eastAsia="黑体" w:cs="黑体"/>
          <w:b/>
          <w:snapToGrid w:val="0"/>
          <w:color w:val="000000"/>
          <w:kern w:val="0"/>
          <w:sz w:val="40"/>
          <w:szCs w:val="40"/>
          <w:highlight w:val="none"/>
          <w:lang w:val="en-US" w:eastAsia="zh-CN"/>
        </w:rPr>
        <w:t>关于江苏高邮农村商业银行股份有限公司</w:t>
      </w:r>
    </w:p>
    <w:p>
      <w:pPr>
        <w:keepNext w:val="0"/>
        <w:keepLines w:val="0"/>
        <w:pageBreakBefore w:val="0"/>
        <w:widowControl/>
        <w:kinsoku w:val="0"/>
        <w:wordWrap/>
        <w:overflowPunct/>
        <w:topLinePunct w:val="0"/>
        <w:autoSpaceDE w:val="0"/>
        <w:autoSpaceDN w:val="0"/>
        <w:bidi w:val="0"/>
        <w:adjustRightInd w:val="0"/>
        <w:snapToGrid w:val="0"/>
        <w:spacing w:line="520" w:lineRule="exact"/>
        <w:ind w:right="170"/>
        <w:jc w:val="center"/>
        <w:textAlignment w:val="baseline"/>
        <w:rPr>
          <w:rFonts w:hint="eastAsia" w:ascii="黑体" w:hAnsi="黑体" w:eastAsia="黑体" w:cs="黑体"/>
          <w:b/>
          <w:snapToGrid w:val="0"/>
          <w:color w:val="000000"/>
          <w:kern w:val="0"/>
          <w:sz w:val="40"/>
          <w:szCs w:val="40"/>
          <w:highlight w:val="none"/>
          <w:lang w:val="en-US" w:eastAsia="zh-CN"/>
        </w:rPr>
      </w:pPr>
      <w:r>
        <w:rPr>
          <w:rFonts w:hint="eastAsia" w:ascii="黑体" w:hAnsi="黑体" w:eastAsia="黑体" w:cs="黑体"/>
          <w:b/>
          <w:snapToGrid w:val="0"/>
          <w:color w:val="000000"/>
          <w:kern w:val="0"/>
          <w:sz w:val="40"/>
          <w:szCs w:val="40"/>
          <w:highlight w:val="none"/>
          <w:lang w:val="en-US" w:eastAsia="zh-CN"/>
        </w:rPr>
        <w:t>代理销售江苏江南农村商业银行股份有限公司黄金积存业务的公示</w:t>
      </w:r>
    </w:p>
    <w:p>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尊敬的投资者:</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为满足广大客户投资理财需要，向广大投资者提供更为丰富的财富产品，江苏高邮农村商业银行股份有限公司(以下简称“我行”)与江苏江南农村商业银行股份有限公司（以下简称"江南农商银行"）开展代理销售黄金积存业务合作，并就代销合作签署了相关协议，在其授权范围内代理销售黄金积存产品。现将代销黄金积存业务有关情况公示如下：</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2"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b/>
          <w:bCs/>
          <w:snapToGrid w:val="0"/>
          <w:color w:val="000000"/>
          <w:kern w:val="0"/>
          <w:sz w:val="30"/>
          <w:szCs w:val="30"/>
          <w:lang w:val="en-US" w:eastAsia="zh-CN"/>
        </w:rPr>
        <w:t>一、主体权责说明</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1.产品发行管理机构：江南农商银行负责黄金账户开立、报价、交易清算、实物金提取、产品规则制定、信息披露等全部产品管理工作。</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z w:val="36"/>
          <w:szCs w:val="36"/>
        </w:rPr>
      </w:pPr>
      <w:r>
        <w:rPr>
          <w:rFonts w:hint="eastAsia" w:ascii="仿宋" w:hAnsi="仿宋" w:eastAsia="仿宋" w:cs="仿宋"/>
          <w:snapToGrid w:val="0"/>
          <w:color w:val="000000"/>
          <w:kern w:val="0"/>
          <w:sz w:val="30"/>
          <w:szCs w:val="30"/>
          <w:lang w:val="en-US" w:eastAsia="zh-CN"/>
        </w:rPr>
        <w:t>2.销售机构：我行仅提供代销渠道服务，不负责黄金账户管理，不承担黄金价格波动风险、产品兑付责任以及风险管理责任。产品全部权利义务以江南农商银行代销个人客户积存金业务协议、产品规则等为准。</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2" w:firstLineChars="200"/>
        <w:jc w:val="both"/>
        <w:textAlignment w:val="baseline"/>
        <w:rPr>
          <w:rFonts w:hint="eastAsia" w:ascii="仿宋" w:hAnsi="仿宋" w:eastAsia="仿宋" w:cs="仿宋"/>
          <w:b/>
          <w:bCs/>
          <w:snapToGrid w:val="0"/>
          <w:color w:val="000000"/>
          <w:kern w:val="0"/>
          <w:sz w:val="30"/>
          <w:szCs w:val="30"/>
          <w:lang w:val="en-US" w:eastAsia="zh-CN"/>
        </w:rPr>
      </w:pPr>
      <w:r>
        <w:rPr>
          <w:rFonts w:hint="eastAsia" w:ascii="仿宋" w:hAnsi="仿宋" w:eastAsia="仿宋" w:cs="仿宋"/>
          <w:b/>
          <w:bCs/>
          <w:snapToGrid w:val="0"/>
          <w:color w:val="000000"/>
          <w:kern w:val="0"/>
          <w:sz w:val="30"/>
          <w:szCs w:val="30"/>
          <w:lang w:val="en-US" w:eastAsia="zh-CN"/>
        </w:rPr>
        <w:t>二、发行机构（合作机构）基本情况</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1.机构名称：江苏江南农村商业银行股份有限公司；</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2.机构性质：银行业存款类金融机构（农村商业银行）；</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3.业务资质：上海黄金交易所金融类会员；</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4.统一社会信用代码：91320400699343815D；注册资本：1011545.2233万元；注册地址：江苏省常州市武进区延政中路9号（以发行机构公示信息为准）。</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2" w:firstLineChars="200"/>
        <w:jc w:val="both"/>
        <w:textAlignment w:val="baseline"/>
        <w:rPr>
          <w:rFonts w:hint="eastAsia" w:ascii="仿宋" w:hAnsi="仿宋" w:eastAsia="仿宋" w:cs="仿宋"/>
          <w:b/>
          <w:bCs/>
          <w:snapToGrid w:val="0"/>
          <w:color w:val="000000"/>
          <w:kern w:val="0"/>
          <w:sz w:val="30"/>
          <w:szCs w:val="30"/>
          <w:lang w:val="en-US" w:eastAsia="zh-CN"/>
        </w:rPr>
      </w:pPr>
      <w:r>
        <w:rPr>
          <w:rFonts w:hint="eastAsia" w:ascii="仿宋" w:hAnsi="仿宋" w:eastAsia="仿宋" w:cs="仿宋"/>
          <w:b/>
          <w:bCs/>
          <w:snapToGrid w:val="0"/>
          <w:color w:val="000000"/>
          <w:kern w:val="0"/>
          <w:sz w:val="30"/>
          <w:szCs w:val="30"/>
          <w:lang w:val="en-US" w:eastAsia="zh-CN"/>
        </w:rPr>
        <w:t>三、代销机构基本情况</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1.机构名称：江苏高邮农村商业银行股份有限公司；</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2.机构性质：银行业存款类金融机构（农村商业银行）；</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3.代销资质：本次代理销售黄金积存业务已按监管规定履行内部审批程序，并按照《中国人民银行办公厅关于加强银行业金融机构黄金市场业务管理有关事项的通知》要求完成相关备案。</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2" w:firstLineChars="200"/>
        <w:jc w:val="both"/>
        <w:textAlignment w:val="baseline"/>
        <w:rPr>
          <w:rFonts w:hint="eastAsia" w:ascii="仿宋" w:hAnsi="仿宋" w:eastAsia="仿宋" w:cs="仿宋"/>
          <w:b/>
          <w:bCs/>
          <w:snapToGrid w:val="0"/>
          <w:color w:val="000000"/>
          <w:kern w:val="0"/>
          <w:sz w:val="30"/>
          <w:szCs w:val="30"/>
          <w:lang w:val="en-US" w:eastAsia="zh-CN"/>
        </w:rPr>
      </w:pPr>
      <w:r>
        <w:rPr>
          <w:rFonts w:hint="eastAsia" w:ascii="仿宋" w:hAnsi="仿宋" w:eastAsia="仿宋" w:cs="仿宋"/>
          <w:b/>
          <w:bCs/>
          <w:snapToGrid w:val="0"/>
          <w:color w:val="000000"/>
          <w:kern w:val="0"/>
          <w:sz w:val="30"/>
          <w:szCs w:val="30"/>
          <w:lang w:val="en-US" w:eastAsia="zh-CN"/>
        </w:rPr>
        <w:t>四、代销黄金积存产品情况</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1.代销产品业务范围：积存金主动积存、积存金赎回、积存金定投、实物兑换等；</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2.产品性质：本产品为代理销售产品，非存款、非理财、非保本保收益产品；</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3.发行机构：江苏江南农村商业银行股份有限公司；</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default"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4.最小业务单位：1克；</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5.定价方式：由江南农商银行综合参考上海黄金交易所和国际贵金属市场价格、流动性等因素确定，我行仅展示；</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6.产品风险等级：R3；</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default"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7.适用客群：经我行风险承受能力评估，适合风险评级高于或等于平衡型级别的个人投资者，同时个人投资者须持有我行I类户且年满18周岁，具有完全民事行为能力等；</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default"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8.办理渠道：我行手机银行APP；</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9.交易时间：上海黄金交易所交易日的9:10-22:30（以发行机构公示信息为准）；</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10.收费标准：</w:t>
      </w:r>
      <w:bookmarkStart w:id="0" w:name="_GoBack"/>
      <w:bookmarkEnd w:id="0"/>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p>
    <w:tbl>
      <w:tblPr>
        <w:tblStyle w:val="3"/>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7"/>
        <w:gridCol w:w="1204"/>
        <w:gridCol w:w="861"/>
        <w:gridCol w:w="947"/>
        <w:gridCol w:w="708"/>
        <w:gridCol w:w="861"/>
        <w:gridCol w:w="1514"/>
        <w:gridCol w:w="775"/>
        <w:gridCol w:w="10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类别</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服务种类</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服务项目</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适用客户</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服务内容</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服务收费标准</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价格类别</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银行管理类及中间业务</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代销黄金积存</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主动积存手续费</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个人</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黄金主动积存</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按客户主动积存金额的0.5%</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市场调节价</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代销合作收费标准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代销黄金积存</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定期积存手续费</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个人</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黄金定期积存</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按客户每月定投金额的0.5%</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市场调节价</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代销合作收费标准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代销黄金积存</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赎回手续费</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个人</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黄金赎回</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按客户赎回金额的0.5%</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市场调节价</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代销合作收费标准</w:t>
            </w:r>
          </w:p>
        </w:tc>
      </w:tr>
    </w:tbl>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积存手续费、赎回手续费等按上述的收费标准执行，收费标准发生调整时，我行将于官网进行公告，最终以业务办理页面公示为准。</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2" w:firstLineChars="200"/>
        <w:jc w:val="both"/>
        <w:textAlignment w:val="baseline"/>
        <w:rPr>
          <w:rFonts w:hint="eastAsia" w:ascii="仿宋" w:hAnsi="仿宋" w:eastAsia="仿宋" w:cs="仿宋"/>
          <w:b/>
          <w:bCs/>
          <w:snapToGrid w:val="0"/>
          <w:color w:val="000000"/>
          <w:kern w:val="0"/>
          <w:sz w:val="30"/>
          <w:szCs w:val="30"/>
          <w:lang w:val="en-US" w:eastAsia="zh-CN"/>
        </w:rPr>
      </w:pPr>
      <w:r>
        <w:rPr>
          <w:rFonts w:hint="eastAsia" w:ascii="仿宋" w:hAnsi="仿宋" w:eastAsia="仿宋" w:cs="仿宋"/>
          <w:b/>
          <w:bCs/>
          <w:snapToGrid w:val="0"/>
          <w:color w:val="000000"/>
          <w:kern w:val="0"/>
          <w:sz w:val="30"/>
          <w:szCs w:val="30"/>
          <w:lang w:val="en-US" w:eastAsia="zh-CN"/>
        </w:rPr>
        <w:t>五、重要风险提示</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1.价格波动风险：黄金价格受国际经济金融形势、地缘政治、市场供求等多种因素影响，可能出现较大波动，导致客户积存资产价值发生变动；</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2.市场风险：黄金市场价格下行时，客户赎回或变现可能产生本金损失；</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3.流动性风险：积存金业务的赎回、提取实物黄金等可能受交易时间、交易限额等条件限制，客户可能无法及时变现；</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4.其他风险：包括但不限于政策风险、操作风险、不可抗力风险等。</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本产品非存款、非保本产品，我行不承诺本金和收益保障。客户在购买本产品前应充分了解产品特性，审慎评估自身风险承受能力，自主决策、自担风险。</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2"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b/>
          <w:bCs/>
          <w:snapToGrid w:val="0"/>
          <w:color w:val="000000"/>
          <w:kern w:val="0"/>
          <w:sz w:val="30"/>
          <w:szCs w:val="30"/>
          <w:lang w:val="en-US" w:eastAsia="zh-CN"/>
        </w:rPr>
        <w:t>六、咨询及投诉渠道</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1.网点咨询：高邮农商行各营业网点</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2.客服热线：96008</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3.发行机构咨询渠道：江南农商银行客服电话96005</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特此公示!</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right"/>
        <w:textAlignment w:val="baseline"/>
        <w:rPr>
          <w:rFonts w:hint="eastAsia" w:ascii="仿宋" w:hAnsi="仿宋" w:eastAsia="仿宋" w:cs="仿宋"/>
          <w:snapToGrid w:val="0"/>
          <w:color w:val="000000"/>
          <w:kern w:val="0"/>
          <w:sz w:val="30"/>
          <w:szCs w:val="30"/>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right"/>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江苏高邮农村商业银行股份有限公司</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right"/>
        <w:textAlignment w:val="baseline"/>
        <w:rPr>
          <w:rFonts w:hint="eastAsia" w:ascii="仿宋" w:hAnsi="仿宋" w:eastAsia="仿宋" w:cs="仿宋"/>
          <w:snapToGrid w:val="0"/>
          <w:color w:val="000000"/>
          <w:kern w:val="0"/>
          <w:sz w:val="30"/>
          <w:szCs w:val="30"/>
          <w:lang w:val="en-US" w:eastAsia="zh-CN"/>
        </w:rPr>
      </w:pPr>
      <w:r>
        <w:rPr>
          <w:rFonts w:hint="eastAsia" w:ascii="仿宋" w:hAnsi="仿宋" w:eastAsia="仿宋" w:cs="仿宋"/>
          <w:snapToGrid w:val="0"/>
          <w:color w:val="000000"/>
          <w:kern w:val="0"/>
          <w:sz w:val="30"/>
          <w:szCs w:val="30"/>
          <w:lang w:val="en-US" w:eastAsia="zh-CN"/>
        </w:rPr>
        <w:t>2026年9月7日</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仿宋" w:hAnsi="仿宋" w:eastAsia="仿宋" w:cs="仿宋"/>
          <w:snapToGrid w:val="0"/>
          <w:color w:val="000000"/>
          <w:kern w:val="0"/>
          <w:sz w:val="30"/>
          <w:szCs w:val="3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B63DD9"/>
    <w:rsid w:val="13010B3B"/>
    <w:rsid w:val="13181A0A"/>
    <w:rsid w:val="14162A19"/>
    <w:rsid w:val="1425541A"/>
    <w:rsid w:val="158C14E9"/>
    <w:rsid w:val="15DF63FF"/>
    <w:rsid w:val="162654AF"/>
    <w:rsid w:val="16CD0885"/>
    <w:rsid w:val="18026D58"/>
    <w:rsid w:val="1DED36C7"/>
    <w:rsid w:val="1FBE407F"/>
    <w:rsid w:val="23130A51"/>
    <w:rsid w:val="28E95BAE"/>
    <w:rsid w:val="2F9C74DF"/>
    <w:rsid w:val="2FB616D4"/>
    <w:rsid w:val="32732851"/>
    <w:rsid w:val="35683252"/>
    <w:rsid w:val="45162A1B"/>
    <w:rsid w:val="4ACC3E46"/>
    <w:rsid w:val="4DAE7CD8"/>
    <w:rsid w:val="4E860E06"/>
    <w:rsid w:val="51FB1F8F"/>
    <w:rsid w:val="5B405245"/>
    <w:rsid w:val="67822461"/>
    <w:rsid w:val="6A55309E"/>
    <w:rsid w:val="77145DC7"/>
    <w:rsid w:val="7BAF63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jc w:val="left"/>
    </w:pPr>
    <w:rPr>
      <w:rFonts w:hint="eastAsia" w:ascii="宋体" w:hAnsi="宋体" w:eastAsia="宋体" w:cs="宋体"/>
      <w:kern w:val="0"/>
      <w:sz w:val="24"/>
      <w:szCs w:val="24"/>
      <w:lang w:val="en-US" w:eastAsia="zh-CN" w:bidi="ar"/>
    </w:rPr>
  </w:style>
  <w:style w:type="character" w:customStyle="1" w:styleId="5">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2025-01-13T09:40:00Z</dcterms:created>
  <dc:creator>Administrator</dc:creator>
  <cp:lastModifiedBy>Administrator</cp:lastModifiedBy>
  <dcterms:modified xsi:type="dcterms:W3CDTF">2026-09-07T09:59:48Z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eyJoZGlkIjoiMDhhNzViODJhOTIwYWJkZTE3M2EyYTQxMzYzMjk2YmEiLCJ1c2VySWQiOiI1NTQ0NDEwNTUifQ==</vt:lpwstr>
  </property>
  <property fmtid="{D5CDD505-2E9C-101B-9397-08002B2CF9AE}" pid="4" name="ICV">
    <vt:lpwstr>D619F07A81D34DC49DB84474BC76A161_12</vt:lpwstr>
  </property>
</Properties>
</file>