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20" w:lineRule="exact"/>
        <w:ind w:right="170"/>
        <w:jc w:val="center"/>
        <w:textAlignment w:val="baseline"/>
        <w:rPr>
          <w:rFonts w:hint="default" w:ascii="黑体" w:hAnsi="黑体" w:eastAsia="黑体" w:cs="黑体"/>
          <w:b/>
          <w:snapToGrid w:val="0"/>
          <w:color w:val="000000"/>
          <w:kern w:val="0"/>
          <w:sz w:val="48"/>
          <w:szCs w:val="48"/>
          <w:highlight w:val="none"/>
          <w:lang w:val="en-US" w:eastAsia="zh-CN"/>
        </w:rPr>
      </w:pPr>
      <w:r>
        <w:rPr>
          <w:rFonts w:hint="eastAsia" w:ascii="黑体" w:hAnsi="黑体" w:eastAsia="黑体" w:cs="黑体"/>
          <w:b/>
          <w:snapToGrid w:val="0"/>
          <w:color w:val="000000"/>
          <w:kern w:val="0"/>
          <w:sz w:val="48"/>
          <w:szCs w:val="48"/>
          <w:highlight w:val="none"/>
          <w:lang w:val="en-US" w:eastAsia="zh-CN"/>
        </w:rPr>
        <w:t>关于开展高邮农商行代销黄金积存业务手续费阶段性优惠的公告</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尊敬的客户:</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自2026年10月1日起，我行将对代销黄金积存业务开展手续费阶段性优惠，具体有关事项公告如下: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一、自2026年10月1日起至2026年12月31日止，办理黄金积存购买、赎回、兑换实物黄金业务的，对应的手续费率由0.5%优惠至0.1%。</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二、本次优惠活动适用于通过高邮农商银行手机银行个人积存金业务办理渠道。</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default"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三</w:t>
      </w:r>
      <w:r>
        <w:rPr>
          <w:rFonts w:hint="default" w:ascii="仿宋" w:hAnsi="仿宋" w:eastAsia="仿宋" w:cs="仿宋"/>
          <w:snapToGrid w:val="0"/>
          <w:color w:val="000000"/>
          <w:kern w:val="0"/>
          <w:sz w:val="30"/>
          <w:szCs w:val="30"/>
          <w:lang w:val="en-US" w:eastAsia="zh-CN"/>
        </w:rPr>
        <w:t>、我行保留在符合法律法规及监管要求的前提下，提前终止本次优惠活动的权利。</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如有疑问，请详询我行各营业网点。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both"/>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特此公告。</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right"/>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江苏高邮农</w:t>
      </w:r>
      <w:bookmarkStart w:id="0" w:name="_GoBack"/>
      <w:bookmarkEnd w:id="0"/>
      <w:r>
        <w:rPr>
          <w:rFonts w:hint="eastAsia" w:ascii="仿宋" w:hAnsi="仿宋" w:eastAsia="仿宋" w:cs="仿宋"/>
          <w:snapToGrid w:val="0"/>
          <w:color w:val="000000"/>
          <w:kern w:val="0"/>
          <w:sz w:val="30"/>
          <w:szCs w:val="30"/>
          <w:lang w:val="en-US" w:eastAsia="zh-CN"/>
        </w:rPr>
        <w:t>村商业银行股份有限公司</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00" w:firstLineChars="200"/>
        <w:jc w:val="right"/>
        <w:textAlignment w:val="baseline"/>
        <w:rPr>
          <w:rFonts w:hint="eastAsia" w:ascii="仿宋" w:hAnsi="仿宋" w:eastAsia="仿宋" w:cs="仿宋"/>
          <w:snapToGrid w:val="0"/>
          <w:color w:val="000000"/>
          <w:kern w:val="0"/>
          <w:sz w:val="30"/>
          <w:szCs w:val="30"/>
          <w:lang w:val="en-US" w:eastAsia="zh-CN"/>
        </w:rPr>
      </w:pPr>
      <w:r>
        <w:rPr>
          <w:rFonts w:hint="eastAsia" w:ascii="仿宋" w:hAnsi="仿宋" w:eastAsia="仿宋" w:cs="仿宋"/>
          <w:snapToGrid w:val="0"/>
          <w:color w:val="000000"/>
          <w:kern w:val="0"/>
          <w:sz w:val="30"/>
          <w:szCs w:val="30"/>
          <w:lang w:val="en-US" w:eastAsia="zh-CN"/>
        </w:rPr>
        <w:t>2026年9月28日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C577E8"/>
    <w:rsid w:val="0ED8797C"/>
    <w:rsid w:val="16F64309"/>
    <w:rsid w:val="38923922"/>
    <w:rsid w:val="6C685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207</Words>
  <Characters>216</Characters>
  <Lines>0</Lines>
  <Paragraphs>0</Paragraphs>
  <TotalTime>1</TotalTime>
  <ScaleCrop>false</ScaleCrop>
  <LinksUpToDate>false</LinksUpToDate>
  <CharactersWithSpaces>216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2024-05-28T10:16:00Z</dcterms:created>
  <dc:creator>Administrator</dc:creator>
  <cp:lastModifiedBy>Administrator</cp:lastModifiedBy>
  <dcterms:modified xsi:type="dcterms:W3CDTF">2026-09-24T01:24:27Z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3B530A2CBDFE4E47A64C34310140AE4C</vt:lpwstr>
  </property>
  <property fmtid="{D5CDD505-2E9C-101B-9397-08002B2CF9AE}" pid="4" name="KSOTemplateDocerSaveRecord">
    <vt:lpwstr>eyJoZGlkIjoiMDhhNzViODJhOTIwYWJkZTE3M2EyYTQxMzYzMjk2YmEiLCJ1c2VySWQiOiI1NTQ0NDEwNTUifQ==</vt:lpwstr>
  </property>
</Properties>
</file>