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江苏</w:t>
      </w:r>
      <w:r>
        <w:rPr>
          <w:rFonts w:hint="eastAsia" w:asciiTheme="majorEastAsia" w:hAnsiTheme="majorEastAsia" w:eastAsiaTheme="majorEastAsia"/>
          <w:sz w:val="44"/>
          <w:szCs w:val="44"/>
          <w:lang w:eastAsia="zh-CN"/>
        </w:rPr>
        <w:t>高邮</w:t>
      </w:r>
      <w:r>
        <w:rPr>
          <w:rFonts w:hint="eastAsia" w:asciiTheme="majorEastAsia" w:hAnsiTheme="majorEastAsia" w:eastAsiaTheme="majorEastAsia"/>
          <w:sz w:val="44"/>
          <w:szCs w:val="44"/>
        </w:rPr>
        <w:t>农村商业银行股份有限公司202</w:t>
      </w:r>
      <w:r>
        <w:rPr>
          <w:rFonts w:hint="eastAsia" w:asciiTheme="majorEastAsia" w:hAnsiTheme="majorEastAsia" w:eastAsiaTheme="majorEastAsia"/>
          <w:sz w:val="44"/>
          <w:szCs w:val="44"/>
          <w:lang w:val="en-US" w:eastAsia="zh-CN"/>
        </w:rPr>
        <w:t>6</w:t>
      </w:r>
      <w:r>
        <w:rPr>
          <w:rFonts w:hint="eastAsia" w:asciiTheme="majorEastAsia" w:hAnsiTheme="majorEastAsia" w:eastAsiaTheme="majorEastAsia"/>
          <w:sz w:val="44"/>
          <w:szCs w:val="44"/>
        </w:rPr>
        <w:t>年</w:t>
      </w:r>
      <w:r>
        <w:rPr>
          <w:rFonts w:hint="eastAsia" w:asciiTheme="majorEastAsia" w:hAnsiTheme="majorEastAsia" w:eastAsiaTheme="majorEastAsia"/>
          <w:sz w:val="44"/>
          <w:szCs w:val="44"/>
          <w:lang w:eastAsia="zh-CN"/>
        </w:rPr>
        <w:t>一季度</w:t>
      </w:r>
      <w:r>
        <w:rPr>
          <w:rFonts w:hint="eastAsia" w:asciiTheme="majorEastAsia" w:hAnsiTheme="majorEastAsia" w:eastAsiaTheme="majorEastAsia"/>
          <w:sz w:val="44"/>
          <w:szCs w:val="44"/>
        </w:rPr>
        <w:t>第三支柱信息披露报告</w:t>
      </w:r>
    </w:p>
    <w:p>
      <w:pPr>
        <w:jc w:val="center"/>
        <w:rPr>
          <w:rFonts w:asciiTheme="majorEastAsia" w:hAnsiTheme="majorEastAsia" w:eastAsiaTheme="majorEastAsia"/>
          <w:sz w:val="44"/>
          <w:szCs w:val="44"/>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sz w:val="32"/>
          <w:szCs w:val="32"/>
          <w:highlight w:val="none"/>
        </w:rPr>
      </w:pPr>
      <w:r>
        <w:rPr>
          <w:rFonts w:hint="eastAsia" w:ascii="仿宋_GB2312" w:eastAsia="仿宋_GB2312"/>
          <w:b w:val="0"/>
          <w:bCs w:val="0"/>
          <w:color w:val="auto"/>
          <w:sz w:val="32"/>
          <w:szCs w:val="32"/>
          <w:highlight w:val="none"/>
          <w:lang w:eastAsia="zh-CN"/>
        </w:rPr>
        <w:t>根据《商业银行资本管理办法》中附件</w:t>
      </w:r>
      <w:r>
        <w:rPr>
          <w:rFonts w:hint="eastAsia" w:ascii="仿宋_GB2312" w:eastAsia="仿宋_GB2312"/>
          <w:b w:val="0"/>
          <w:bCs w:val="0"/>
          <w:color w:val="auto"/>
          <w:sz w:val="32"/>
          <w:szCs w:val="32"/>
          <w:highlight w:val="none"/>
          <w:lang w:val="en-US" w:eastAsia="zh-CN"/>
        </w:rPr>
        <w:t>22《商业银行信息披露内容和要求》的规定，本行依规向投资者和社会公众披露本行资本充足率相关信息</w:t>
      </w:r>
      <w:r>
        <w:rPr>
          <w:rFonts w:hint="eastAsia" w:ascii="仿宋_GB2312" w:eastAsia="仿宋_GB2312"/>
          <w:b w:val="0"/>
          <w:bCs w:val="0"/>
          <w:color w:val="auto"/>
          <w:sz w:val="32"/>
          <w:szCs w:val="32"/>
          <w:highlight w:val="none"/>
          <w:lang w:eastAsia="zh-CN"/>
        </w:rPr>
        <w:t>。</w:t>
      </w:r>
    </w:p>
    <w:p>
      <w:pPr>
        <w:rPr>
          <w:rFonts w:ascii="宋体" w:hAnsi="宋体" w:eastAsia="宋体"/>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KM1：监管并表关键审慎监管指标</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单位：人民币万元、%</w:t>
      </w:r>
    </w:p>
    <w:tbl>
      <w:tblPr>
        <w:tblStyle w:val="4"/>
        <w:tblW w:w="9896" w:type="dxa"/>
        <w:tblInd w:w="-795" w:type="dxa"/>
        <w:tblLayout w:type="fixed"/>
        <w:tblCellMar>
          <w:top w:w="0" w:type="dxa"/>
          <w:left w:w="108" w:type="dxa"/>
          <w:bottom w:w="0" w:type="dxa"/>
          <w:right w:w="108" w:type="dxa"/>
        </w:tblCellMar>
      </w:tblPr>
      <w:tblGrid>
        <w:gridCol w:w="539"/>
        <w:gridCol w:w="3081"/>
        <w:gridCol w:w="1319"/>
        <w:gridCol w:w="1210"/>
        <w:gridCol w:w="1278"/>
        <w:gridCol w:w="1259"/>
        <w:gridCol w:w="1210"/>
      </w:tblGrid>
      <w:tr>
        <w:tblPrEx>
          <w:tblLayout w:type="fixed"/>
          <w:tblCellMar>
            <w:top w:w="0" w:type="dxa"/>
            <w:left w:w="108" w:type="dxa"/>
            <w:bottom w:w="0" w:type="dxa"/>
            <w:right w:w="108" w:type="dxa"/>
          </w:tblCellMar>
        </w:tblPrEx>
        <w:trPr>
          <w:trHeight w:val="264" w:hRule="atLeast"/>
        </w:trPr>
        <w:tc>
          <w:tcPr>
            <w:tcW w:w="3620"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w:t>
            </w:r>
          </w:p>
        </w:tc>
        <w:tc>
          <w:tcPr>
            <w:tcW w:w="131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a</w:t>
            </w:r>
          </w:p>
        </w:tc>
        <w:tc>
          <w:tcPr>
            <w:tcW w:w="121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b</w:t>
            </w:r>
          </w:p>
        </w:tc>
        <w:tc>
          <w:tcPr>
            <w:tcW w:w="1278"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c</w:t>
            </w:r>
          </w:p>
        </w:tc>
        <w:tc>
          <w:tcPr>
            <w:tcW w:w="1259"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d</w:t>
            </w:r>
          </w:p>
        </w:tc>
        <w:tc>
          <w:tcPr>
            <w:tcW w:w="1210" w:type="dxa"/>
            <w:tcBorders>
              <w:top w:val="single" w:color="auto" w:sz="4" w:space="0"/>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e</w:t>
            </w:r>
          </w:p>
        </w:tc>
      </w:tr>
      <w:tr>
        <w:tblPrEx>
          <w:tblLayout w:type="fixed"/>
          <w:tblCellMar>
            <w:top w:w="0" w:type="dxa"/>
            <w:left w:w="108" w:type="dxa"/>
            <w:bottom w:w="0" w:type="dxa"/>
            <w:right w:w="108" w:type="dxa"/>
          </w:tblCellMar>
        </w:tblPrEx>
        <w:trPr>
          <w:trHeight w:val="264" w:hRule="atLeast"/>
        </w:trPr>
        <w:tc>
          <w:tcPr>
            <w:tcW w:w="3620" w:type="dxa"/>
            <w:gridSpan w:val="2"/>
            <w:tcBorders>
              <w:top w:val="single" w:color="auto" w:sz="4" w:space="0"/>
              <w:left w:val="single" w:color="auto" w:sz="4" w:space="0"/>
              <w:bottom w:val="single" w:color="auto" w:sz="4" w:space="0"/>
              <w:right w:val="single" w:color="auto" w:sz="4" w:space="0"/>
            </w:tcBorders>
            <w:shd w:val="clear" w:color="auto" w:fill="auto"/>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w:t>
            </w:r>
          </w:p>
        </w:tc>
        <w:tc>
          <w:tcPr>
            <w:tcW w:w="13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T</w:t>
            </w:r>
          </w:p>
        </w:tc>
        <w:tc>
          <w:tcPr>
            <w:tcW w:w="121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T-1</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T-2</w:t>
            </w:r>
          </w:p>
        </w:tc>
        <w:tc>
          <w:tcPr>
            <w:tcW w:w="12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T-3</w:t>
            </w:r>
          </w:p>
        </w:tc>
        <w:tc>
          <w:tcPr>
            <w:tcW w:w="121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T-4</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9D9D9"/>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可用资本（数额）</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核心一级资本净额</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345061.71</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334957.45</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328252.85</w:t>
            </w:r>
          </w:p>
        </w:tc>
        <w:tc>
          <w:tcPr>
            <w:tcW w:w="12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314140.53</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308984.83</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一级资本净额</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345061.71</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334957.45</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328252.85</w:t>
            </w:r>
          </w:p>
        </w:tc>
        <w:tc>
          <w:tcPr>
            <w:tcW w:w="12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314140.53</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308984.83</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3</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资本净额</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373279.49</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360575.91</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353335.77</w:t>
            </w:r>
          </w:p>
        </w:tc>
        <w:tc>
          <w:tcPr>
            <w:tcW w:w="12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339096.59</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334161.93</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9D9D9"/>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风险加权资产（数额）</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4</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风险加权资产</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2441128.43</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2230583.42</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2178628.22</w:t>
            </w:r>
          </w:p>
        </w:tc>
        <w:tc>
          <w:tcPr>
            <w:tcW w:w="12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2168352.55</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2186256.55</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9D9D9"/>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资本充足率</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5</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核心一级资本充足率（%）</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14.14</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15.02</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15.07</w:t>
            </w:r>
          </w:p>
        </w:tc>
        <w:tc>
          <w:tcPr>
            <w:tcW w:w="125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14.49</w:t>
            </w:r>
          </w:p>
        </w:tc>
        <w:tc>
          <w:tcPr>
            <w:tcW w:w="1210"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14.13</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6</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一级资本充足率（%）</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14.14</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15.02</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15.07</w:t>
            </w:r>
          </w:p>
        </w:tc>
        <w:tc>
          <w:tcPr>
            <w:tcW w:w="125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14.49</w:t>
            </w:r>
          </w:p>
        </w:tc>
        <w:tc>
          <w:tcPr>
            <w:tcW w:w="1210"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14.13</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7</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资本充足率（%）</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15.29</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16.17</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16.22</w:t>
            </w:r>
          </w:p>
        </w:tc>
        <w:tc>
          <w:tcPr>
            <w:tcW w:w="125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15.64</w:t>
            </w:r>
          </w:p>
        </w:tc>
        <w:tc>
          <w:tcPr>
            <w:tcW w:w="1210"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15.28</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9D9D9"/>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其他各级资本要求</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8</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储备资本要求（%）</w:t>
            </w:r>
          </w:p>
        </w:tc>
        <w:tc>
          <w:tcPr>
            <w:tcW w:w="13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2.50</w:t>
            </w:r>
          </w:p>
        </w:tc>
        <w:tc>
          <w:tcPr>
            <w:tcW w:w="121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2.50</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2.50</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xml:space="preserve">2.50 </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xml:space="preserve">2.50 </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9</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逆周期资本要求（%）</w:t>
            </w:r>
          </w:p>
        </w:tc>
        <w:tc>
          <w:tcPr>
            <w:tcW w:w="13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0.00</w:t>
            </w:r>
          </w:p>
        </w:tc>
        <w:tc>
          <w:tcPr>
            <w:tcW w:w="121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0.00</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0.00</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xml:space="preserve">0.00 </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xml:space="preserve">0.00 </w:t>
            </w:r>
          </w:p>
        </w:tc>
      </w:tr>
      <w:tr>
        <w:tblPrEx>
          <w:tblLayout w:type="fixed"/>
          <w:tblCellMar>
            <w:top w:w="0" w:type="dxa"/>
            <w:left w:w="108" w:type="dxa"/>
            <w:bottom w:w="0" w:type="dxa"/>
            <w:right w:w="108" w:type="dxa"/>
          </w:tblCellMar>
        </w:tblPrEx>
        <w:trPr>
          <w:trHeight w:val="528"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10</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全球系统重要性银行或国内系统重要性银行附加资本要求（%）</w:t>
            </w:r>
          </w:p>
        </w:tc>
        <w:tc>
          <w:tcPr>
            <w:tcW w:w="1319" w:type="dxa"/>
            <w:tcBorders>
              <w:top w:val="nil"/>
              <w:left w:val="nil"/>
              <w:bottom w:val="single" w:color="auto" w:sz="4" w:space="0"/>
              <w:right w:val="single" w:color="auto" w:sz="4" w:space="0"/>
            </w:tcBorders>
            <w:shd w:val="clear" w:color="000000" w:fill="BEBEBE"/>
            <w:vAlign w:val="center"/>
          </w:tcPr>
          <w:p>
            <w:pPr>
              <w:jc w:val="center"/>
              <w:rPr>
                <w:rFonts w:ascii="微软雅黑" w:hAnsi="微软雅黑" w:eastAsia="微软雅黑" w:cs="Arial"/>
                <w:color w:val="000000"/>
                <w:sz w:val="18"/>
                <w:szCs w:val="18"/>
              </w:rPr>
            </w:pPr>
          </w:p>
        </w:tc>
        <w:tc>
          <w:tcPr>
            <w:tcW w:w="1210" w:type="dxa"/>
            <w:tcBorders>
              <w:top w:val="nil"/>
              <w:left w:val="nil"/>
              <w:bottom w:val="single" w:color="auto" w:sz="4" w:space="0"/>
              <w:right w:val="single" w:color="auto" w:sz="4" w:space="0"/>
            </w:tcBorders>
            <w:shd w:val="clear" w:color="000000" w:fill="BEBEBE"/>
            <w:vAlign w:val="center"/>
          </w:tcPr>
          <w:p>
            <w:pPr>
              <w:jc w:val="center"/>
              <w:rPr>
                <w:rFonts w:ascii="微软雅黑" w:hAnsi="微软雅黑" w:eastAsia="微软雅黑" w:cs="Arial"/>
                <w:color w:val="000000"/>
                <w:sz w:val="18"/>
                <w:szCs w:val="18"/>
              </w:rPr>
            </w:pPr>
          </w:p>
        </w:tc>
        <w:tc>
          <w:tcPr>
            <w:tcW w:w="1278" w:type="dxa"/>
            <w:tcBorders>
              <w:top w:val="nil"/>
              <w:left w:val="nil"/>
              <w:bottom w:val="single" w:color="auto" w:sz="4" w:space="0"/>
              <w:right w:val="single" w:color="auto" w:sz="4" w:space="0"/>
            </w:tcBorders>
            <w:shd w:val="clear" w:color="000000" w:fill="BEBEBE"/>
            <w:vAlign w:val="center"/>
          </w:tcPr>
          <w:p>
            <w:pPr>
              <w:jc w:val="center"/>
              <w:rPr>
                <w:rFonts w:ascii="微软雅黑" w:hAnsi="微软雅黑" w:eastAsia="微软雅黑" w:cs="Arial"/>
                <w:color w:val="000000"/>
                <w:sz w:val="18"/>
                <w:szCs w:val="18"/>
              </w:rPr>
            </w:pPr>
          </w:p>
        </w:tc>
        <w:tc>
          <w:tcPr>
            <w:tcW w:w="1259" w:type="dxa"/>
            <w:tcBorders>
              <w:top w:val="nil"/>
              <w:left w:val="nil"/>
              <w:bottom w:val="single" w:color="auto" w:sz="4" w:space="0"/>
              <w:right w:val="single" w:color="auto" w:sz="4" w:space="0"/>
            </w:tcBorders>
            <w:shd w:val="clear" w:color="000000" w:fill="BEBEBE"/>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w:t>
            </w:r>
          </w:p>
        </w:tc>
        <w:tc>
          <w:tcPr>
            <w:tcW w:w="1210" w:type="dxa"/>
            <w:tcBorders>
              <w:top w:val="nil"/>
              <w:left w:val="nil"/>
              <w:bottom w:val="single" w:color="auto" w:sz="4" w:space="0"/>
              <w:right w:val="single" w:color="auto" w:sz="4" w:space="0"/>
            </w:tcBorders>
            <w:shd w:val="clear" w:color="000000" w:fill="BEBEBE"/>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11</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其他各级资本要求（%）（8+9+10）</w:t>
            </w:r>
          </w:p>
        </w:tc>
        <w:tc>
          <w:tcPr>
            <w:tcW w:w="131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2.50</w:t>
            </w:r>
          </w:p>
        </w:tc>
        <w:tc>
          <w:tcPr>
            <w:tcW w:w="121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2.50</w:t>
            </w:r>
          </w:p>
        </w:tc>
        <w:tc>
          <w:tcPr>
            <w:tcW w:w="1278"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2.50</w:t>
            </w:r>
          </w:p>
        </w:tc>
        <w:tc>
          <w:tcPr>
            <w:tcW w:w="1259"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xml:space="preserve">2.50 </w:t>
            </w:r>
          </w:p>
        </w:tc>
        <w:tc>
          <w:tcPr>
            <w:tcW w:w="1210" w:type="dxa"/>
            <w:tcBorders>
              <w:top w:val="nil"/>
              <w:left w:val="nil"/>
              <w:bottom w:val="single" w:color="auto" w:sz="4" w:space="0"/>
              <w:right w:val="single" w:color="auto" w:sz="4" w:space="0"/>
            </w:tcBorders>
            <w:shd w:val="clear" w:color="auto" w:fill="auto"/>
            <w:vAlign w:val="center"/>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xml:space="preserve">2.50 </w:t>
            </w:r>
          </w:p>
        </w:tc>
      </w:tr>
      <w:tr>
        <w:tblPrEx>
          <w:tblLayout w:type="fixed"/>
          <w:tblCellMar>
            <w:top w:w="0" w:type="dxa"/>
            <w:left w:w="108" w:type="dxa"/>
            <w:bottom w:w="0" w:type="dxa"/>
            <w:right w:w="108" w:type="dxa"/>
          </w:tblCellMar>
        </w:tblPrEx>
        <w:trPr>
          <w:trHeight w:val="1320"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12</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满足最低资本要求后的可用核心一级资本净额占风险加权资产的比例（%）</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7.29</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8.17</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8.22</w:t>
            </w:r>
          </w:p>
        </w:tc>
        <w:tc>
          <w:tcPr>
            <w:tcW w:w="125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7.64</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7.28</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9D9D9"/>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杠杆率</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13</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调整后表内外资产余额</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Arial"/>
                <w:color w:val="000000"/>
                <w:sz w:val="18"/>
                <w:szCs w:val="18"/>
                <w:lang w:val="en-US"/>
              </w:rPr>
            </w:pPr>
            <w:r>
              <w:rPr>
                <w:rFonts w:hint="eastAsia" w:ascii="微软雅黑" w:hAnsi="微软雅黑" w:eastAsia="微软雅黑" w:cs="微软雅黑"/>
                <w:i w:val="0"/>
                <w:color w:val="000000"/>
                <w:kern w:val="0"/>
                <w:sz w:val="18"/>
                <w:szCs w:val="18"/>
                <w:u w:val="none"/>
                <w:lang w:val="en-US" w:eastAsia="zh-CN" w:bidi="ar"/>
              </w:rPr>
              <w:t>4339859.25</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4109723.3</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Arial"/>
                <w:color w:val="000000"/>
                <w:sz w:val="18"/>
                <w:szCs w:val="18"/>
                <w:lang w:val="en-US"/>
              </w:rPr>
            </w:pPr>
            <w:r>
              <w:rPr>
                <w:rFonts w:hint="eastAsia" w:ascii="微软雅黑" w:hAnsi="微软雅黑" w:eastAsia="微软雅黑" w:cs="微软雅黑"/>
                <w:i w:val="0"/>
                <w:color w:val="000000"/>
                <w:kern w:val="0"/>
                <w:sz w:val="18"/>
                <w:szCs w:val="18"/>
                <w:u w:val="none"/>
                <w:lang w:val="en-US" w:eastAsia="zh-CN" w:bidi="ar"/>
              </w:rPr>
              <w:t>4043725.16</w:t>
            </w:r>
          </w:p>
        </w:tc>
        <w:tc>
          <w:tcPr>
            <w:tcW w:w="125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3956564.60</w:t>
            </w:r>
          </w:p>
        </w:tc>
        <w:tc>
          <w:tcPr>
            <w:tcW w:w="1210"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3921820.18</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14</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杠杆率（%）</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7.95</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8.15</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8.12</w:t>
            </w:r>
          </w:p>
        </w:tc>
        <w:tc>
          <w:tcPr>
            <w:tcW w:w="125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7.94</w:t>
            </w:r>
          </w:p>
        </w:tc>
        <w:tc>
          <w:tcPr>
            <w:tcW w:w="1210"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7.88</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14a</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杠杆率a（%）</w:t>
            </w:r>
          </w:p>
        </w:tc>
        <w:tc>
          <w:tcPr>
            <w:tcW w:w="13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7.95</w:t>
            </w:r>
          </w:p>
        </w:tc>
        <w:tc>
          <w:tcPr>
            <w:tcW w:w="121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8.15</w:t>
            </w:r>
          </w:p>
        </w:tc>
        <w:tc>
          <w:tcPr>
            <w:tcW w:w="127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8.12</w:t>
            </w:r>
          </w:p>
        </w:tc>
        <w:tc>
          <w:tcPr>
            <w:tcW w:w="1259"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7.94</w:t>
            </w:r>
          </w:p>
        </w:tc>
        <w:tc>
          <w:tcPr>
            <w:tcW w:w="1210" w:type="dxa"/>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7.88</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9D9D9"/>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流动性覆盖率</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15</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合格优质流动性资产</w:t>
            </w:r>
          </w:p>
        </w:tc>
        <w:tc>
          <w:tcPr>
            <w:tcW w:w="131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78"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16</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现金净流出量</w:t>
            </w:r>
          </w:p>
        </w:tc>
        <w:tc>
          <w:tcPr>
            <w:tcW w:w="131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78"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17</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流动性覆盖率（%）</w:t>
            </w:r>
          </w:p>
        </w:tc>
        <w:tc>
          <w:tcPr>
            <w:tcW w:w="131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78"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9D9D9"/>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净稳定资金比例</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18</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可用稳定资金合计</w:t>
            </w:r>
          </w:p>
        </w:tc>
        <w:tc>
          <w:tcPr>
            <w:tcW w:w="131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78"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19</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所需稳定资金合计</w:t>
            </w:r>
          </w:p>
        </w:tc>
        <w:tc>
          <w:tcPr>
            <w:tcW w:w="131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78"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20</w:t>
            </w:r>
          </w:p>
        </w:tc>
        <w:tc>
          <w:tcPr>
            <w:tcW w:w="3081" w:type="dxa"/>
            <w:tcBorders>
              <w:top w:val="nil"/>
              <w:left w:val="nil"/>
              <w:bottom w:val="single" w:color="auto" w:sz="4" w:space="0"/>
              <w:right w:val="single" w:color="auto" w:sz="4" w:space="0"/>
            </w:tcBorders>
            <w:shd w:val="clear" w:color="auto" w:fill="auto"/>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净稳定资金比例（%）</w:t>
            </w:r>
          </w:p>
        </w:tc>
        <w:tc>
          <w:tcPr>
            <w:tcW w:w="131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78"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59"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c>
          <w:tcPr>
            <w:tcW w:w="1210" w:type="dxa"/>
            <w:tcBorders>
              <w:top w:val="nil"/>
              <w:left w:val="nil"/>
              <w:bottom w:val="single" w:color="auto" w:sz="4" w:space="0"/>
              <w:right w:val="single" w:color="auto" w:sz="4" w:space="0"/>
            </w:tcBorders>
            <w:shd w:val="clear" w:color="auto" w:fill="auto"/>
          </w:tcPr>
          <w:p>
            <w:pPr>
              <w:jc w:val="cente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　不适用</w:t>
            </w:r>
          </w:p>
        </w:tc>
      </w:tr>
      <w:tr>
        <w:tblPrEx>
          <w:tblLayout w:type="fixed"/>
          <w:tblCellMar>
            <w:top w:w="0" w:type="dxa"/>
            <w:left w:w="108" w:type="dxa"/>
            <w:bottom w:w="0" w:type="dxa"/>
            <w:right w:w="108" w:type="dxa"/>
          </w:tblCellMar>
        </w:tblPrEx>
        <w:trPr>
          <w:trHeight w:val="264" w:hRule="atLeast"/>
        </w:trPr>
        <w:tc>
          <w:tcPr>
            <w:tcW w:w="9896" w:type="dxa"/>
            <w:gridSpan w:val="7"/>
            <w:tcBorders>
              <w:top w:val="single" w:color="auto" w:sz="4" w:space="0"/>
              <w:left w:val="single" w:color="auto" w:sz="4" w:space="0"/>
              <w:bottom w:val="single" w:color="auto" w:sz="4" w:space="0"/>
              <w:right w:val="single" w:color="auto" w:sz="4" w:space="0"/>
            </w:tcBorders>
            <w:shd w:val="clear" w:color="000000" w:fill="D8D8D8"/>
          </w:tcPr>
          <w:p>
            <w:pPr>
              <w:rPr>
                <w:rFonts w:ascii="微软雅黑" w:hAnsi="微软雅黑" w:eastAsia="微软雅黑" w:cs="Arial"/>
                <w:b/>
                <w:bCs/>
                <w:color w:val="000000"/>
                <w:sz w:val="18"/>
                <w:szCs w:val="18"/>
              </w:rPr>
            </w:pPr>
            <w:r>
              <w:rPr>
                <w:rFonts w:hint="eastAsia" w:ascii="微软雅黑" w:hAnsi="微软雅黑" w:eastAsia="微软雅黑" w:cs="Arial"/>
                <w:b/>
                <w:bCs/>
                <w:color w:val="000000"/>
                <w:sz w:val="18"/>
                <w:szCs w:val="18"/>
              </w:rPr>
              <w:t>流动性比例</w:t>
            </w:r>
          </w:p>
        </w:tc>
      </w:tr>
      <w:tr>
        <w:tblPrEx>
          <w:tblLayout w:type="fixed"/>
          <w:tblCellMar>
            <w:top w:w="0" w:type="dxa"/>
            <w:left w:w="108" w:type="dxa"/>
            <w:bottom w:w="0" w:type="dxa"/>
            <w:right w:w="108" w:type="dxa"/>
          </w:tblCellMar>
        </w:tblPrEx>
        <w:trPr>
          <w:trHeight w:val="264" w:hRule="atLeast"/>
        </w:trPr>
        <w:tc>
          <w:tcPr>
            <w:tcW w:w="539" w:type="dxa"/>
            <w:tcBorders>
              <w:top w:val="nil"/>
              <w:left w:val="single" w:color="auto" w:sz="4" w:space="0"/>
              <w:bottom w:val="single" w:color="auto" w:sz="4" w:space="0"/>
              <w:right w:val="single" w:color="auto" w:sz="4" w:space="0"/>
            </w:tcBorders>
            <w:shd w:val="clear" w:color="000000" w:fill="FFFFFF"/>
            <w:vAlign w:val="center"/>
          </w:tcPr>
          <w:p>
            <w:pPr>
              <w:rPr>
                <w:rFonts w:ascii="微软雅黑" w:hAnsi="微软雅黑" w:eastAsia="微软雅黑" w:cs="Arial"/>
                <w:color w:val="000000"/>
                <w:sz w:val="18"/>
                <w:szCs w:val="18"/>
              </w:rPr>
            </w:pPr>
            <w:bookmarkStart w:id="0" w:name="_GoBack" w:colFirst="2" w:colLast="6"/>
            <w:r>
              <w:rPr>
                <w:rFonts w:hint="eastAsia" w:ascii="微软雅黑" w:hAnsi="微软雅黑" w:eastAsia="微软雅黑" w:cs="Arial"/>
                <w:color w:val="000000"/>
                <w:sz w:val="18"/>
                <w:szCs w:val="18"/>
              </w:rPr>
              <w:t>21</w:t>
            </w:r>
          </w:p>
        </w:tc>
        <w:tc>
          <w:tcPr>
            <w:tcW w:w="3081" w:type="dxa"/>
            <w:tcBorders>
              <w:top w:val="nil"/>
              <w:left w:val="nil"/>
              <w:bottom w:val="single" w:color="auto" w:sz="4" w:space="0"/>
              <w:right w:val="single" w:color="auto" w:sz="4" w:space="0"/>
            </w:tcBorders>
            <w:shd w:val="clear" w:color="000000" w:fill="FFFFFF"/>
            <w:vAlign w:val="center"/>
          </w:tcPr>
          <w:p>
            <w:pPr>
              <w:rPr>
                <w:rFonts w:ascii="微软雅黑" w:hAnsi="微软雅黑" w:eastAsia="微软雅黑" w:cs="Arial"/>
                <w:color w:val="000000"/>
                <w:sz w:val="18"/>
                <w:szCs w:val="18"/>
              </w:rPr>
            </w:pPr>
            <w:r>
              <w:rPr>
                <w:rFonts w:hint="eastAsia" w:ascii="微软雅黑" w:hAnsi="微软雅黑" w:eastAsia="微软雅黑" w:cs="Arial"/>
                <w:color w:val="000000"/>
                <w:sz w:val="18"/>
                <w:szCs w:val="18"/>
              </w:rPr>
              <w:t>流动性比例（%）</w:t>
            </w:r>
          </w:p>
        </w:tc>
        <w:tc>
          <w:tcPr>
            <w:tcW w:w="1319"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97.49</w:t>
            </w:r>
          </w:p>
        </w:tc>
        <w:tc>
          <w:tcPr>
            <w:tcW w:w="121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106.72</w:t>
            </w:r>
          </w:p>
        </w:tc>
        <w:tc>
          <w:tcPr>
            <w:tcW w:w="127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110.79</w:t>
            </w:r>
          </w:p>
        </w:tc>
        <w:tc>
          <w:tcPr>
            <w:tcW w:w="1259" w:type="dxa"/>
            <w:tcBorders>
              <w:top w:val="nil"/>
              <w:left w:val="nil"/>
              <w:bottom w:val="single" w:color="auto" w:sz="4" w:space="0"/>
              <w:right w:val="single" w:color="auto" w:sz="4" w:space="0"/>
            </w:tcBorders>
            <w:shd w:val="clear" w:color="000000" w:fill="FFFFFF"/>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109.33</w:t>
            </w:r>
          </w:p>
        </w:tc>
        <w:tc>
          <w:tcPr>
            <w:tcW w:w="1210" w:type="dxa"/>
            <w:tcBorders>
              <w:top w:val="nil"/>
              <w:left w:val="nil"/>
              <w:bottom w:val="single" w:color="auto" w:sz="4" w:space="0"/>
              <w:right w:val="single" w:color="auto" w:sz="4" w:space="0"/>
            </w:tcBorders>
            <w:shd w:val="clear" w:color="000000" w:fill="FFFFFF"/>
            <w:vAlign w:val="top"/>
          </w:tcPr>
          <w:p>
            <w:pPr>
              <w:keepNext w:val="0"/>
              <w:keepLines w:val="0"/>
              <w:widowControl/>
              <w:suppressLineNumbers w:val="0"/>
              <w:jc w:val="center"/>
              <w:textAlignment w:val="top"/>
              <w:rPr>
                <w:rFonts w:ascii="微软雅黑" w:hAnsi="微软雅黑" w:eastAsia="微软雅黑" w:cs="Arial"/>
                <w:color w:val="000000"/>
                <w:sz w:val="18"/>
                <w:szCs w:val="18"/>
              </w:rPr>
            </w:pPr>
            <w:r>
              <w:rPr>
                <w:rFonts w:hint="eastAsia" w:ascii="微软雅黑" w:hAnsi="微软雅黑" w:eastAsia="微软雅黑" w:cs="微软雅黑"/>
                <w:i w:val="0"/>
                <w:color w:val="000000"/>
                <w:kern w:val="0"/>
                <w:sz w:val="18"/>
                <w:szCs w:val="18"/>
                <w:u w:val="none"/>
                <w:lang w:val="en-US" w:eastAsia="zh-CN" w:bidi="ar"/>
              </w:rPr>
              <w:t>101.21</w:t>
            </w:r>
          </w:p>
        </w:tc>
      </w:tr>
      <w:bookmarkEnd w:id="0"/>
    </w:tbl>
    <w:p>
      <w:pPr>
        <w:rPr>
          <w:rFonts w:hint="eastAsia" w:ascii="仿宋_GB2312" w:hAnsi="仿宋_GB2312" w:eastAsia="仿宋_GB2312" w:cs="仿宋_GB2312"/>
          <w:b/>
          <w:bCs/>
          <w:sz w:val="32"/>
          <w:szCs w:val="32"/>
          <w:lang w:val="en-US" w:eastAsia="zh-CN"/>
        </w:rPr>
      </w:pPr>
    </w:p>
    <w:sectPr>
      <w:pgSz w:w="11906" w:h="16838"/>
      <w:pgMar w:top="1440" w:right="1800" w:bottom="18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57C9A"/>
    <w:rsid w:val="000137F7"/>
    <w:rsid w:val="00015C7B"/>
    <w:rsid w:val="000257FC"/>
    <w:rsid w:val="00027CD0"/>
    <w:rsid w:val="00057C9A"/>
    <w:rsid w:val="000A2681"/>
    <w:rsid w:val="000B1C46"/>
    <w:rsid w:val="00165B74"/>
    <w:rsid w:val="00221BFF"/>
    <w:rsid w:val="00225AD9"/>
    <w:rsid w:val="00271737"/>
    <w:rsid w:val="0036725B"/>
    <w:rsid w:val="003A30C2"/>
    <w:rsid w:val="00467E69"/>
    <w:rsid w:val="004C5BB1"/>
    <w:rsid w:val="00542A32"/>
    <w:rsid w:val="005B6CD4"/>
    <w:rsid w:val="00602DA5"/>
    <w:rsid w:val="00703E83"/>
    <w:rsid w:val="00807CEF"/>
    <w:rsid w:val="00844D52"/>
    <w:rsid w:val="00846F94"/>
    <w:rsid w:val="00901220"/>
    <w:rsid w:val="0095711B"/>
    <w:rsid w:val="00A1190F"/>
    <w:rsid w:val="00A72993"/>
    <w:rsid w:val="00AD54B4"/>
    <w:rsid w:val="00B16E74"/>
    <w:rsid w:val="00B37FFD"/>
    <w:rsid w:val="00BB2267"/>
    <w:rsid w:val="00CF7ED3"/>
    <w:rsid w:val="00DF03CE"/>
    <w:rsid w:val="00E36ADA"/>
    <w:rsid w:val="00E60494"/>
    <w:rsid w:val="00E7668B"/>
    <w:rsid w:val="00EA4DED"/>
    <w:rsid w:val="00F84467"/>
    <w:rsid w:val="00FF0D10"/>
    <w:rsid w:val="0A137F89"/>
    <w:rsid w:val="2DFB56D5"/>
    <w:rsid w:val="3662100D"/>
    <w:rsid w:val="64F54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A0385-8FA2-4986-A506-C8D980121BD9}">
  <ds:schemaRefs/>
</ds:datastoreItem>
</file>

<file path=docProps/app.xml><?xml version="1.0" encoding="utf-8"?>
<Properties xmlns="http://schemas.openxmlformats.org/officeDocument/2006/extended-properties" xmlns:vt="http://schemas.openxmlformats.org/officeDocument/2006/docPropsVTypes">
  <Template>Normal</Template>
  <Pages>10</Pages>
  <Words>1127</Words>
  <Characters>6428</Characters>
  <Lines>53</Lines>
  <Paragraphs>15</Paragraphs>
  <TotalTime>0</TotalTime>
  <ScaleCrop>false</ScaleCrop>
  <LinksUpToDate>false</LinksUpToDate>
  <CharactersWithSpaces>7540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2024-07-31T01:25:00Z</dcterms:created>
  <dc:creator>高美玲</dc:creator>
  <cp:lastModifiedBy>Administrator</cp:lastModifiedBy>
  <dcterms:modified xsi:type="dcterms:W3CDTF">2026-04-20T02:33:14Z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