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2156076.65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2260220.85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