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be1181b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be1181b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be1181b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be1181b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be1181b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be1181b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be1181b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be1181b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be1181b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be1181b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be1181ba"/>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d4713a5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d4713a5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0a1a905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南银理财珠联璧合鑫逸稳一年244期封闭式公募人民币理财产品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ZZ700322500546</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Z7003225000342(投资者可依据该编码在中国理财网www.chinawealth.com.cn查询理财产品相关信息）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A份额：Y30244</w:t>
            </w:r>
          </w:p>
          <w:p>
            <w:pPr>
              <w:pStyle w:val="null10"/>
              <w:spacing w:lineRule="exact" w:line="200"/>
            </w:pPr>
            <w:r>
              <w:rPr>
                <w:rFonts w:ascii="方正黑体_GBK" w:hAnsi="方正黑体_GBK" w:cs="宋体" w:eastAsia="方正黑体_GBK"/>
                <w:sz w:val="18"/>
                <w:szCs w:val="18"/>
              </w:rPr>
              <w:t>B份额：Y31244</w:t>
            </w:r>
          </w:p>
          <w:p>
            <w:pPr>
              <w:pStyle w:val="null10"/>
              <w:spacing w:lineRule="exact" w:line="200"/>
            </w:pPr>
            <w:r>
              <w:rPr>
                <w:rFonts w:ascii="方正黑体_GBK" w:hAnsi="方正黑体_GBK" w:cs="宋体" w:eastAsia="方正黑体_GBK"/>
                <w:sz w:val="18"/>
                <w:szCs w:val="18"/>
              </w:rPr>
              <w:t>C份额：Y32244</w:t>
            </w:r>
          </w:p>
          <w:p>
            <w:pPr>
              <w:pStyle w:val="null10"/>
              <w:spacing w:lineRule="exact" w:line="200"/>
            </w:pPr>
            <w:r>
              <w:rPr>
                <w:rFonts w:ascii="方正黑体_GBK" w:hAnsi="方正黑体_GBK" w:cs="宋体" w:eastAsia="方正黑体_GBK"/>
                <w:sz w:val="18"/>
                <w:szCs w:val="18"/>
              </w:rPr>
              <w:t>D份额：Y33244</w:t>
            </w:r>
          </w:p>
          <w:p>
            <w:pPr>
              <w:pStyle w:val="null10"/>
              <w:spacing w:lineRule="exact" w:line="200"/>
            </w:pPr>
            <w:r>
              <w:rPr>
                <w:rFonts w:ascii="方正黑体_GBK" w:hAnsi="方正黑体_GBK" w:cs="宋体" w:eastAsia="方正黑体_GBK"/>
                <w:sz w:val="18"/>
                <w:szCs w:val="18"/>
              </w:rPr>
              <w:t>F份额：Y35244</w:t>
            </w:r>
          </w:p>
          <w:p>
            <w:pPr>
              <w:pStyle w:val="null10"/>
              <w:spacing w:lineRule="exact" w:line="200"/>
            </w:pPr>
            <w:r>
              <w:rPr>
                <w:rFonts w:ascii="方正黑体_GBK" w:hAnsi="方正黑体_GBK" w:cs="宋体" w:eastAsia="方正黑体_GBK"/>
                <w:sz w:val="18"/>
                <w:szCs w:val="18"/>
              </w:rPr>
              <w:t>G份额：Y36244</w:t>
            </w:r>
          </w:p>
          <w:p>
            <w:pPr>
              <w:pStyle w:val="null10"/>
              <w:spacing w:lineRule="exact" w:line="200"/>
            </w:pPr>
            <w:r>
              <w:rPr>
                <w:rFonts w:ascii="方正黑体_GBK" w:hAnsi="方正黑体_GBK" w:cs="宋体" w:eastAsia="方正黑体_GBK"/>
                <w:sz w:val="18"/>
                <w:szCs w:val="18"/>
              </w:rPr>
              <w:t>K份额：YA30244</w:t>
            </w:r>
          </w:p>
          <w:p>
            <w:pPr>
              <w:pStyle w:val="null10"/>
              <w:spacing w:lineRule="exact" w:line="200"/>
            </w:pPr>
            <w:r>
              <w:rPr>
                <w:rFonts w:ascii="方正黑体_GBK" w:hAnsi="方正黑体_GBK" w:cs="宋体" w:eastAsia="方正黑体_GBK"/>
                <w:sz w:val="18"/>
                <w:szCs w:val="18"/>
              </w:rPr>
              <w:t>L份额：YB30244</w:t>
            </w:r>
          </w:p>
          <w:p>
            <w:pPr>
              <w:pStyle w:val="null10"/>
              <w:spacing w:lineRule="exact" w:line="200"/>
            </w:pPr>
            <w:r>
              <w:rPr>
                <w:rFonts w:ascii="方正黑体_GBK" w:hAnsi="方正黑体_GBK" w:cs="宋体" w:eastAsia="方正黑体_GBK"/>
                <w:sz w:val="18"/>
                <w:szCs w:val="18"/>
              </w:rPr>
              <w:t>N份额：YD30244</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A份额：除B、C、D、F、G、K、L、N份额以外的所有客户（详见“销售机构”条款）。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专属客户)、苏州银行股份有限公司( 大众客户)、秦皇岛银行股份有限公司、齐鲁银行股份有限公司( 政务服务中心支行开业专享)、甘肃银行股份有限公司、天津农村商业银行股份有限公司( 滨海分行专属)、兰州银行股份有限公司、江苏南通农村商业银行股份有限公司( 代发客户)、江苏淮安农村商业银行股份有限公司(财富客户)、江苏大丰农村商业银行股份有限公司、江苏镇江农村商业银行股份有限公司( 20万元起购)、江苏如皋农村商业银行股份有限公司(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C份额：徽商银行股份有限公司(南京分行专属、马鞍山分行教师专属理财)、杭州银行股份有限公司( 私行客户)、烟台银行股份有限公司、嘉兴银行股份有限公司( 私行客户)、郑州银行股份有限公司、苏州银行股份有限公司( 公司客户)、日照银行股份有限公司(特邀客群)、泰安银行股份有限公司、齐鲁银行股份有限公司(特邀客群)、天津农村商业银行股份有限公司(军人客户)、云南红塔银行股份有限公司(分行定制)、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镇江农村商业银行股份有限公司( 100万元起购)、江苏滨海农村商业银行股份有限公司、江苏射阳农村商业银行股份有限公司、江苏句容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L份额：江苏张家港农村商业银行股份有限公司( 特定客户)、江苏常熟农村商业银行股份有限公司( 专属特定客群)、天津农村商业银行股份有限公司( 私行客群)、江苏兴化农村商业银行股份有限公司。</w:t>
            </w:r>
          </w:p>
          <w:p>
            <w:pPr>
              <w:pStyle w:val="null10"/>
              <w:spacing w:lineRule="exact" w:line="200"/>
            </w:pPr>
            <w:r>
              <w:rPr>
                <w:rFonts w:ascii="方正黑体_GBK" w:hAnsi="方正黑体_GBK" w:cs="宋体" w:eastAsia="方正黑体_GBK"/>
                <w:sz w:val="18"/>
                <w:szCs w:val="18"/>
              </w:rPr>
              <w:t>N份额：广州农村商业银行股份有限公司。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A份额/B份额/C份额/D份额/F份额/G份额/K份额/L份额/N份额：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A份额/B份额/C份额/D份额/F份额/G份额/K份额/L份额/N份额：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2025年10月15日 09:00—2025年10月21日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2025年10月22日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2025年10月22日—实际到期日（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2026年11月25日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A份额：业绩比较基准为2.55%(年化)。</w:t>
            </w:r>
          </w:p>
          <w:p>
            <w:pPr>
              <w:pStyle w:val="null10"/>
              <w:spacing w:lineRule="exact" w:line="200"/>
            </w:pPr>
            <w:r>
              <w:rPr>
                <w:rFonts w:ascii="方正黑体_GBK" w:hAnsi="方正黑体_GBK" w:cs="宋体" w:eastAsia="方正黑体_GBK"/>
                <w:sz w:val="18"/>
                <w:szCs w:val="18"/>
              </w:rPr>
              <w:t>B份额：业绩比较基准为2.65%(年化)。</w:t>
            </w:r>
          </w:p>
          <w:p>
            <w:pPr>
              <w:pStyle w:val="null10"/>
              <w:spacing w:lineRule="exact" w:line="200"/>
            </w:pPr>
            <w:r>
              <w:rPr>
                <w:rFonts w:ascii="方正黑体_GBK" w:hAnsi="方正黑体_GBK" w:cs="宋体" w:eastAsia="方正黑体_GBK"/>
                <w:sz w:val="18"/>
                <w:szCs w:val="18"/>
              </w:rPr>
              <w:t>C份额：业绩比较基准为2.75%(年化)。</w:t>
            </w:r>
          </w:p>
          <w:p>
            <w:pPr>
              <w:pStyle w:val="null10"/>
              <w:spacing w:lineRule="exact" w:line="200"/>
            </w:pPr>
            <w:r>
              <w:rPr>
                <w:rFonts w:ascii="方正黑体_GBK" w:hAnsi="方正黑体_GBK" w:cs="宋体" w:eastAsia="方正黑体_GBK"/>
                <w:sz w:val="18"/>
                <w:szCs w:val="18"/>
              </w:rPr>
              <w:t>D份额：业绩比较基准为2.85%(年化)。</w:t>
            </w:r>
          </w:p>
          <w:p>
            <w:pPr>
              <w:pStyle w:val="null10"/>
              <w:spacing w:lineRule="exact" w:line="200"/>
            </w:pPr>
            <w:r>
              <w:rPr>
                <w:rFonts w:ascii="方正黑体_GBK" w:hAnsi="方正黑体_GBK" w:cs="宋体" w:eastAsia="方正黑体_GBK"/>
                <w:sz w:val="18"/>
                <w:szCs w:val="18"/>
              </w:rPr>
              <w:t>F份额：业绩比较基准为2.6%(年化)。</w:t>
            </w:r>
          </w:p>
          <w:p>
            <w:pPr>
              <w:pStyle w:val="null10"/>
              <w:spacing w:lineRule="exact" w:line="200"/>
            </w:pPr>
            <w:r>
              <w:rPr>
                <w:rFonts w:ascii="方正黑体_GBK" w:hAnsi="方正黑体_GBK" w:cs="宋体" w:eastAsia="方正黑体_GBK"/>
                <w:sz w:val="18"/>
                <w:szCs w:val="18"/>
              </w:rPr>
              <w:t>G份额：业绩比较基准为2.65%(年化)。</w:t>
            </w:r>
          </w:p>
          <w:p>
            <w:pPr>
              <w:pStyle w:val="null10"/>
              <w:spacing w:lineRule="exact" w:line="200"/>
            </w:pPr>
            <w:r>
              <w:rPr>
                <w:rFonts w:ascii="方正黑体_GBK" w:hAnsi="方正黑体_GBK" w:cs="宋体" w:eastAsia="方正黑体_GBK"/>
                <w:sz w:val="18"/>
                <w:szCs w:val="18"/>
              </w:rPr>
              <w:t>K份额：业绩比较基准为2.7%(年化)。</w:t>
            </w:r>
          </w:p>
          <w:p>
            <w:pPr>
              <w:pStyle w:val="null10"/>
              <w:spacing w:lineRule="exact" w:line="200"/>
            </w:pPr>
            <w:r>
              <w:rPr>
                <w:rFonts w:ascii="方正黑体_GBK" w:hAnsi="方正黑体_GBK" w:cs="宋体" w:eastAsia="方正黑体_GBK"/>
                <w:sz w:val="18"/>
                <w:szCs w:val="18"/>
              </w:rPr>
              <w:t>L份额：业绩比较基准为2.8%(年化)。</w:t>
            </w:r>
          </w:p>
          <w:p>
            <w:pPr>
              <w:pStyle w:val="null10"/>
              <w:spacing w:lineRule="exact" w:line="200"/>
            </w:pPr>
            <w:r>
              <w:rPr>
                <w:rFonts w:ascii="方正黑体_GBK" w:hAnsi="方正黑体_GBK" w:cs="宋体" w:eastAsia="方正黑体_GBK"/>
                <w:sz w:val="18"/>
                <w:szCs w:val="18"/>
              </w:rPr>
              <w:t>N份额：业绩比较基准为2.55%(年化)。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D份额：本理财产品按前一日理财产品资产净值收取年化0%的销售费，按日计提。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F份额：本理财产品按前一日理财产品资产净值收取年化0.25%的销售费，按日计提。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G份额：本理财产品按前一日理财产品资产净值收取年化0.2%的销售费，按日计提。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K份额：本理财产品按前一日理财产品资产净值收取年化0.15%的销售费，按日计提。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L份额：本理财产品按前一日理财产品资产净值收取年化0.05%的销售费，按日计提。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N份额：本理财产品一次性收取年化0.2%的销售费，按日摊销。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D份额：固定管理费年化0.05%</w:t>
            </w:r>
          </w:p>
          <w:p>
            <w:pPr>
              <w:pStyle w:val="null10"/>
              <w:spacing w:lineRule="exact" w:line="200"/>
            </w:pPr>
            <w:r>
              <w:rPr>
                <w:rFonts w:ascii="方正黑体_GBK" w:hAnsi="方正黑体_GBK" w:cs="宋体" w:eastAsia="方正黑体_GBK"/>
                <w:sz w:val="18"/>
                <w:b/>
                <w:szCs w:val="18"/>
              </w:rPr>
              <w:t>F份额：固定管理费年化0.05%</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N份额：固定管理费年化0.15%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N份额：到期兑付时，当期产品投资的实际资产组合收益（扣除销售费、固定管理费、托管费等相关费用）超过2.55%（年化，即产品该份额对应的业绩报酬计提基准）时，超过部分管理人将按60%收取业绩报酬。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w:t>
            </w:r>
            <w:r>
              <w:rPr>
                <w:rFonts w:ascii="方正黑体_GBK" w:hAnsi="方正黑体_GBK" w:cs="宋体" w:eastAsia="方正黑体_GBK"/>
                <w:sz w:val="18"/>
                <w:b/>
                <w:szCs w:val="18"/>
              </w:rPr>
              <w:t>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d4713a5c"/>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b6eed29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b6eed29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b6eed29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b6eed29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b6eed29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b6eed29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b6eed29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b6eed294"/>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南银理财珠联璧合鑫逸稳一年244期封闭式公募人民币理财产品</w:t>
      </w:r>
      <w:r>
        <w:rPr>
          <w:rFonts w:ascii="方正黑体_GBK" w:eastAsia="方正黑体_GBK" w:hint="eastAsia" w:hAnsi="方正黑体_GBK"/>
          <w:vanish w:val="0"/>
          <w:color w:val="3D3D3D"/>
          <w:kern w:val="0"/>
          <w:sz w:val="15"/>
          <w:szCs w:val="15"/>
        </w:rPr>
        <w:t>。</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b6eed294"/>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b6eed29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b6eed29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b6eed29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dfc840d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dfc840d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dfc840d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dfc840d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dfc840d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dfc840d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b6eed29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b6eed29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b6eed29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dfc840dc"/>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d4713a5c"/>
        <w:keepNext w:val="0"/>
        <w:keepLines w:val="0"/>
        <w:pageBreakBefore w:val="0"/>
        <w:widowControl/>
        <w:suppressLineNumbers w:val="0"/>
        <w:suppressAutoHyphens w:val="0"/>
        <w:spacing w:line="200" w:lineRule="exact"/>
        <w:ind w:firstLineChars="200" w:firstLine="300"/>
        <w:rPr>
          <w:rStyle w:val="dfc840dc"/>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d4713a5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d4713a5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d4713a5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d4713a5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d4713a5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d4713a5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d4713a5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d4713a5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d4713a5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d4713a5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d4713a5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d4713a5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d4713a5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d4713a5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d4713a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d4713a5c"/>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4"/>
  </w:num>
  <w:num w:numId="3">
    <w:abstractNumId w:val="1"/>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be1181ba">
    <w:name w:val="Normalbe1181ba"/>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7f0d8c5">
    <w:name w:val="heading 1d7f0d8c5"/>
    <w:basedOn w:val="be1181b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2240085">
    <w:name w:val="heading 282240085"/>
    <w:basedOn w:val="be1181b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e541d31">
    <w:name w:val="heading 3fe541d31"/>
    <w:basedOn w:val="be1181b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c204fde">
    <w:name w:val="Default Paragraph Fontdc204fde"/>
  </w:style>
  <w:style xmlns:r="http://schemas.openxmlformats.org/officeDocument/2006/relationships" w:type="paragraph" w:styleId="3caf2db9">
    <w:name w:val="toc 13caf2db9"/>
    <w:basedOn w:val="be1181ba"/>
    <w:autoRedefine/>
    <w:next w:val="0"/>
  </w:style>
  <w:style xmlns:r="http://schemas.openxmlformats.org/officeDocument/2006/relationships" w:type="paragraph" w:styleId="98fb98f1">
    <w:name w:val="toc 298fb98f1"/>
    <w:basedOn w:val="be1181ba"/>
    <w:autoRedefine/>
    <w:next w:val="0"/>
    <w:pPr>
      <w:ind w:left="420"/>
    </w:pPr>
  </w:style>
  <w:style xmlns:r="http://schemas.openxmlformats.org/officeDocument/2006/relationships" w:type="paragraph" w:styleId="f0fcf49c">
    <w:name w:val="toc 3f0fcf49c"/>
    <w:basedOn w:val="be1181ba"/>
    <w:autoRedefine/>
    <w:next w:val="0"/>
    <w:pPr>
      <w:ind w:left="840"/>
    </w:pPr>
  </w:style>
  <w:style xmlns:r="http://schemas.openxmlformats.org/officeDocument/2006/relationships" w:type="paragraph" w:styleId="2944cd95">
    <w:name w:val="toc 42944cd95"/>
    <w:basedOn w:val="be1181ba"/>
    <w:autoRedefine/>
    <w:next w:val="0"/>
    <w:pPr>
      <w:ind w:left="1260"/>
    </w:pPr>
  </w:style>
  <w:style xmlns:r="http://schemas.openxmlformats.org/officeDocument/2006/relationships" w:type="paragraph" w:styleId="3dc2eb10">
    <w:name w:val="toc 53dc2eb10"/>
    <w:basedOn w:val="be1181ba"/>
    <w:autoRedefine/>
    <w:next w:val="0"/>
    <w:pPr>
      <w:ind w:left="1680"/>
    </w:pPr>
  </w:style>
  <w:style xmlns:r="http://schemas.openxmlformats.org/officeDocument/2006/relationships" w:type="paragraph" w:styleId="0d079719">
    <w:name w:val="header0d079719"/>
    <w:basedOn w:val="be1181b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776da56">
    <w:name w:val="footer1776da56"/>
    <w:basedOn w:val="be1181ba"/>
    <w:pPr>
      <w:tabs>
        <w:tab w:val="center" w:pos="4153"/>
        <w:tab w:val="right" w:pos="8307"/>
      </w:tabs>
      <w:adjustRightInd/>
      <w:snapToGrid w:val="0"/>
      <w:contextualSpacing w:val="0"/>
      <w:jc w:val="left"/>
    </w:pPr>
    <w:rPr>
      <w:sz w:val="18"/>
    </w:rPr>
  </w:style>
  <w:style xmlns:r="http://schemas.openxmlformats.org/officeDocument/2006/relationships" w:type="character" w:styleId="555d030f">
    <w:name w:val="Strong555d030f"/>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4713a5c">
    <w:name w:val="Normald4713a5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bba38757">
    <w:name w:val="heading 1bba38757"/>
    <w:basedOn w:val="d4713a5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b3f9bc6">
    <w:name w:val="heading 2ab3f9bc6"/>
    <w:basedOn w:val="d4713a5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4d1b7d0">
    <w:name w:val="heading 384d1b7d0"/>
    <w:basedOn w:val="d4713a5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d725fa8">
    <w:name w:val="Default Paragraph Font6d725fa8"/>
  </w:style>
  <w:style xmlns:r="http://schemas.openxmlformats.org/officeDocument/2006/relationships" w:type="paragraph" w:styleId="6af42722">
    <w:name w:val="Normal Indent6af42722"/>
    <w:basedOn w:val="d4713a5c"/>
    <w:pPr>
      <w:ind w:firstLineChars="200" w:firstLine="200"/>
    </w:pPr>
  </w:style>
  <w:style xmlns:r="http://schemas.openxmlformats.org/officeDocument/2006/relationships" w:type="paragraph" w:styleId="712b11f5">
    <w:name w:val="toc 5712b11f5"/>
    <w:basedOn w:val="d4713a5c"/>
    <w:next w:val="0"/>
    <w:pPr>
      <w:ind w:left="1680"/>
    </w:pPr>
  </w:style>
  <w:style xmlns:r="http://schemas.openxmlformats.org/officeDocument/2006/relationships" w:type="paragraph" w:styleId="ff5e1433">
    <w:name w:val="toc 3ff5e1433"/>
    <w:basedOn w:val="d4713a5c"/>
    <w:next w:val="0"/>
    <w:pPr>
      <w:ind w:left="840"/>
    </w:pPr>
  </w:style>
  <w:style xmlns:r="http://schemas.openxmlformats.org/officeDocument/2006/relationships" w:type="paragraph" w:styleId="5a759b43">
    <w:name w:val="footer5a759b43"/>
    <w:basedOn w:val="d4713a5c"/>
    <w:pPr>
      <w:tabs>
        <w:tab w:val="center" w:pos="4153"/>
        <w:tab w:val="right" w:pos="8307"/>
      </w:tabs>
      <w:adjustRightInd/>
      <w:snapToGrid w:val="0"/>
      <w:contextualSpacing w:val="0"/>
      <w:jc w:val="left"/>
    </w:pPr>
    <w:rPr>
      <w:sz w:val="18"/>
    </w:rPr>
  </w:style>
  <w:style xmlns:r="http://schemas.openxmlformats.org/officeDocument/2006/relationships" w:type="paragraph" w:styleId="ca3d8401">
    <w:name w:val="headerca3d8401"/>
    <w:basedOn w:val="d4713a5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e019776">
    <w:name w:val="toc 11e019776"/>
    <w:basedOn w:val="d4713a5c"/>
    <w:next w:val="0"/>
  </w:style>
  <w:style xmlns:r="http://schemas.openxmlformats.org/officeDocument/2006/relationships" w:type="paragraph" w:styleId="da8c3705">
    <w:name w:val="toc 4da8c3705"/>
    <w:basedOn w:val="d4713a5c"/>
    <w:next w:val="0"/>
    <w:pPr>
      <w:ind w:left="1260"/>
    </w:pPr>
  </w:style>
  <w:style xmlns:r="http://schemas.openxmlformats.org/officeDocument/2006/relationships" w:type="paragraph" w:styleId="31a213d4">
    <w:name w:val="toc 231a213d4"/>
    <w:basedOn w:val="d4713a5c"/>
    <w:next w:val="0"/>
    <w:pPr>
      <w:ind w:left="420"/>
    </w:pPr>
  </w:style>
  <w:style xmlns:r="http://schemas.openxmlformats.org/officeDocument/2006/relationships" w:type="paragraph" w:styleId="0a1a9059">
    <w:name w:val="Normal (Web)0a1a905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6eed294">
    <w:name w:val="Normalb6eed294b6eed29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bd3132c">
    <w:name w:val="heading 1fbd3132cfbd3132c"/>
    <w:basedOn w:val="b6eed29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f31a3c2">
    <w:name w:val="heading 2df31a3c2df31a3c2"/>
    <w:basedOn w:val="b6eed29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949b0d8">
    <w:name w:val="heading 38949b0d88949b0d8"/>
    <w:basedOn w:val="b6eed29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0751d05">
    <w:name w:val="Default Paragraph Font50751d0550751d05"/>
  </w:style>
  <w:style xmlns:r="http://schemas.openxmlformats.org/officeDocument/2006/relationships" w:type="paragraph" w:customStyle="1" w:styleId="76456de7">
    <w:name w:val="引文目录176456de776456de7"/>
    <w:basedOn w:val="b6eed294"/>
    <w:next w:val="0"/>
    <w:pPr>
      <w:ind w:leftChars="200" w:left="200"/>
    </w:pPr>
  </w:style>
  <w:style xmlns:r="http://schemas.openxmlformats.org/officeDocument/2006/relationships" w:type="paragraph" w:styleId="1f73d134">
    <w:name w:val="toc 51f73d1341f73d134"/>
    <w:basedOn w:val="b6eed294"/>
    <w:next w:val="0"/>
    <w:pPr>
      <w:ind w:left="1680"/>
    </w:pPr>
  </w:style>
  <w:style xmlns:r="http://schemas.openxmlformats.org/officeDocument/2006/relationships" w:type="paragraph" w:styleId="ae6d37d4">
    <w:name w:val="toc 3ae6d37d4ae6d37d4"/>
    <w:basedOn w:val="b6eed294"/>
    <w:next w:val="0"/>
    <w:pPr>
      <w:ind w:left="840"/>
    </w:pPr>
  </w:style>
  <w:style xmlns:r="http://schemas.openxmlformats.org/officeDocument/2006/relationships" w:type="paragraph" w:styleId="77d018ac">
    <w:name w:val="footer77d018ac77d018ac"/>
    <w:basedOn w:val="b6eed294"/>
    <w:pPr>
      <w:tabs>
        <w:tab w:val="center" w:pos="4153"/>
        <w:tab w:val="right" w:pos="8307"/>
      </w:tabs>
      <w:adjustRightInd/>
      <w:snapToGrid w:val="0"/>
      <w:contextualSpacing w:val="0"/>
      <w:jc w:val="left"/>
    </w:pPr>
    <w:rPr>
      <w:sz w:val="18"/>
    </w:rPr>
  </w:style>
  <w:style xmlns:r="http://schemas.openxmlformats.org/officeDocument/2006/relationships" w:type="paragraph" w:styleId="3a6db068">
    <w:name w:val="header3a6db0683a6db068"/>
    <w:basedOn w:val="b6eed29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8c093df">
    <w:name w:val="toc 108c093df08c093df"/>
    <w:basedOn w:val="b6eed294"/>
    <w:next w:val="0"/>
  </w:style>
  <w:style xmlns:r="http://schemas.openxmlformats.org/officeDocument/2006/relationships" w:type="paragraph" w:styleId="2079e71a">
    <w:name w:val="toc 42079e71a2079e71a"/>
    <w:basedOn w:val="b6eed294"/>
    <w:next w:val="0"/>
    <w:pPr>
      <w:ind w:left="1260"/>
    </w:pPr>
  </w:style>
  <w:style xmlns:r="http://schemas.openxmlformats.org/officeDocument/2006/relationships" w:type="paragraph" w:styleId="c2412cee">
    <w:name w:val="toc 2c2412ceec2412cee"/>
    <w:basedOn w:val="b6eed294"/>
    <w:next w:val="0"/>
    <w:pPr>
      <w:ind w:left="420"/>
    </w:pPr>
  </w:style>
  <w:style xmlns:r="http://schemas.openxmlformats.org/officeDocument/2006/relationships" w:type="paragraph" w:customStyle="1" w:styleId="dfc840dc">
    <w:name w:val="列出段落1dfc840dcdfc840dc"/>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