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166dbe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166dbe6c"/>
        <w:spacing w:line="200" w:lineRule="exact"/>
        <w:ind w:firstLineChars="200" w:firstLine="260"/>
        <w:rPr>
          <w:rFonts w:ascii="方正黑体_GBK" w:hint="eastAsia" w:hAnsi="方正黑体_GBK" w:eastAsia="方正黑体_GBK"/>
          <w:b/>
          <w:bCs/>
          <w:color w:val="3D3D3D"/>
          <w:kern w:val="0"/>
          <w:sz w:val="13"/>
          <w:szCs w:val="13"/>
        </w:rPr>
      </w:pPr>
      <w:bookmarkStart w:id="0" w:name="_GoBack"/>
      <w:bookmarkEnd w:id="0"/>
      <w:r>
        <w:rPr>
          <w:rFonts w:ascii="方正黑体_GBK" w:hint="eastAsia" w:hAnsi="方正黑体_GBK" w:eastAsia="方正黑体_GBK"/>
          <w:b/>
          <w:bCs/>
          <w:color w:val="3D3D3D"/>
          <w:kern w:val="0"/>
          <w:sz w:val="13"/>
          <w:szCs w:val="13"/>
        </w:rPr>
        <w:t>4.非标准化债权类资产无法投资的风险</w:t>
      </w:r>
    </w:p>
    <w:p>
      <w:pPr>
        <w:pStyle w:val="166dbe6c"/>
        <w:spacing w:line="200" w:lineRule="exact"/>
        <w:ind w:firstLineChars="200" w:firstLine="260"/>
        <w:rPr>
          <w:rFonts w:ascii="方正黑体_GBK" w:hint="eastAsia" w:hAnsi="方正黑体_GBK" w:eastAsia="方正黑体_GBK"/>
          <w:b/>
          <w:bCs/>
          <w:color w:val="3D3D3D"/>
          <w:kern w:val="0"/>
          <w:sz w:val="13"/>
          <w:szCs w:val="13"/>
        </w:rPr>
      </w:pPr>
      <w:r>
        <w:rPr>
          <w:rFonts w:ascii="方正黑体_GBK" w:hint="eastAsia" w:hAnsi="方正黑体_GBK" w:eastAsia="方正黑体_GBK"/>
          <w:b/>
          <w:bCs/>
          <w:color w:val="3D3D3D"/>
          <w:kern w:val="0"/>
          <w:sz w:val="13"/>
          <w:szCs w:val="13"/>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p>
    <w:p>
      <w:pPr>
        <w:pStyle w:val="166dbe6c"/>
        <w:spacing w:line="200" w:lineRule="exact"/>
        <w:ind w:firstLineChars="200" w:firstLine="260"/>
        <w:rPr>
          <w:rFonts w:ascii="方正黑体_GBK" w:hint="eastAsia" w:hAnsi="方正黑体_GBK" w:eastAsia="方正黑体_GBK"/>
          <w:b/>
          <w:bCs/>
          <w:color w:val="3D3D3D"/>
          <w:kern w:val="0"/>
          <w:sz w:val="13"/>
          <w:szCs w:val="13"/>
        </w:rPr>
      </w:pPr>
      <w:r>
        <w:rPr>
          <w:rFonts w:ascii="方正黑体_GBK" w:hint="eastAsia" w:hAnsi="方正黑体_GBK" w:eastAsia="方正黑体_GBK"/>
          <w:b/>
          <w:bCs/>
          <w:color w:val="3D3D3D"/>
          <w:kern w:val="0"/>
          <w:sz w:val="13"/>
          <w:szCs w:val="13"/>
        </w:rPr>
        <w:t>（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p>
    <w:p>
      <w:pPr>
        <w:pStyle w:val="166dbe6c"/>
        <w:spacing w:line="200" w:lineRule="exact"/>
        <w:ind w:firstLineChars="200" w:firstLine="260"/>
        <w:rPr>
          <w:rFonts w:ascii="方正黑体_GBK" w:hint="eastAsia" w:hAnsi="方正黑体_GBK" w:eastAsia="方正黑体_GBK"/>
          <w:b/>
          <w:bCs/>
          <w:color w:val="3D3D3D"/>
          <w:kern w:val="0"/>
          <w:sz w:val="13"/>
          <w:szCs w:val="13"/>
        </w:rPr>
      </w:pPr>
      <w:r>
        <w:rPr>
          <w:rFonts w:ascii="方正黑体_GBK" w:hint="eastAsia" w:hAnsi="方正黑体_GBK" w:eastAsia="方正黑体_GBK"/>
          <w:b/>
          <w:bCs/>
          <w:color w:val="3D3D3D"/>
          <w:kern w:val="0"/>
          <w:sz w:val="13"/>
          <w:szCs w:val="13"/>
        </w:rPr>
        <w:t>（2）若本理财产品已成立，则管理人有权提前终止本理财产品，自产品成立至提前终止日期间不计任何收益。</w:t>
      </w:r>
    </w:p>
    <w:p>
      <w:pPr>
        <w:pStyle w:val="166dbe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166dbe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1106天</w:t>
      </w:r>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 xml:space="preserve">    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166dbe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166dbe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166dbe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166dbe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166dbe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166dbe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166dbe6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166dbe6c"/>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ffc6a299"/>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ffc6a299"/>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efe40225"/>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南银理财鼎瑞安心三年17期封闭式公募人民币理财产品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ZZ700322500513</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Z7003225000353(投资者可依据该编码在中国理财网www.chinawealth.com.cn查询理财产品相关信息）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A份额：AX30017</w:t>
            </w:r>
          </w:p>
          <w:p>
            <w:pPr>
              <w:pStyle w:val="null10"/>
              <w:spacing w:lineRule="exact" w:line="200"/>
            </w:pPr>
            <w:r>
              <w:rPr>
                <w:rFonts w:ascii="方正黑体_GBK" w:hAnsi="方正黑体_GBK" w:cs="宋体" w:eastAsia="方正黑体_GBK"/>
                <w:sz w:val="18"/>
                <w:szCs w:val="18"/>
              </w:rPr>
              <w:t>B份额：AX31017</w:t>
            </w:r>
          </w:p>
          <w:p>
            <w:pPr>
              <w:pStyle w:val="null10"/>
              <w:spacing w:lineRule="exact" w:line="200"/>
            </w:pPr>
            <w:r>
              <w:rPr>
                <w:rFonts w:ascii="方正黑体_GBK" w:hAnsi="方正黑体_GBK" w:cs="宋体" w:eastAsia="方正黑体_GBK"/>
                <w:sz w:val="18"/>
                <w:szCs w:val="18"/>
              </w:rPr>
              <w:t>C份额：AX32017</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A份额：:南京银行股份有限公司、江苏建湖农村商业银行股份有限公司。</w:t>
            </w:r>
          </w:p>
          <w:p>
            <w:pPr>
              <w:pStyle w:val="null10"/>
              <w:spacing w:lineRule="exact" w:line="200"/>
            </w:pPr>
            <w:r>
              <w:rPr>
                <w:rFonts w:ascii="方正黑体_GBK" w:hAnsi="方正黑体_GBK" w:cs="宋体" w:eastAsia="方正黑体_GBK"/>
                <w:sz w:val="18"/>
                <w:szCs w:val="18"/>
              </w:rPr>
              <w:t>B份额：南银理财有限责任公司、江苏扬州农村商业银行股份有限公司。</w:t>
            </w:r>
          </w:p>
          <w:p>
            <w:pPr>
              <w:pStyle w:val="null10"/>
              <w:spacing w:lineRule="exact" w:line="200"/>
            </w:pPr>
            <w:r>
              <w:rPr>
                <w:rFonts w:ascii="方正黑体_GBK" w:hAnsi="方正黑体_GBK" w:cs="宋体" w:eastAsia="方正黑体_GBK"/>
                <w:sz w:val="18"/>
                <w:szCs w:val="18"/>
              </w:rPr>
              <w:t>C份额：江苏宜兴农村商业银行股份有限公司。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2025年10月29日 09:00—2025年11月04日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2025年11月05日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2025年11月05日—实际到期日（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1106天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2028年11月15日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到期兑付金额=到期时持有份额×P。 P为期末理财产品单位净值。（已扣除相关费用，到期兑付金额以去尾法保留两位小数）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szCs w:val="18"/>
              </w:rPr>
              <w:t>17.券商收益凭证：资产类型为证券公司发行的收益凭证，资产到期日不超过理财产品到期日，融资人为华宝证券股份有限公司，融资人评级为AA+（评级机构为联合资信评估股份有限公司）。</w:t>
            </w:r>
          </w:p>
          <w:p>
            <w:pPr>
              <w:pStyle w:val="null10"/>
              <w:spacing w:lineRule="exact" w:line="200"/>
            </w:pPr>
            <w:r>
              <w:rPr>
                <w:rFonts w:ascii="方正黑体_GBK" w:hAnsi="方正黑体_GBK" w:cs="宋体" w:eastAsia="方正黑体_GBK"/>
                <w:sz w:val="18"/>
                <w:szCs w:val="18"/>
              </w:rPr>
              <w:t>18.券商收益凭证：资产类型为证券公司发行的收益凭证，资产到期日不超过理财产品到期日，融资人为上海证券有限责任公司，融资人评级为AAA（评级机构为上海新世纪资信评估投资服务有限公司）。</w:t>
            </w:r>
          </w:p>
          <w:p>
            <w:pPr>
              <w:pStyle w:val="null10"/>
              <w:spacing w:lineRule="exact" w:line="200"/>
            </w:pPr>
            <w:r>
              <w:rPr>
                <w:rFonts w:ascii="方正黑体_GBK" w:hAnsi="方正黑体_GBK" w:cs="宋体" w:eastAsia="方正黑体_GBK"/>
                <w:sz w:val="18"/>
                <w:szCs w:val="18"/>
              </w:rPr>
              <w:t>19.券商收益凭证：资产类型为证券公司发行的收益凭证，资产到期日不超过理财产品到期日，融资人为山西证券股份有限公司，融资人评级为AAA（评级机构为中诚信国际信用评级有限责任公司）。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20.券商收益凭证：资产类型为证券公司发行的收益凭证，资产到期日不超过理财产品到期日，融资人为中银国际证券股份有限公司，融资人评级为AAA（评级机构为中诚信国际信用评级有限责任公司）。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21.券商收益凭证：资产类型为证券公司发行的收益凭证，资产到期日不超过理财产品到期日，融资人为首创证券股份有限公司，融资人评级为AAA（评级机构为中诚信国际信用评级有限责任公司）。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22.同业借款：资产类型为南银理财有限责任公司向持牌金融机构发放的同业借款，资产到期日不超过理财产品到期日，融资人为中国中信金融资产管理股份有限公司。</w:t>
            </w:r>
          </w:p>
          <w:p>
            <w:pPr>
              <w:pStyle w:val="null10"/>
              <w:spacing w:lineRule="exact" w:line="200"/>
            </w:pPr>
            <w:r>
              <w:rPr>
                <w:rFonts w:ascii="方正黑体_GBK" w:hAnsi="方正黑体_GBK" w:cs="宋体" w:eastAsia="方正黑体_GBK"/>
                <w:sz w:val="18"/>
                <w:szCs w:val="18"/>
              </w:rPr>
              <w:t>23.同业借款：资产类型为南银理财有限责任公司向持牌金融机构发放的同业借款，资产到期日不超过理财产品到期日，融资人为中国东方资产管理股份有限公司。</w:t>
            </w:r>
          </w:p>
          <w:p>
            <w:pPr>
              <w:pStyle w:val="null10"/>
              <w:spacing w:lineRule="exact" w:line="200"/>
            </w:pPr>
            <w:r>
              <w:rPr>
                <w:rFonts w:ascii="方正黑体_GBK" w:hAnsi="方正黑体_GBK" w:cs="宋体" w:eastAsia="方正黑体_GBK"/>
                <w:sz w:val="18"/>
                <w:szCs w:val="18"/>
              </w:rPr>
              <w:t>24.同业借款：资产类型为南银理财有限责任公司向持牌金融机构发放的同业借款，资产到期日不超过理财产品到期日，融资人为中国信达资产管理股份有限公司。</w:t>
            </w:r>
          </w:p>
          <w:p>
            <w:pPr>
              <w:pStyle w:val="null10"/>
              <w:spacing w:lineRule="exact" w:line="200"/>
            </w:pPr>
            <w:r>
              <w:rPr>
                <w:rFonts w:ascii="方正黑体_GBK" w:hAnsi="方正黑体_GBK" w:cs="宋体" w:eastAsia="方正黑体_GBK"/>
                <w:sz w:val="18"/>
                <w:szCs w:val="18"/>
              </w:rPr>
              <w:t>25.同业借款：资产类型为南银理财有限责任公司向持牌金融机构发放的同业借款，资产到期日不超过理财产品到期日，融资人为中国长城资产管理股份有限公司。</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A份额：业绩比较基准为2.2%(年化)。</w:t>
            </w:r>
          </w:p>
          <w:p>
            <w:pPr>
              <w:pStyle w:val="null10"/>
              <w:spacing w:lineRule="exact" w:line="200"/>
            </w:pPr>
            <w:r>
              <w:rPr>
                <w:rFonts w:ascii="方正黑体_GBK" w:hAnsi="方正黑体_GBK" w:cs="宋体" w:eastAsia="方正黑体_GBK"/>
                <w:sz w:val="18"/>
                <w:szCs w:val="18"/>
              </w:rPr>
              <w:t>B份额：业绩比较基准为2%(年化)。</w:t>
            </w:r>
          </w:p>
          <w:p>
            <w:pPr>
              <w:pStyle w:val="null10"/>
              <w:spacing w:lineRule="exact" w:line="200"/>
            </w:pPr>
            <w:r>
              <w:rPr>
                <w:rFonts w:ascii="方正黑体_GBK" w:hAnsi="方正黑体_GBK" w:cs="宋体" w:eastAsia="方正黑体_GBK"/>
                <w:sz w:val="18"/>
                <w:szCs w:val="18"/>
              </w:rPr>
              <w:t>C份额：业绩比较基准为2.1%(年化)。</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A份额：销售费年化0.1%</w:t>
            </w:r>
          </w:p>
          <w:p>
            <w:pPr>
              <w:pStyle w:val="null10"/>
              <w:spacing w:lineRule="exact" w:line="200"/>
            </w:pPr>
            <w:r>
              <w:rPr>
                <w:rFonts w:ascii="方正黑体_GBK" w:hAnsi="方正黑体_GBK" w:cs="宋体" w:eastAsia="方正黑体_GBK"/>
                <w:sz w:val="18"/>
                <w:b/>
                <w:szCs w:val="18"/>
              </w:rPr>
              <w:t>B份额：销售费年化0.3%</w:t>
            </w:r>
          </w:p>
          <w:p>
            <w:pPr>
              <w:pStyle w:val="null10"/>
              <w:spacing w:lineRule="exact" w:line="200"/>
            </w:pPr>
            <w:r>
              <w:rPr>
                <w:rFonts w:ascii="方正黑体_GBK" w:hAnsi="方正黑体_GBK" w:cs="宋体" w:eastAsia="方正黑体_GBK"/>
                <w:sz w:val="18"/>
                <w:b/>
                <w:szCs w:val="18"/>
              </w:rPr>
              <w:t>C份额：销售费年化0.2%</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w:t>
            </w:r>
          </w:p>
          <w:p>
            <w:pPr>
              <w:pStyle w:val="null10"/>
              <w:spacing w:lineRule="exact" w:line="200"/>
            </w:pPr>
            <w:r>
              <w:rPr>
                <w:rFonts w:ascii="方正黑体_GBK" w:hAnsi="方正黑体_GBK" w:cs="宋体" w:eastAsia="方正黑体_GBK"/>
                <w:sz w:val="18"/>
                <w:b/>
                <w:szCs w:val="18"/>
              </w:rPr>
              <w:t>本理财产品按前一日理财产品资产净值收取年化0.1%的固定管理费，按日计提。</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r>
              <w:rPr>
                <w:rFonts w:ascii="方正黑体_GBK" w:hAnsi="方正黑体_GBK" w:cs="宋体" w:eastAsia="方正黑体_GBK"/>
                <w:sz w:val="18"/>
                <w:b/>
                <w:szCs w:val="18"/>
              </w:rPr>
              <w:t>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宜兴农村商业银行股份有限公司、江苏建湖农村商业银行股份有限公司、江苏扬州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ffc6a299"/>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156ea28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156ea28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156ea28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156ea2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156ea286"/>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156ea2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156ea2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156ea2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156ea2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156ea28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156ea2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156ea2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156ea2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156ea2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156ea2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156ea2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156ea28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156ea2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156ea2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156ea2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156ea2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156ea2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156ea2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156ea2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156ea2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156ea2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156ea2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156ea2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156ea2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156ea2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156ea28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156ea286"/>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南银理财鼎瑞安心三年17期封闭式公募人民币理财产品</w:t>
      </w:r>
      <w:r>
        <w:rPr>
          <w:rFonts w:ascii="方正黑体_GBK" w:eastAsia="方正黑体_GBK" w:hint="eastAsia" w:hAnsi="方正黑体_GBK"/>
          <w:vanish w:val="0"/>
          <w:color w:val="3D3D3D"/>
          <w:kern w:val="0"/>
          <w:sz w:val="15"/>
          <w:szCs w:val="15"/>
        </w:rPr>
        <w:t>。</w:t>
      </w:r>
    </w:p>
    <w:p>
      <w:pPr>
        <w:pStyle w:val="156ea2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156ea2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156ea2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156ea2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156ea286"/>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156ea2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156ea2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156ea2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156ea2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156ea2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156ea2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156ea2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156ea2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156ea2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156ea2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156ea2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156ea28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156ea28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156ea286"/>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f75482c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f75482c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f75482c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f75482c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f75482c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f75482c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156ea286"/>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156ea286"/>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156ea286"/>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ffc6a29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p>
    <w:p>
      <w:pPr>
        <w:pStyle w:val="ffc6a29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f75482c2"/>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ffc6a299"/>
        <w:keepNext w:val="0"/>
        <w:keepLines w:val="0"/>
        <w:pageBreakBefore w:val="0"/>
        <w:widowControl/>
        <w:suppressLineNumbers w:val="0"/>
        <w:suppressAutoHyphens w:val="0"/>
        <w:spacing w:line="200" w:lineRule="exact"/>
        <w:ind w:firstLineChars="200" w:firstLine="300"/>
        <w:rPr>
          <w:rStyle w:val="f75482c2"/>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ffc6a29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20"/>
      </w:pPr>
      <w:r>
        <w:rPr>
          <w:rFonts w:ascii="方正黑体_GBK" w:hAnsi="方正黑体_GBK" w:cs="宋体" w:eastAsia="方正黑体_GBK"/>
          <w:sz w:val="15"/>
          <w:szCs w:val="20"/>
        </w:rPr>
        <w:t>估值方法中列示的资产品种不代表管理人的实际投向，本理财产品拟投资范围以“投资范围”章节描述为准。</w:t>
      </w:r>
    </w:p>
    <w:p>
      <w:pPr>
        <w:pStyle w:val="null10"/>
        <w:spacing w:lineRule="exact" w:line="200"/>
        <w:ind w:firstLine="420"/>
      </w:pPr>
      <w:r>
        <w:rPr>
          <w:rFonts w:ascii="方正黑体_GBK" w:hAnsi="方正黑体_GBK" w:cs="宋体" w:eastAsia="方正黑体_GBK"/>
          <w:sz w:val="15"/>
          <w:szCs w:val="20"/>
        </w:rPr>
        <w:t>1.银行存款、回购等货币市场工具</w:t>
      </w:r>
    </w:p>
    <w:p>
      <w:pPr>
        <w:pStyle w:val="null10"/>
        <w:spacing w:lineRule="exact" w:line="200"/>
        <w:ind w:firstLine="420"/>
      </w:pPr>
      <w:r>
        <w:rPr>
          <w:rFonts w:ascii="方正黑体_GBK" w:hAnsi="方正黑体_GBK" w:cs="宋体" w:eastAsia="方正黑体_GBK"/>
          <w:sz w:val="15"/>
          <w:szCs w:val="20"/>
        </w:rPr>
        <w:t>以本金列示，逐日计提利息。</w:t>
      </w:r>
    </w:p>
    <w:p>
      <w:pPr>
        <w:pStyle w:val="null10"/>
        <w:spacing w:lineRule="exact" w:line="200"/>
        <w:ind w:firstLine="420"/>
      </w:pPr>
      <w:r>
        <w:rPr>
          <w:rFonts w:ascii="方正黑体_GBK" w:hAnsi="方正黑体_GBK" w:cs="宋体" w:eastAsia="方正黑体_GBK"/>
          <w:sz w:val="15"/>
          <w:szCs w:val="20"/>
        </w:rPr>
        <w:t>2.债券类资产</w:t>
      </w:r>
    </w:p>
    <w:p>
      <w:pPr>
        <w:pStyle w:val="null10"/>
        <w:spacing w:lineRule="exact" w:line="200"/>
        <w:ind w:firstLine="420"/>
      </w:pPr>
      <w:r>
        <w:rPr>
          <w:rFonts w:ascii="方正黑体_GBK" w:hAnsi="方正黑体_GBK" w:cs="宋体" w:eastAsia="方正黑体_GBK"/>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3.非标准化债权类资产</w:t>
      </w:r>
    </w:p>
    <w:p>
      <w:pPr>
        <w:pStyle w:val="null10"/>
        <w:spacing w:lineRule="exact" w:line="200"/>
        <w:ind w:firstLine="420"/>
      </w:pPr>
      <w:r>
        <w:rPr>
          <w:rFonts w:ascii="方正黑体_GBK" w:hAnsi="方正黑体_GBK" w:cs="宋体" w:eastAsia="方正黑体_GBK"/>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4.证券投资基金、资管计划、信托计划等资产</w:t>
      </w:r>
    </w:p>
    <w:p>
      <w:pPr>
        <w:pStyle w:val="null10"/>
        <w:spacing w:lineRule="exact" w:line="200"/>
        <w:ind w:firstLine="420"/>
      </w:pPr>
      <w:r>
        <w:rPr>
          <w:rFonts w:ascii="方正黑体_GBK" w:hAnsi="方正黑体_GBK" w:cs="宋体" w:eastAsia="方正黑体_GBK"/>
          <w:sz w:val="15"/>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20"/>
      </w:pPr>
      <w:r>
        <w:rPr>
          <w:rFonts w:ascii="方正黑体_GBK" w:hAnsi="方正黑体_GBK" w:cs="宋体" w:eastAsia="方正黑体_GBK"/>
          <w:sz w:val="15"/>
          <w:szCs w:val="20"/>
        </w:rPr>
        <w:t>5.股权类及其他资产</w:t>
      </w:r>
    </w:p>
    <w:p>
      <w:pPr>
        <w:pStyle w:val="null10"/>
        <w:spacing w:lineRule="exact" w:line="200"/>
        <w:ind w:firstLine="420"/>
      </w:pPr>
      <w:r>
        <w:rPr>
          <w:rFonts w:ascii="方正黑体_GBK" w:hAnsi="方正黑体_GBK" w:cs="宋体" w:eastAsia="方正黑体_GBK"/>
          <w:sz w:val="15"/>
          <w:szCs w:val="20"/>
        </w:rPr>
        <w:t>按照公允价值估值，优先采用市值法估值。</w:t>
      </w:r>
    </w:p>
    <w:p>
      <w:pPr>
        <w:pStyle w:val="null10"/>
        <w:spacing w:lineRule="exact" w:line="200"/>
        <w:ind w:firstLine="420"/>
      </w:pPr>
      <w:r>
        <w:rPr>
          <w:rFonts w:ascii="方正黑体_GBK" w:hAnsi="方正黑体_GBK" w:cs="宋体" w:eastAsia="方正黑体_GBK"/>
          <w:sz w:val="15"/>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ffc6a29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ffc6a299"/>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ffc6a299"/>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ffc6a29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ffc6a29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ffc6a29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ffc6a29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ffc6a29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ffc6a29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ffc6a29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ffc6a29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ffc6a29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ffc6a29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ffc6a29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ffc6a29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ffc6a29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ffc6a29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ffc6a29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ffc6a29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ffc6a29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ffc6a29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ffc6a29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ffc6a29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ffc6a29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ffc6a29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ffc6a29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ffc6a29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ffc6a29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ffc6a29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ffc6a29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ffc6a29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ffc6a29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ffc6a29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ffc6a29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ffc6a29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ffc6a29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ffc6a299"/>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1"/>
  </w:num>
  <w:num w:numId="2">
    <w:abstractNumId w:val="4"/>
  </w:num>
  <w:num w:numId="3">
    <w:abstractNumId w:val="2"/>
  </w:num>
  <w:num w:numId="4">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166dbe6c">
    <w:name w:val="Normal166dbe6c"/>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ca735c06">
    <w:name w:val="heading 1ca735c06"/>
    <w:basedOn w:val="166dbe6c"/>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3d5ba24">
    <w:name w:val="heading 223d5ba24"/>
    <w:basedOn w:val="166dbe6c"/>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0fe1052f">
    <w:name w:val="heading 30fe1052f"/>
    <w:basedOn w:val="166dbe6c"/>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8a6467fb">
    <w:name w:val="Default Paragraph Font8a6467fb"/>
  </w:style>
  <w:style xmlns:r="http://schemas.openxmlformats.org/officeDocument/2006/relationships" w:type="paragraph" w:styleId="0ed65655">
    <w:name w:val="toc 10ed65655"/>
    <w:basedOn w:val="166dbe6c"/>
    <w:autoRedefine/>
    <w:next w:val="0"/>
  </w:style>
  <w:style xmlns:r="http://schemas.openxmlformats.org/officeDocument/2006/relationships" w:type="paragraph" w:styleId="0fb98065">
    <w:name w:val="toc 20fb98065"/>
    <w:basedOn w:val="166dbe6c"/>
    <w:autoRedefine/>
    <w:next w:val="0"/>
    <w:pPr>
      <w:ind w:left="420"/>
    </w:pPr>
  </w:style>
  <w:style xmlns:r="http://schemas.openxmlformats.org/officeDocument/2006/relationships" w:type="paragraph" w:styleId="fbd2b724">
    <w:name w:val="toc 3fbd2b724"/>
    <w:basedOn w:val="166dbe6c"/>
    <w:autoRedefine/>
    <w:next w:val="0"/>
    <w:pPr>
      <w:ind w:left="840"/>
    </w:pPr>
  </w:style>
  <w:style xmlns:r="http://schemas.openxmlformats.org/officeDocument/2006/relationships" w:type="paragraph" w:styleId="95c6a2cf">
    <w:name w:val="toc 495c6a2cf"/>
    <w:basedOn w:val="166dbe6c"/>
    <w:autoRedefine/>
    <w:next w:val="0"/>
    <w:pPr>
      <w:ind w:left="1260"/>
    </w:pPr>
  </w:style>
  <w:style xmlns:r="http://schemas.openxmlformats.org/officeDocument/2006/relationships" w:type="paragraph" w:styleId="a8814bc2">
    <w:name w:val="toc 5a8814bc2"/>
    <w:basedOn w:val="166dbe6c"/>
    <w:autoRedefine/>
    <w:next w:val="0"/>
    <w:pPr>
      <w:ind w:left="1680"/>
    </w:pPr>
  </w:style>
  <w:style xmlns:r="http://schemas.openxmlformats.org/officeDocument/2006/relationships" w:type="paragraph" w:styleId="6f7eeb0e">
    <w:name w:val="header6f7eeb0e"/>
    <w:basedOn w:val="166dbe6c"/>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e11f45fb">
    <w:name w:val="footere11f45fb"/>
    <w:basedOn w:val="166dbe6c"/>
    <w:pPr>
      <w:tabs>
        <w:tab w:val="center" w:pos="4153"/>
        <w:tab w:val="right" w:pos="8307"/>
      </w:tabs>
      <w:adjustRightInd/>
      <w:snapToGrid w:val="0"/>
      <w:contextualSpacing w:val="0"/>
      <w:jc w:val="left"/>
    </w:pPr>
    <w:rPr>
      <w:sz w:val="18"/>
    </w:rPr>
  </w:style>
  <w:style xmlns:r="http://schemas.openxmlformats.org/officeDocument/2006/relationships" w:type="character" w:styleId="9206ea54">
    <w:name w:val="Strong9206ea54"/>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ffc6a299">
    <w:name w:val="Normalffc6a299"/>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d185d9a7">
    <w:name w:val="heading 1d185d9a7"/>
    <w:basedOn w:val="ffc6a299"/>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fba02d13">
    <w:name w:val="heading 2fba02d13"/>
    <w:basedOn w:val="ffc6a299"/>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28a1257a">
    <w:name w:val="heading 328a1257a"/>
    <w:basedOn w:val="ffc6a299"/>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f6923739">
    <w:name w:val="Default Paragraph Fontf6923739"/>
  </w:style>
  <w:style xmlns:r="http://schemas.openxmlformats.org/officeDocument/2006/relationships" w:type="paragraph" w:styleId="1801def4">
    <w:name w:val="Normal Indent1801def4"/>
    <w:basedOn w:val="ffc6a299"/>
    <w:pPr>
      <w:ind w:firstLineChars="200" w:firstLine="200"/>
    </w:pPr>
  </w:style>
  <w:style xmlns:r="http://schemas.openxmlformats.org/officeDocument/2006/relationships" w:type="paragraph" w:styleId="702d6c70">
    <w:name w:val="toc 5702d6c70"/>
    <w:basedOn w:val="ffc6a299"/>
    <w:next w:val="0"/>
    <w:pPr>
      <w:ind w:left="1680"/>
    </w:pPr>
  </w:style>
  <w:style xmlns:r="http://schemas.openxmlformats.org/officeDocument/2006/relationships" w:type="paragraph" w:styleId="3337138e">
    <w:name w:val="toc 33337138e"/>
    <w:basedOn w:val="ffc6a299"/>
    <w:next w:val="0"/>
    <w:pPr>
      <w:ind w:left="840"/>
    </w:pPr>
  </w:style>
  <w:style xmlns:r="http://schemas.openxmlformats.org/officeDocument/2006/relationships" w:type="paragraph" w:styleId="e9360c87">
    <w:name w:val="footere9360c87"/>
    <w:basedOn w:val="ffc6a299"/>
    <w:pPr>
      <w:tabs>
        <w:tab w:val="center" w:pos="4153"/>
        <w:tab w:val="right" w:pos="8307"/>
      </w:tabs>
      <w:adjustRightInd/>
      <w:snapToGrid w:val="0"/>
      <w:contextualSpacing w:val="0"/>
      <w:jc w:val="left"/>
    </w:pPr>
    <w:rPr>
      <w:sz w:val="18"/>
    </w:rPr>
  </w:style>
  <w:style xmlns:r="http://schemas.openxmlformats.org/officeDocument/2006/relationships" w:type="paragraph" w:styleId="a0f280b6">
    <w:name w:val="headera0f280b6"/>
    <w:basedOn w:val="ffc6a299"/>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018da3c">
    <w:name w:val="toc 11018da3c"/>
    <w:basedOn w:val="ffc6a299"/>
    <w:next w:val="0"/>
  </w:style>
  <w:style xmlns:r="http://schemas.openxmlformats.org/officeDocument/2006/relationships" w:type="paragraph" w:styleId="a54f804a">
    <w:name w:val="toc 4a54f804a"/>
    <w:basedOn w:val="ffc6a299"/>
    <w:next w:val="0"/>
    <w:pPr>
      <w:ind w:left="1260"/>
    </w:pPr>
  </w:style>
  <w:style xmlns:r="http://schemas.openxmlformats.org/officeDocument/2006/relationships" w:type="paragraph" w:styleId="c5a59f65">
    <w:name w:val="toc 2c5a59f65"/>
    <w:basedOn w:val="ffc6a299"/>
    <w:next w:val="0"/>
    <w:pPr>
      <w:ind w:left="420"/>
    </w:pPr>
  </w:style>
  <w:style xmlns:r="http://schemas.openxmlformats.org/officeDocument/2006/relationships" w:type="paragraph" w:styleId="efe40225">
    <w:name w:val="Normal (Web)efe40225"/>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156ea286">
    <w:name w:val="Normal156ea286156ea286"/>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6a252eb6">
    <w:name w:val="heading 16a252eb66a252eb6"/>
    <w:basedOn w:val="156ea28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47bebce">
    <w:name w:val="heading 2747bebce747bebce"/>
    <w:basedOn w:val="156ea28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44b899ad">
    <w:name w:val="heading 344b899ad44b899ad"/>
    <w:basedOn w:val="156ea28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27c2b7ed">
    <w:name w:val="Default Paragraph Font27c2b7ed27c2b7ed"/>
  </w:style>
  <w:style xmlns:r="http://schemas.openxmlformats.org/officeDocument/2006/relationships" w:type="paragraph" w:customStyle="1" w:styleId="8d091224">
    <w:name w:val="引文目录18d0912248d091224"/>
    <w:basedOn w:val="156ea286"/>
    <w:next w:val="0"/>
    <w:pPr>
      <w:ind w:leftChars="200" w:left="200"/>
    </w:pPr>
  </w:style>
  <w:style xmlns:r="http://schemas.openxmlformats.org/officeDocument/2006/relationships" w:type="paragraph" w:styleId="8767b4de">
    <w:name w:val="toc 58767b4de8767b4de"/>
    <w:basedOn w:val="156ea286"/>
    <w:next w:val="0"/>
    <w:pPr>
      <w:ind w:left="1680"/>
    </w:pPr>
  </w:style>
  <w:style xmlns:r="http://schemas.openxmlformats.org/officeDocument/2006/relationships" w:type="paragraph" w:styleId="f179dabf">
    <w:name w:val="toc 3f179dabff179dabf"/>
    <w:basedOn w:val="156ea286"/>
    <w:next w:val="0"/>
    <w:pPr>
      <w:ind w:left="840"/>
    </w:pPr>
  </w:style>
  <w:style xmlns:r="http://schemas.openxmlformats.org/officeDocument/2006/relationships" w:type="paragraph" w:styleId="9e80a899">
    <w:name w:val="footer9e80a8999e80a899"/>
    <w:basedOn w:val="156ea286"/>
    <w:pPr>
      <w:tabs>
        <w:tab w:val="center" w:pos="4153"/>
        <w:tab w:val="right" w:pos="8307"/>
      </w:tabs>
      <w:adjustRightInd/>
      <w:snapToGrid w:val="0"/>
      <w:contextualSpacing w:val="0"/>
      <w:jc w:val="left"/>
    </w:pPr>
    <w:rPr>
      <w:sz w:val="18"/>
    </w:rPr>
  </w:style>
  <w:style xmlns:r="http://schemas.openxmlformats.org/officeDocument/2006/relationships" w:type="paragraph" w:styleId="2977726a">
    <w:name w:val="header2977726a2977726a"/>
    <w:basedOn w:val="156ea28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e56a25fc">
    <w:name w:val="toc 1e56a25fce56a25fc"/>
    <w:basedOn w:val="156ea286"/>
    <w:next w:val="0"/>
  </w:style>
  <w:style xmlns:r="http://schemas.openxmlformats.org/officeDocument/2006/relationships" w:type="paragraph" w:styleId="0ca0f763">
    <w:name w:val="toc 40ca0f7630ca0f763"/>
    <w:basedOn w:val="156ea286"/>
    <w:next w:val="0"/>
    <w:pPr>
      <w:ind w:left="1260"/>
    </w:pPr>
  </w:style>
  <w:style xmlns:r="http://schemas.openxmlformats.org/officeDocument/2006/relationships" w:type="paragraph" w:styleId="816ef4e3">
    <w:name w:val="toc 2816ef4e3816ef4e3"/>
    <w:basedOn w:val="156ea286"/>
    <w:next w:val="0"/>
    <w:pPr>
      <w:ind w:left="420"/>
    </w:pPr>
  </w:style>
  <w:style xmlns:r="http://schemas.openxmlformats.org/officeDocument/2006/relationships" w:type="paragraph" w:customStyle="1" w:styleId="f75482c2">
    <w:name w:val="列出段落1f75482c2f75482c2"/>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