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4699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625A5A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C6211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B4FA1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CB147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E5281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8FA86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54F48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F694F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AC137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24FFF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19EF3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577E7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E342A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AFC57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A835F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80D23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C3C9C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849A5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8CB2E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9339E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91ED0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893A6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77D34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B1926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150A3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4F0CF8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5F589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10C1BE9">
      <w:pPr>
        <w:spacing w:line="200" w:lineRule="exact"/>
      </w:pPr>
      <w:r>
        <w:rPr>
          <w:rFonts w:ascii="方正黑体_GBK" w:hAnsi="方正黑体_GBK" w:eastAsia="方正黑体_GBK" w:cs="宋体"/>
          <w:b/>
          <w:sz w:val="13"/>
          <w:szCs w:val="20"/>
        </w:rPr>
        <w:t xml:space="preserve">    1.债券类资产投资风险</w:t>
      </w:r>
    </w:p>
    <w:p w14:paraId="2EA3B8B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E61A964">
      <w:pPr>
        <w:spacing w:line="200" w:lineRule="exact"/>
      </w:pPr>
      <w:r>
        <w:rPr>
          <w:rFonts w:ascii="方正黑体_GBK" w:hAnsi="方正黑体_GBK" w:eastAsia="方正黑体_GBK" w:cs="宋体"/>
          <w:b/>
          <w:sz w:val="13"/>
          <w:szCs w:val="20"/>
        </w:rPr>
        <w:t xml:space="preserve">    2.非标准化债权类资产投资风险</w:t>
      </w:r>
    </w:p>
    <w:p w14:paraId="456284D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0E6DFBF">
      <w:pPr>
        <w:spacing w:line="200" w:lineRule="exact"/>
      </w:pPr>
      <w:r>
        <w:rPr>
          <w:rFonts w:ascii="方正黑体_GBK" w:hAnsi="方正黑体_GBK" w:eastAsia="方正黑体_GBK" w:cs="宋体"/>
          <w:b/>
          <w:sz w:val="13"/>
          <w:szCs w:val="20"/>
        </w:rPr>
        <w:t xml:space="preserve">    3.资产管理产品投资风险</w:t>
      </w:r>
    </w:p>
    <w:p w14:paraId="17E8309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A0874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078D55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25E56E3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70ED98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06A25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0EDBE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C102C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7D7DB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7840F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CF7019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AFD2A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4B86E2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28838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FB195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CD86E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499CE3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B92357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DAAE9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9DF7C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02F6BE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09F704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BDFE9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77629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9BB74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FB5FD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0B28B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DF677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D1A27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4137E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173B0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7A1B6B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B342B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9542F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88A3C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55E18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CF33F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FDBA2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2AF8B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68F7E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48F16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3D811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5E98F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B68C6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05533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41827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741C7E2">
      <w:r>
        <w:rPr>
          <w:rFonts w:ascii="方正黑体_GBK" w:hAnsi="方正黑体_GBK" w:eastAsia="方正黑体_GBK"/>
        </w:rPr>
        <w:br w:type="page"/>
      </w:r>
    </w:p>
    <w:p w14:paraId="47ADC5C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692437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1A17326">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CB8D1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9C8D9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bookmarkStart w:id="0" w:name="_GoBack"/>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26C55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南银理财珠联璧合安稳1909一年定开公募人民币理财产品</w:t>
            </w:r>
          </w:p>
        </w:tc>
      </w:tr>
      <w:tr w14:paraId="1D1A34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986B3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D3CAB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2AB619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D9E2B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FC794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D1559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D5C71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9EBE5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ZC108691944636</w:t>
            </w:r>
          </w:p>
        </w:tc>
      </w:tr>
      <w:tr w14:paraId="1D9880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130F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1E06E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Z7003221000022(投资者可依据该编码在中国理财网www.chinawealth.com.cn查询理财产品相关信息）</w:t>
            </w:r>
          </w:p>
        </w:tc>
      </w:tr>
      <w:tr w14:paraId="2501C1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75DF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83E5B62">
            <w:pPr>
              <w:spacing w:line="200" w:lineRule="exact"/>
            </w:pPr>
            <w:r>
              <w:rPr>
                <w:rFonts w:ascii="方正黑体_GBK" w:hAnsi="方正黑体_GBK" w:eastAsia="方正黑体_GBK" w:cs="宋体"/>
                <w:sz w:val="18"/>
                <w:szCs w:val="18"/>
              </w:rPr>
              <w:t>A份额：Z30005</w:t>
            </w:r>
          </w:p>
          <w:p w14:paraId="1BD78D2F">
            <w:pPr>
              <w:spacing w:line="200" w:lineRule="exact"/>
            </w:pPr>
            <w:r>
              <w:rPr>
                <w:rFonts w:ascii="方正黑体_GBK" w:hAnsi="方正黑体_GBK" w:eastAsia="方正黑体_GBK" w:cs="宋体"/>
                <w:sz w:val="18"/>
                <w:szCs w:val="18"/>
              </w:rPr>
              <w:t>C份额：Z31005</w:t>
            </w:r>
          </w:p>
          <w:p w14:paraId="5F985D7D">
            <w:pPr>
              <w:spacing w:line="200" w:lineRule="exact"/>
            </w:pPr>
            <w:r>
              <w:rPr>
                <w:rFonts w:ascii="方正黑体_GBK" w:hAnsi="方正黑体_GBK" w:eastAsia="方正黑体_GBK" w:cs="宋体"/>
                <w:sz w:val="18"/>
                <w:szCs w:val="18"/>
              </w:rPr>
              <w:t>E份额：Z32005</w:t>
            </w:r>
          </w:p>
          <w:p w14:paraId="4B4E1373">
            <w:pPr>
              <w:spacing w:line="200" w:lineRule="exact"/>
            </w:pPr>
            <w:r>
              <w:rPr>
                <w:rFonts w:ascii="方正黑体_GBK" w:hAnsi="方正黑体_GBK" w:eastAsia="方正黑体_GBK" w:cs="宋体"/>
                <w:sz w:val="18"/>
                <w:szCs w:val="18"/>
              </w:rPr>
              <w:t>B2份额：ZB31005</w:t>
            </w:r>
          </w:p>
          <w:p w14:paraId="77318075">
            <w:pPr>
              <w:spacing w:line="200" w:lineRule="exact"/>
            </w:pPr>
            <w:r>
              <w:rPr>
                <w:rFonts w:ascii="方正黑体_GBK" w:hAnsi="方正黑体_GBK" w:eastAsia="方正黑体_GBK" w:cs="宋体"/>
                <w:sz w:val="18"/>
                <w:szCs w:val="18"/>
              </w:rPr>
              <w:t>C2份额：ZC31005</w:t>
            </w:r>
          </w:p>
          <w:p w14:paraId="0087FDD2">
            <w:pPr>
              <w:spacing w:line="200" w:lineRule="exact"/>
            </w:pPr>
            <w:r>
              <w:rPr>
                <w:rFonts w:ascii="方正黑体_GBK" w:hAnsi="方正黑体_GBK" w:eastAsia="方正黑体_GBK" w:cs="宋体"/>
                <w:sz w:val="18"/>
                <w:szCs w:val="18"/>
              </w:rPr>
              <w:t>D2份额：ZD31005</w:t>
            </w:r>
          </w:p>
          <w:p w14:paraId="6E4AD189">
            <w:pPr>
              <w:spacing w:line="200" w:lineRule="exact"/>
            </w:pPr>
            <w:r>
              <w:rPr>
                <w:rFonts w:ascii="方正黑体_GBK" w:hAnsi="方正黑体_GBK" w:eastAsia="方正黑体_GBK" w:cs="宋体"/>
                <w:sz w:val="18"/>
                <w:szCs w:val="18"/>
              </w:rPr>
              <w:t>E2份额：ZE31005</w:t>
            </w:r>
          </w:p>
          <w:p w14:paraId="64E36A96">
            <w:pPr>
              <w:spacing w:line="200" w:lineRule="exact"/>
            </w:pPr>
            <w:r>
              <w:rPr>
                <w:rFonts w:ascii="方正黑体_GBK" w:hAnsi="方正黑体_GBK" w:eastAsia="方正黑体_GBK" w:cs="宋体"/>
                <w:sz w:val="18"/>
                <w:szCs w:val="18"/>
              </w:rPr>
              <w:t>B3份额：ZB32005</w:t>
            </w:r>
          </w:p>
          <w:p w14:paraId="250BFA4C">
            <w:pPr>
              <w:spacing w:line="200" w:lineRule="exact"/>
            </w:pPr>
            <w:r>
              <w:rPr>
                <w:rFonts w:ascii="方正黑体_GBK" w:hAnsi="方正黑体_GBK" w:eastAsia="方正黑体_GBK" w:cs="宋体"/>
                <w:sz w:val="18"/>
                <w:szCs w:val="18"/>
              </w:rPr>
              <w:t>C3份额：ZC32005</w:t>
            </w:r>
          </w:p>
          <w:p w14:paraId="4898538D">
            <w:pPr>
              <w:spacing w:line="200" w:lineRule="exact"/>
            </w:pPr>
            <w:r>
              <w:rPr>
                <w:rFonts w:ascii="方正黑体_GBK" w:hAnsi="方正黑体_GBK" w:eastAsia="方正黑体_GBK" w:cs="宋体"/>
                <w:sz w:val="18"/>
                <w:szCs w:val="18"/>
              </w:rPr>
              <w:t>D3份额：ZD32005</w:t>
            </w:r>
          </w:p>
          <w:p w14:paraId="35F9ED53">
            <w:pPr>
              <w:spacing w:line="200" w:lineRule="exact"/>
            </w:pPr>
            <w:r>
              <w:rPr>
                <w:rFonts w:ascii="方正黑体_GBK" w:hAnsi="方正黑体_GBK" w:eastAsia="方正黑体_GBK" w:cs="宋体"/>
                <w:sz w:val="18"/>
                <w:szCs w:val="18"/>
              </w:rPr>
              <w:t>E3份额：ZE32005</w:t>
            </w:r>
          </w:p>
          <w:p w14:paraId="1FCEE6EC">
            <w:pPr>
              <w:spacing w:line="200" w:lineRule="exact"/>
            </w:pPr>
            <w:r>
              <w:rPr>
                <w:rFonts w:ascii="方正黑体_GBK" w:hAnsi="方正黑体_GBK" w:eastAsia="方正黑体_GBK" w:cs="宋体"/>
                <w:sz w:val="18"/>
                <w:szCs w:val="18"/>
              </w:rPr>
              <w:t>A4份额：Z33005</w:t>
            </w:r>
          </w:p>
          <w:p w14:paraId="1040798A">
            <w:pPr>
              <w:spacing w:line="200" w:lineRule="exact"/>
            </w:pPr>
            <w:r>
              <w:rPr>
                <w:rFonts w:ascii="方正黑体_GBK" w:hAnsi="方正黑体_GBK" w:eastAsia="方正黑体_GBK" w:cs="宋体"/>
                <w:sz w:val="18"/>
                <w:szCs w:val="18"/>
              </w:rPr>
              <w:t>B4份额：ZB33005</w:t>
            </w:r>
          </w:p>
          <w:p w14:paraId="06F96268">
            <w:pPr>
              <w:spacing w:line="200" w:lineRule="exact"/>
            </w:pPr>
            <w:r>
              <w:rPr>
                <w:rFonts w:ascii="方正黑体_GBK" w:hAnsi="方正黑体_GBK" w:eastAsia="方正黑体_GBK" w:cs="宋体"/>
                <w:sz w:val="18"/>
                <w:szCs w:val="18"/>
              </w:rPr>
              <w:t>C4份额：ZC33005</w:t>
            </w:r>
          </w:p>
          <w:p w14:paraId="43738786">
            <w:pPr>
              <w:spacing w:line="200" w:lineRule="exact"/>
            </w:pPr>
            <w:r>
              <w:rPr>
                <w:rFonts w:ascii="方正黑体_GBK" w:hAnsi="方正黑体_GBK" w:eastAsia="方正黑体_GBK" w:cs="宋体"/>
                <w:sz w:val="18"/>
                <w:szCs w:val="18"/>
              </w:rPr>
              <w:t>D4份额：ZD33005</w:t>
            </w:r>
          </w:p>
          <w:p w14:paraId="0C80A1BE">
            <w:pPr>
              <w:spacing w:line="200" w:lineRule="exact"/>
            </w:pPr>
            <w:r>
              <w:rPr>
                <w:rFonts w:ascii="方正黑体_GBK" w:hAnsi="方正黑体_GBK" w:eastAsia="方正黑体_GBK" w:cs="宋体"/>
                <w:sz w:val="18"/>
                <w:szCs w:val="18"/>
              </w:rPr>
              <w:t>E4份额：ZE33005</w:t>
            </w:r>
          </w:p>
          <w:p w14:paraId="5EEEDEFE">
            <w:pPr>
              <w:spacing w:line="200" w:lineRule="exact"/>
            </w:pPr>
            <w:r>
              <w:rPr>
                <w:rFonts w:ascii="方正黑体_GBK" w:hAnsi="方正黑体_GBK" w:eastAsia="方正黑体_GBK" w:cs="宋体"/>
                <w:sz w:val="18"/>
                <w:szCs w:val="18"/>
              </w:rPr>
              <w:t>F2份额：ZF31005</w:t>
            </w:r>
          </w:p>
          <w:p w14:paraId="0E7F937E">
            <w:pPr>
              <w:spacing w:line="200" w:lineRule="exact"/>
            </w:pPr>
            <w:r>
              <w:rPr>
                <w:rFonts w:ascii="方正黑体_GBK" w:hAnsi="方正黑体_GBK" w:eastAsia="方正黑体_GBK" w:cs="宋体"/>
                <w:sz w:val="18"/>
                <w:szCs w:val="18"/>
              </w:rPr>
              <w:t>F3份额：ZF32005</w:t>
            </w:r>
          </w:p>
          <w:p w14:paraId="4E5B54D2">
            <w:pPr>
              <w:spacing w:line="200" w:lineRule="exact"/>
            </w:pPr>
            <w:r>
              <w:rPr>
                <w:rFonts w:ascii="方正黑体_GBK" w:hAnsi="方正黑体_GBK" w:eastAsia="方正黑体_GBK" w:cs="宋体"/>
                <w:sz w:val="18"/>
                <w:szCs w:val="18"/>
              </w:rPr>
              <w:t>G2份额：ZG31005</w:t>
            </w:r>
          </w:p>
          <w:p w14:paraId="45F46511">
            <w:pPr>
              <w:spacing w:line="200" w:lineRule="exact"/>
            </w:pPr>
            <w:r>
              <w:rPr>
                <w:rFonts w:ascii="方正黑体_GBK" w:hAnsi="方正黑体_GBK" w:eastAsia="方正黑体_GBK" w:cs="宋体"/>
                <w:sz w:val="18"/>
                <w:szCs w:val="18"/>
              </w:rPr>
              <w:t>G3份额：ZG32005</w:t>
            </w:r>
          </w:p>
          <w:p w14:paraId="1EB04106">
            <w:pPr>
              <w:spacing w:line="200" w:lineRule="exact"/>
            </w:pPr>
            <w:r>
              <w:rPr>
                <w:rFonts w:ascii="方正黑体_GBK" w:hAnsi="方正黑体_GBK" w:eastAsia="方正黑体_GBK" w:cs="宋体"/>
                <w:sz w:val="18"/>
                <w:szCs w:val="18"/>
              </w:rPr>
              <w:t>F4份额：ZF33005</w:t>
            </w:r>
          </w:p>
          <w:p w14:paraId="369F0DF4">
            <w:pPr>
              <w:spacing w:line="200" w:lineRule="exact"/>
            </w:pPr>
            <w:r>
              <w:rPr>
                <w:rFonts w:ascii="方正黑体_GBK" w:hAnsi="方正黑体_GBK" w:eastAsia="方正黑体_GBK" w:cs="宋体"/>
                <w:sz w:val="18"/>
                <w:szCs w:val="18"/>
              </w:rPr>
              <w:t>G4份额：ZG33005</w:t>
            </w:r>
          </w:p>
          <w:p w14:paraId="12048C7B">
            <w:pPr>
              <w:spacing w:line="200" w:lineRule="exact"/>
            </w:pPr>
            <w:r>
              <w:rPr>
                <w:rFonts w:ascii="方正黑体_GBK" w:hAnsi="方正黑体_GBK" w:eastAsia="方正黑体_GBK" w:cs="宋体"/>
                <w:sz w:val="18"/>
                <w:szCs w:val="18"/>
              </w:rPr>
              <w:t>H2份额：ZH31005</w:t>
            </w:r>
          </w:p>
          <w:p w14:paraId="2E372ACD">
            <w:pPr>
              <w:spacing w:line="200" w:lineRule="exact"/>
            </w:pPr>
            <w:r>
              <w:rPr>
                <w:rFonts w:ascii="方正黑体_GBK" w:hAnsi="方正黑体_GBK" w:eastAsia="方正黑体_GBK" w:cs="宋体"/>
                <w:sz w:val="18"/>
                <w:szCs w:val="18"/>
              </w:rPr>
              <w:t>J2份额：ZJ31005</w:t>
            </w:r>
          </w:p>
          <w:p w14:paraId="715349AC">
            <w:pPr>
              <w:spacing w:line="200" w:lineRule="exact"/>
            </w:pPr>
            <w:r>
              <w:rPr>
                <w:rFonts w:ascii="方正黑体_GBK" w:hAnsi="方正黑体_GBK" w:eastAsia="方正黑体_GBK" w:cs="宋体"/>
                <w:sz w:val="18"/>
                <w:szCs w:val="18"/>
              </w:rPr>
              <w:t>K2份额：ZK31005</w:t>
            </w:r>
          </w:p>
          <w:p w14:paraId="7B8006E5">
            <w:pPr>
              <w:spacing w:line="200" w:lineRule="exact"/>
            </w:pPr>
            <w:r>
              <w:rPr>
                <w:rFonts w:ascii="方正黑体_GBK" w:hAnsi="方正黑体_GBK" w:eastAsia="方正黑体_GBK" w:cs="宋体"/>
                <w:sz w:val="18"/>
                <w:szCs w:val="18"/>
              </w:rPr>
              <w:t>J3份额：ZJ32005</w:t>
            </w:r>
          </w:p>
          <w:p w14:paraId="62FF83A6">
            <w:pPr>
              <w:spacing w:line="200" w:lineRule="exact"/>
            </w:pPr>
            <w:r>
              <w:rPr>
                <w:rFonts w:ascii="方正黑体_GBK" w:hAnsi="方正黑体_GBK" w:eastAsia="方正黑体_GBK" w:cs="宋体"/>
                <w:sz w:val="18"/>
                <w:szCs w:val="18"/>
              </w:rPr>
              <w:t>K3份额：ZK32005</w:t>
            </w:r>
          </w:p>
          <w:p w14:paraId="4456781E">
            <w:pPr>
              <w:spacing w:line="200" w:lineRule="exact"/>
            </w:pPr>
            <w:r>
              <w:rPr>
                <w:rFonts w:ascii="方正黑体_GBK" w:hAnsi="方正黑体_GBK" w:eastAsia="方正黑体_GBK" w:cs="宋体"/>
                <w:sz w:val="18"/>
                <w:szCs w:val="18"/>
              </w:rPr>
              <w:t>L3份额：ZL32005</w:t>
            </w:r>
          </w:p>
          <w:p w14:paraId="2CBF2F49">
            <w:pPr>
              <w:spacing w:line="200" w:lineRule="exact"/>
            </w:pPr>
            <w:r>
              <w:rPr>
                <w:rFonts w:ascii="方正黑体_GBK" w:hAnsi="方正黑体_GBK" w:eastAsia="方正黑体_GBK" w:cs="宋体"/>
                <w:sz w:val="18"/>
                <w:szCs w:val="18"/>
              </w:rPr>
              <w:t>J4份额：ZJ33005</w:t>
            </w:r>
          </w:p>
          <w:p w14:paraId="225422D6">
            <w:pPr>
              <w:spacing w:line="200" w:lineRule="exact"/>
            </w:pPr>
            <w:r>
              <w:rPr>
                <w:rFonts w:ascii="方正黑体_GBK" w:hAnsi="方正黑体_GBK" w:eastAsia="方正黑体_GBK" w:cs="宋体"/>
                <w:sz w:val="18"/>
                <w:szCs w:val="18"/>
              </w:rPr>
              <w:t>K4份额：ZK33005</w:t>
            </w:r>
          </w:p>
          <w:p w14:paraId="7D382F2F">
            <w:pPr>
              <w:spacing w:line="200" w:lineRule="exact"/>
            </w:pPr>
            <w:r>
              <w:rPr>
                <w:rFonts w:ascii="方正黑体_GBK" w:hAnsi="方正黑体_GBK" w:eastAsia="方正黑体_GBK" w:cs="宋体"/>
                <w:sz w:val="18"/>
                <w:szCs w:val="18"/>
              </w:rPr>
              <w:t>I3份额：ZI32005</w:t>
            </w:r>
          </w:p>
          <w:p w14:paraId="2B9EFBAC">
            <w:pPr>
              <w:spacing w:line="200" w:lineRule="exact"/>
            </w:pPr>
            <w:r>
              <w:rPr>
                <w:rFonts w:ascii="方正黑体_GBK" w:hAnsi="方正黑体_GBK" w:eastAsia="方正黑体_GBK" w:cs="宋体"/>
                <w:sz w:val="18"/>
                <w:szCs w:val="18"/>
              </w:rPr>
              <w:t>M2份额：ZM31005</w:t>
            </w:r>
          </w:p>
          <w:p w14:paraId="5DD7535D">
            <w:pPr>
              <w:spacing w:line="200" w:lineRule="exact"/>
            </w:pPr>
            <w:r>
              <w:rPr>
                <w:rFonts w:ascii="方正黑体_GBK" w:hAnsi="方正黑体_GBK" w:eastAsia="方正黑体_GBK" w:cs="宋体"/>
                <w:sz w:val="18"/>
                <w:szCs w:val="18"/>
              </w:rPr>
              <w:t>M3份额：ZM32005</w:t>
            </w:r>
          </w:p>
          <w:p w14:paraId="52A520FB">
            <w:pPr>
              <w:spacing w:line="200" w:lineRule="exact"/>
            </w:pPr>
            <w:r>
              <w:rPr>
                <w:rFonts w:ascii="方正黑体_GBK" w:hAnsi="方正黑体_GBK" w:eastAsia="方正黑体_GBK" w:cs="宋体"/>
                <w:sz w:val="18"/>
                <w:szCs w:val="18"/>
              </w:rPr>
              <w:t>M4份额：ZM33005</w:t>
            </w:r>
          </w:p>
          <w:p w14:paraId="30FA61AD">
            <w:pPr>
              <w:spacing w:line="200" w:lineRule="exact"/>
            </w:pPr>
            <w:r>
              <w:rPr>
                <w:rFonts w:ascii="方正黑体_GBK" w:hAnsi="方正黑体_GBK" w:eastAsia="方正黑体_GBK" w:cs="宋体"/>
                <w:sz w:val="18"/>
                <w:szCs w:val="18"/>
              </w:rPr>
              <w:t>O2份额：ZO31005</w:t>
            </w:r>
          </w:p>
          <w:p w14:paraId="3488DF8E">
            <w:pPr>
              <w:spacing w:line="200" w:lineRule="exact"/>
            </w:pPr>
            <w:r>
              <w:rPr>
                <w:rFonts w:ascii="方正黑体_GBK" w:hAnsi="方正黑体_GBK" w:eastAsia="方正黑体_GBK" w:cs="宋体"/>
                <w:sz w:val="18"/>
                <w:szCs w:val="18"/>
              </w:rPr>
              <w:t>O3份额：ZO32005</w:t>
            </w:r>
          </w:p>
          <w:p w14:paraId="22611B0E">
            <w:pPr>
              <w:spacing w:line="200" w:lineRule="exact"/>
            </w:pPr>
            <w:r>
              <w:rPr>
                <w:rFonts w:ascii="方正黑体_GBK" w:hAnsi="方正黑体_GBK" w:eastAsia="方正黑体_GBK" w:cs="宋体"/>
                <w:sz w:val="18"/>
                <w:szCs w:val="18"/>
              </w:rPr>
              <w:t>O4份额：ZO33005</w:t>
            </w:r>
          </w:p>
          <w:p w14:paraId="7EFC71D3">
            <w:pPr>
              <w:spacing w:line="200" w:lineRule="exact"/>
            </w:pPr>
            <w:r>
              <w:rPr>
                <w:rFonts w:ascii="方正黑体_GBK" w:hAnsi="方正黑体_GBK" w:eastAsia="方正黑体_GBK" w:cs="宋体"/>
                <w:sz w:val="18"/>
                <w:szCs w:val="18"/>
              </w:rPr>
              <w:t>Q1份额：ZQ30005</w:t>
            </w:r>
          </w:p>
          <w:p w14:paraId="3B83861F">
            <w:pPr>
              <w:spacing w:line="200" w:lineRule="exact"/>
            </w:pPr>
            <w:r>
              <w:rPr>
                <w:rFonts w:ascii="方正黑体_GBK" w:hAnsi="方正黑体_GBK" w:eastAsia="方正黑体_GBK" w:cs="宋体"/>
                <w:sz w:val="18"/>
                <w:szCs w:val="18"/>
              </w:rPr>
              <w:t>R1份额：ZR30005</w:t>
            </w:r>
          </w:p>
          <w:p w14:paraId="782128AC">
            <w:pPr>
              <w:spacing w:line="200" w:lineRule="exact"/>
            </w:pPr>
            <w:r>
              <w:rPr>
                <w:rFonts w:ascii="方正黑体_GBK" w:hAnsi="方正黑体_GBK" w:eastAsia="方正黑体_GBK" w:cs="宋体"/>
                <w:sz w:val="18"/>
                <w:szCs w:val="18"/>
              </w:rPr>
              <w:t>Q2份额：ZQ31005</w:t>
            </w:r>
          </w:p>
          <w:p w14:paraId="0E3FE115">
            <w:pPr>
              <w:spacing w:line="200" w:lineRule="exact"/>
            </w:pPr>
            <w:r>
              <w:rPr>
                <w:rFonts w:ascii="方正黑体_GBK" w:hAnsi="方正黑体_GBK" w:eastAsia="方正黑体_GBK" w:cs="宋体"/>
                <w:sz w:val="18"/>
                <w:szCs w:val="18"/>
              </w:rPr>
              <w:t>R2份额：ZR31005</w:t>
            </w:r>
          </w:p>
          <w:p w14:paraId="6028ADC0">
            <w:pPr>
              <w:spacing w:line="200" w:lineRule="exact"/>
            </w:pPr>
            <w:r>
              <w:rPr>
                <w:rFonts w:ascii="方正黑体_GBK" w:hAnsi="方正黑体_GBK" w:eastAsia="方正黑体_GBK" w:cs="宋体"/>
                <w:sz w:val="18"/>
                <w:szCs w:val="18"/>
              </w:rPr>
              <w:t>Q3份额：ZQ32005</w:t>
            </w:r>
          </w:p>
          <w:p w14:paraId="68A1793A">
            <w:pPr>
              <w:spacing w:line="200" w:lineRule="exact"/>
            </w:pPr>
            <w:r>
              <w:rPr>
                <w:rFonts w:ascii="方正黑体_GBK" w:hAnsi="方正黑体_GBK" w:eastAsia="方正黑体_GBK" w:cs="宋体"/>
                <w:sz w:val="18"/>
                <w:szCs w:val="18"/>
              </w:rPr>
              <w:t>R3份额：ZR32005</w:t>
            </w:r>
          </w:p>
          <w:p w14:paraId="458F64D7">
            <w:pPr>
              <w:spacing w:line="200" w:lineRule="exact"/>
            </w:pPr>
            <w:r>
              <w:rPr>
                <w:rFonts w:ascii="方正黑体_GBK" w:hAnsi="方正黑体_GBK" w:eastAsia="方正黑体_GBK" w:cs="宋体"/>
                <w:sz w:val="18"/>
                <w:szCs w:val="18"/>
              </w:rPr>
              <w:t>Q4份额：ZQ33005</w:t>
            </w:r>
          </w:p>
          <w:p w14:paraId="707D05B7">
            <w:pPr>
              <w:spacing w:line="200" w:lineRule="exact"/>
            </w:pPr>
            <w:r>
              <w:rPr>
                <w:rFonts w:ascii="方正黑体_GBK" w:hAnsi="方正黑体_GBK" w:eastAsia="方正黑体_GBK" w:cs="宋体"/>
                <w:sz w:val="18"/>
                <w:szCs w:val="18"/>
              </w:rPr>
              <w:t>R4份额：ZR33005</w:t>
            </w:r>
          </w:p>
          <w:p w14:paraId="350972A0">
            <w:pPr>
              <w:spacing w:line="200" w:lineRule="exact"/>
            </w:pPr>
            <w:r>
              <w:rPr>
                <w:rFonts w:ascii="方正黑体_GBK" w:hAnsi="方正黑体_GBK" w:eastAsia="方正黑体_GBK" w:cs="宋体"/>
                <w:sz w:val="18"/>
                <w:szCs w:val="18"/>
              </w:rPr>
              <w:t>B1份额：ZB30005</w:t>
            </w:r>
          </w:p>
          <w:p w14:paraId="1BDD0B7F">
            <w:pPr>
              <w:spacing w:line="200" w:lineRule="exact"/>
            </w:pPr>
            <w:r>
              <w:rPr>
                <w:rFonts w:ascii="方正黑体_GBK" w:hAnsi="方正黑体_GBK" w:eastAsia="方正黑体_GBK" w:cs="宋体"/>
                <w:sz w:val="18"/>
                <w:szCs w:val="18"/>
              </w:rPr>
              <w:t>C1份额：ZC30005</w:t>
            </w:r>
          </w:p>
          <w:p w14:paraId="16461226">
            <w:pPr>
              <w:spacing w:line="200" w:lineRule="exact"/>
            </w:pPr>
            <w:r>
              <w:rPr>
                <w:rFonts w:ascii="方正黑体_GBK" w:hAnsi="方正黑体_GBK" w:eastAsia="方正黑体_GBK" w:cs="宋体"/>
                <w:sz w:val="18"/>
                <w:szCs w:val="18"/>
              </w:rPr>
              <w:t>D1份额：ZD30005</w:t>
            </w:r>
          </w:p>
          <w:p w14:paraId="608C84C7">
            <w:pPr>
              <w:spacing w:line="200" w:lineRule="exact"/>
            </w:pPr>
            <w:r>
              <w:rPr>
                <w:rFonts w:ascii="方正黑体_GBK" w:hAnsi="方正黑体_GBK" w:eastAsia="方正黑体_GBK" w:cs="宋体"/>
                <w:sz w:val="18"/>
                <w:szCs w:val="18"/>
              </w:rPr>
              <w:t>E1份额：ZE30005</w:t>
            </w:r>
          </w:p>
          <w:p w14:paraId="4649B03D">
            <w:pPr>
              <w:spacing w:line="200" w:lineRule="exact"/>
            </w:pPr>
            <w:r>
              <w:rPr>
                <w:rFonts w:ascii="方正黑体_GBK" w:hAnsi="方正黑体_GBK" w:eastAsia="方正黑体_GBK" w:cs="宋体"/>
                <w:sz w:val="18"/>
                <w:szCs w:val="18"/>
              </w:rPr>
              <w:t>F1份额：ZF30005</w:t>
            </w:r>
          </w:p>
          <w:p w14:paraId="59F9922D">
            <w:pPr>
              <w:spacing w:line="200" w:lineRule="exact"/>
            </w:pPr>
            <w:r>
              <w:rPr>
                <w:rFonts w:ascii="方正黑体_GBK" w:hAnsi="方正黑体_GBK" w:eastAsia="方正黑体_GBK" w:cs="宋体"/>
                <w:sz w:val="18"/>
                <w:szCs w:val="18"/>
              </w:rPr>
              <w:t>G1份额：ZG30005</w:t>
            </w:r>
          </w:p>
          <w:p w14:paraId="380DB8E6">
            <w:pPr>
              <w:spacing w:line="200" w:lineRule="exact"/>
            </w:pPr>
            <w:r>
              <w:rPr>
                <w:rFonts w:ascii="方正黑体_GBK" w:hAnsi="方正黑体_GBK" w:eastAsia="方正黑体_GBK" w:cs="宋体"/>
                <w:sz w:val="18"/>
                <w:szCs w:val="18"/>
              </w:rPr>
              <w:t>J1份额：ZJ30005</w:t>
            </w:r>
          </w:p>
          <w:p w14:paraId="7BE4E898">
            <w:pPr>
              <w:spacing w:line="200" w:lineRule="exact"/>
            </w:pPr>
            <w:r>
              <w:rPr>
                <w:rFonts w:ascii="方正黑体_GBK" w:hAnsi="方正黑体_GBK" w:eastAsia="方正黑体_GBK" w:cs="宋体"/>
                <w:sz w:val="18"/>
                <w:szCs w:val="18"/>
              </w:rPr>
              <w:t>K1份额：ZK30005</w:t>
            </w:r>
          </w:p>
          <w:p w14:paraId="745C33DB">
            <w:pPr>
              <w:spacing w:line="200" w:lineRule="exact"/>
            </w:pPr>
            <w:r>
              <w:rPr>
                <w:rFonts w:ascii="方正黑体_GBK" w:hAnsi="方正黑体_GBK" w:eastAsia="方正黑体_GBK" w:cs="宋体"/>
                <w:sz w:val="18"/>
                <w:szCs w:val="18"/>
              </w:rPr>
              <w:t>L1份额：ZL30005</w:t>
            </w:r>
          </w:p>
          <w:p w14:paraId="78D646F3">
            <w:pPr>
              <w:spacing w:line="200" w:lineRule="exact"/>
            </w:pPr>
            <w:r>
              <w:rPr>
                <w:rFonts w:ascii="方正黑体_GBK" w:hAnsi="方正黑体_GBK" w:eastAsia="方正黑体_GBK" w:cs="宋体"/>
                <w:sz w:val="18"/>
                <w:szCs w:val="18"/>
              </w:rPr>
              <w:t>M1份额：ZM30005</w:t>
            </w:r>
          </w:p>
          <w:p w14:paraId="6DC1207B">
            <w:pPr>
              <w:spacing w:line="200" w:lineRule="exact"/>
            </w:pPr>
            <w:r>
              <w:rPr>
                <w:rFonts w:ascii="方正黑体_GBK" w:hAnsi="方正黑体_GBK" w:eastAsia="方正黑体_GBK" w:cs="宋体"/>
                <w:sz w:val="18"/>
                <w:szCs w:val="18"/>
              </w:rPr>
              <w:t>N1份额：ZN30005</w:t>
            </w:r>
          </w:p>
          <w:p w14:paraId="5DF75239">
            <w:pPr>
              <w:spacing w:line="200" w:lineRule="exact"/>
            </w:pPr>
            <w:r>
              <w:rPr>
                <w:rFonts w:ascii="方正黑体_GBK" w:hAnsi="方正黑体_GBK" w:eastAsia="方正黑体_GBK" w:cs="宋体"/>
                <w:sz w:val="18"/>
                <w:szCs w:val="18"/>
              </w:rPr>
              <w:t>O1份额：ZO30005</w:t>
            </w:r>
          </w:p>
          <w:p w14:paraId="2AB55583">
            <w:pPr>
              <w:spacing w:line="200" w:lineRule="exact"/>
            </w:pPr>
            <w:r>
              <w:rPr>
                <w:rFonts w:ascii="方正黑体_GBK" w:hAnsi="方正黑体_GBK" w:eastAsia="方正黑体_GBK" w:cs="宋体"/>
                <w:sz w:val="18"/>
                <w:szCs w:val="18"/>
              </w:rPr>
              <w:t>S1份额：ZS30005</w:t>
            </w:r>
          </w:p>
          <w:p w14:paraId="3ECB4BAA">
            <w:pPr>
              <w:spacing w:line="200" w:lineRule="exact"/>
            </w:pPr>
            <w:r>
              <w:rPr>
                <w:rFonts w:ascii="方正黑体_GBK" w:hAnsi="方正黑体_GBK" w:eastAsia="方正黑体_GBK" w:cs="宋体"/>
                <w:sz w:val="18"/>
                <w:szCs w:val="18"/>
              </w:rPr>
              <w:t>S2份额：ZS31005</w:t>
            </w:r>
          </w:p>
          <w:p w14:paraId="5ED9D04F">
            <w:pPr>
              <w:spacing w:line="200" w:lineRule="exact"/>
            </w:pPr>
            <w:r>
              <w:rPr>
                <w:rFonts w:ascii="方正黑体_GBK" w:hAnsi="方正黑体_GBK" w:eastAsia="方正黑体_GBK" w:cs="宋体"/>
                <w:sz w:val="18"/>
                <w:szCs w:val="18"/>
              </w:rPr>
              <w:t>S3份额：ZS32005</w:t>
            </w:r>
          </w:p>
          <w:p w14:paraId="41A9E0DF">
            <w:pPr>
              <w:spacing w:line="200" w:lineRule="exact"/>
            </w:pPr>
            <w:r>
              <w:rPr>
                <w:rFonts w:ascii="方正黑体_GBK" w:hAnsi="方正黑体_GBK" w:eastAsia="方正黑体_GBK" w:cs="宋体"/>
                <w:sz w:val="18"/>
                <w:szCs w:val="18"/>
              </w:rPr>
              <w:t>S4份额：ZS33005</w:t>
            </w:r>
          </w:p>
          <w:p w14:paraId="2693706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E942B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B3E39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1E39963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214676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F6C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EF3B22E">
            <w:pPr>
              <w:spacing w:line="200" w:lineRule="exact"/>
            </w:pPr>
            <w:r>
              <w:rPr>
                <w:rFonts w:ascii="方正黑体_GBK" w:hAnsi="方正黑体_GBK" w:eastAsia="方正黑体_GBK" w:cs="宋体"/>
                <w:sz w:val="18"/>
                <w:szCs w:val="18"/>
              </w:rPr>
              <w:t>全国</w:t>
            </w:r>
          </w:p>
        </w:tc>
      </w:tr>
      <w:tr w14:paraId="506585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C334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798415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1B7AF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1F75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613561F">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7AA3AD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F663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DD6F88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8B2779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1005F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D0E7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1DAAB51">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3A2791C">
            <w:pPr>
              <w:spacing w:line="200" w:lineRule="exact"/>
            </w:pPr>
            <w:r>
              <w:rPr>
                <w:rFonts w:ascii="方正黑体_GBK" w:hAnsi="方正黑体_GBK" w:eastAsia="方正黑体_GBK" w:cs="宋体"/>
                <w:sz w:val="18"/>
                <w:szCs w:val="18"/>
              </w:rPr>
              <w:t>A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42B26310">
            <w:pPr>
              <w:spacing w:line="200" w:lineRule="exact"/>
            </w:pPr>
            <w:r>
              <w:rPr>
                <w:rFonts w:ascii="方正黑体_GBK" w:hAnsi="方正黑体_GBK" w:eastAsia="方正黑体_GBK" w:cs="宋体"/>
                <w:sz w:val="18"/>
                <w:szCs w:val="18"/>
              </w:rPr>
              <w:t>C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51D7C5DD">
            <w:pPr>
              <w:spacing w:line="200" w:lineRule="exact"/>
            </w:pPr>
            <w:r>
              <w:rPr>
                <w:rFonts w:ascii="方正黑体_GBK" w:hAnsi="方正黑体_GBK" w:eastAsia="方正黑体_GBK" w:cs="宋体"/>
                <w:sz w:val="18"/>
                <w:szCs w:val="18"/>
              </w:rPr>
              <w:t>E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4D64F437">
            <w:pPr>
              <w:spacing w:line="200" w:lineRule="exact"/>
            </w:pPr>
            <w:r>
              <w:rPr>
                <w:rFonts w:ascii="方正黑体_GBK" w:hAnsi="方正黑体_GBK" w:eastAsia="方正黑体_GBK" w:cs="宋体"/>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21CEFCA6">
            <w:pPr>
              <w:spacing w:line="200" w:lineRule="exact"/>
            </w:pPr>
            <w:r>
              <w:rPr>
                <w:rFonts w:ascii="方正黑体_GBK" w:hAnsi="方正黑体_GBK" w:eastAsia="方正黑体_GBK" w:cs="宋体"/>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3FEE542C">
            <w:pPr>
              <w:spacing w:line="200" w:lineRule="exact"/>
            </w:pPr>
            <w:r>
              <w:rPr>
                <w:rFonts w:ascii="方正黑体_GBK" w:hAnsi="方正黑体_GBK" w:eastAsia="方正黑体_GBK" w:cs="宋体"/>
                <w:sz w:val="18"/>
                <w:szCs w:val="18"/>
              </w:rPr>
              <w:t>D2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17A272F4">
            <w:pPr>
              <w:spacing w:line="200" w:lineRule="exact"/>
            </w:pPr>
            <w:r>
              <w:rPr>
                <w:rFonts w:ascii="方正黑体_GBK" w:hAnsi="方正黑体_GBK" w:eastAsia="方正黑体_GBK" w:cs="宋体"/>
                <w:sz w:val="18"/>
                <w:szCs w:val="18"/>
              </w:rPr>
              <w:t>E2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5A23A9B1">
            <w:pPr>
              <w:spacing w:line="200" w:lineRule="exact"/>
            </w:pPr>
            <w:r>
              <w:rPr>
                <w:rFonts w:ascii="方正黑体_GBK" w:hAnsi="方正黑体_GBK" w:eastAsia="方正黑体_GBK" w:cs="宋体"/>
                <w:sz w:val="18"/>
                <w:szCs w:val="18"/>
              </w:rPr>
              <w:t>B3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46E89C1A">
            <w:pPr>
              <w:spacing w:line="200" w:lineRule="exact"/>
            </w:pPr>
            <w:r>
              <w:rPr>
                <w:rFonts w:ascii="方正黑体_GBK" w:hAnsi="方正黑体_GBK" w:eastAsia="方正黑体_GBK" w:cs="宋体"/>
                <w:sz w:val="18"/>
                <w:szCs w:val="18"/>
              </w:rPr>
              <w:t>C3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40261412">
            <w:pPr>
              <w:spacing w:line="200" w:lineRule="exact"/>
            </w:pPr>
            <w:r>
              <w:rPr>
                <w:rFonts w:ascii="方正黑体_GBK" w:hAnsi="方正黑体_GBK" w:eastAsia="方正黑体_GBK" w:cs="宋体"/>
                <w:sz w:val="18"/>
                <w:szCs w:val="18"/>
              </w:rPr>
              <w:t>D3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218930A6">
            <w:pPr>
              <w:spacing w:line="200" w:lineRule="exact"/>
            </w:pPr>
            <w:r>
              <w:rPr>
                <w:rFonts w:ascii="方正黑体_GBK" w:hAnsi="方正黑体_GBK" w:eastAsia="方正黑体_GBK" w:cs="宋体"/>
                <w:sz w:val="18"/>
                <w:szCs w:val="18"/>
              </w:rPr>
              <w:t>E3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7864AF20">
            <w:pPr>
              <w:spacing w:line="200" w:lineRule="exact"/>
            </w:pPr>
            <w:r>
              <w:rPr>
                <w:rFonts w:ascii="方正黑体_GBK" w:hAnsi="方正黑体_GBK" w:eastAsia="方正黑体_GBK" w:cs="宋体"/>
                <w:sz w:val="18"/>
                <w:szCs w:val="18"/>
              </w:rPr>
              <w:t>A4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72C0CDFE">
            <w:pPr>
              <w:spacing w:line="200" w:lineRule="exact"/>
            </w:pPr>
            <w:r>
              <w:rPr>
                <w:rFonts w:ascii="方正黑体_GBK" w:hAnsi="方正黑体_GBK" w:eastAsia="方正黑体_GBK" w:cs="宋体"/>
                <w:sz w:val="18"/>
                <w:szCs w:val="18"/>
              </w:rPr>
              <w:t>B4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46FAB452">
            <w:pPr>
              <w:spacing w:line="200" w:lineRule="exact"/>
            </w:pPr>
            <w:r>
              <w:rPr>
                <w:rFonts w:ascii="方正黑体_GBK" w:hAnsi="方正黑体_GBK" w:eastAsia="方正黑体_GBK" w:cs="宋体"/>
                <w:sz w:val="18"/>
                <w:szCs w:val="18"/>
              </w:rPr>
              <w:t>C4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6A49649D">
            <w:pPr>
              <w:spacing w:line="200" w:lineRule="exact"/>
            </w:pPr>
            <w:r>
              <w:rPr>
                <w:rFonts w:ascii="方正黑体_GBK" w:hAnsi="方正黑体_GBK" w:eastAsia="方正黑体_GBK" w:cs="宋体"/>
                <w:sz w:val="18"/>
                <w:szCs w:val="18"/>
              </w:rPr>
              <w:t>D4份额：南京银行股份有限公司（新客新资金20万元）、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41FFD88A">
            <w:pPr>
              <w:spacing w:line="200" w:lineRule="exact"/>
            </w:pPr>
            <w:r>
              <w:rPr>
                <w:rFonts w:ascii="方正黑体_GBK" w:hAnsi="方正黑体_GBK" w:eastAsia="方正黑体_GBK" w:cs="宋体"/>
                <w:sz w:val="18"/>
                <w:szCs w:val="18"/>
              </w:rPr>
              <w:t>E4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26E1BC67">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39F1EB68">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380A0CCB">
            <w:pPr>
              <w:spacing w:line="200" w:lineRule="exact"/>
            </w:pPr>
            <w:r>
              <w:rPr>
                <w:rFonts w:ascii="方正黑体_GBK" w:hAnsi="方正黑体_GBK" w:eastAsia="方正黑体_GBK" w:cs="宋体"/>
                <w:sz w:val="18"/>
                <w:szCs w:val="18"/>
              </w:rPr>
              <w:t>G2份额：成都银行股份有限公司客户。</w:t>
            </w:r>
          </w:p>
          <w:p w14:paraId="72CA116C">
            <w:pPr>
              <w:spacing w:line="200" w:lineRule="exact"/>
            </w:pPr>
            <w:r>
              <w:rPr>
                <w:rFonts w:ascii="方正黑体_GBK" w:hAnsi="方正黑体_GBK" w:eastAsia="方正黑体_GBK" w:cs="宋体"/>
                <w:sz w:val="18"/>
                <w:szCs w:val="18"/>
              </w:rPr>
              <w:t>G3份额：成都银行股份有限公司客户。</w:t>
            </w:r>
          </w:p>
          <w:p w14:paraId="6B783D2E">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0C02D364">
            <w:pPr>
              <w:spacing w:line="200" w:lineRule="exact"/>
            </w:pPr>
            <w:r>
              <w:rPr>
                <w:rFonts w:ascii="方正黑体_GBK" w:hAnsi="方正黑体_GBK" w:eastAsia="方正黑体_GBK" w:cs="宋体"/>
                <w:sz w:val="18"/>
                <w:szCs w:val="18"/>
              </w:rPr>
              <w:t>G4份额：成都银行股份有限公司客户。</w:t>
            </w:r>
          </w:p>
          <w:p w14:paraId="3B2352AE">
            <w:pPr>
              <w:spacing w:line="200" w:lineRule="exact"/>
            </w:pPr>
            <w:r>
              <w:rPr>
                <w:rFonts w:ascii="方正黑体_GBK" w:hAnsi="方正黑体_GBK" w:eastAsia="方正黑体_GBK" w:cs="宋体"/>
                <w:sz w:val="18"/>
                <w:szCs w:val="18"/>
              </w:rPr>
              <w:t>H2份额：南京银行股份有限公司代发客户。</w:t>
            </w:r>
          </w:p>
          <w:p w14:paraId="6D3D9778">
            <w:pPr>
              <w:spacing w:line="200" w:lineRule="exact"/>
            </w:pPr>
            <w:r>
              <w:rPr>
                <w:rFonts w:ascii="方正黑体_GBK" w:hAnsi="方正黑体_GBK" w:eastAsia="方正黑体_GBK" w:cs="宋体"/>
                <w:sz w:val="18"/>
                <w:szCs w:val="18"/>
              </w:rPr>
              <w:t>J2份额：兴业银行股份有限公司客户。</w:t>
            </w:r>
          </w:p>
          <w:p w14:paraId="2935E335">
            <w:pPr>
              <w:spacing w:line="200" w:lineRule="exact"/>
            </w:pPr>
            <w:r>
              <w:rPr>
                <w:rFonts w:ascii="方正黑体_GBK" w:hAnsi="方正黑体_GBK" w:eastAsia="方正黑体_GBK" w:cs="宋体"/>
                <w:sz w:val="18"/>
                <w:szCs w:val="18"/>
              </w:rPr>
              <w:t>K2份额：交通银行股份有限公司客户。</w:t>
            </w:r>
          </w:p>
          <w:p w14:paraId="4E9B0C88">
            <w:pPr>
              <w:spacing w:line="200" w:lineRule="exact"/>
            </w:pPr>
            <w:r>
              <w:rPr>
                <w:rFonts w:ascii="方正黑体_GBK" w:hAnsi="方正黑体_GBK" w:eastAsia="方正黑体_GBK" w:cs="宋体"/>
                <w:sz w:val="18"/>
                <w:szCs w:val="18"/>
              </w:rPr>
              <w:t>J3份额：兴业银行股份有限公司客户。</w:t>
            </w:r>
          </w:p>
          <w:p w14:paraId="07DABFD9">
            <w:pPr>
              <w:spacing w:line="200" w:lineRule="exact"/>
            </w:pPr>
            <w:r>
              <w:rPr>
                <w:rFonts w:ascii="方正黑体_GBK" w:hAnsi="方正黑体_GBK" w:eastAsia="方正黑体_GBK" w:cs="宋体"/>
                <w:sz w:val="18"/>
                <w:szCs w:val="18"/>
              </w:rPr>
              <w:t>K3份额：交通银行股份有限公司客户。</w:t>
            </w:r>
          </w:p>
          <w:p w14:paraId="30A42483">
            <w:pPr>
              <w:spacing w:line="200" w:lineRule="exact"/>
            </w:pPr>
            <w:r>
              <w:rPr>
                <w:rFonts w:ascii="方正黑体_GBK" w:hAnsi="方正黑体_GBK" w:eastAsia="方正黑体_GBK" w:cs="宋体"/>
                <w:sz w:val="18"/>
                <w:szCs w:val="18"/>
              </w:rPr>
              <w:t>L3份额：兴业银行股份有限公司南京分行客户。</w:t>
            </w:r>
          </w:p>
          <w:p w14:paraId="7F3F0B0F">
            <w:pPr>
              <w:spacing w:line="200" w:lineRule="exact"/>
            </w:pPr>
            <w:r>
              <w:rPr>
                <w:rFonts w:ascii="方正黑体_GBK" w:hAnsi="方正黑体_GBK" w:eastAsia="方正黑体_GBK" w:cs="宋体"/>
                <w:sz w:val="18"/>
                <w:szCs w:val="18"/>
              </w:rPr>
              <w:t>J4份额：兴业银行股份有限公司客户。</w:t>
            </w:r>
          </w:p>
          <w:p w14:paraId="321D1887">
            <w:pPr>
              <w:spacing w:line="200" w:lineRule="exact"/>
            </w:pPr>
            <w:r>
              <w:rPr>
                <w:rFonts w:ascii="方正黑体_GBK" w:hAnsi="方正黑体_GBK" w:eastAsia="方正黑体_GBK" w:cs="宋体"/>
                <w:sz w:val="18"/>
                <w:szCs w:val="18"/>
              </w:rPr>
              <w:t>K4份额：交通银行股份有限公司客户。</w:t>
            </w:r>
          </w:p>
          <w:p w14:paraId="4950CAFE">
            <w:pPr>
              <w:spacing w:line="200" w:lineRule="exact"/>
            </w:pPr>
            <w:r>
              <w:rPr>
                <w:rFonts w:ascii="方正黑体_GBK" w:hAnsi="方正黑体_GBK" w:eastAsia="方正黑体_GBK" w:cs="宋体"/>
                <w:sz w:val="18"/>
                <w:szCs w:val="18"/>
              </w:rPr>
              <w:t>I3份额：南京银行股份有限公司（特定分行新客、新资金（5万）、代发）客户。</w:t>
            </w:r>
          </w:p>
          <w:p w14:paraId="3503DC85">
            <w:pPr>
              <w:spacing w:line="200" w:lineRule="exact"/>
            </w:pPr>
            <w:r>
              <w:rPr>
                <w:rFonts w:ascii="方正黑体_GBK" w:hAnsi="方正黑体_GBK" w:eastAsia="方正黑体_GBK" w:cs="宋体"/>
                <w:sz w:val="18"/>
                <w:szCs w:val="18"/>
              </w:rPr>
              <w:t>M2份额：苏州银行股份有限公司、嘉兴银行股份有限公司、宁波通商银行股份有限公司客户。</w:t>
            </w:r>
          </w:p>
          <w:p w14:paraId="038D6722">
            <w:pPr>
              <w:spacing w:line="200" w:lineRule="exact"/>
            </w:pPr>
            <w:r>
              <w:rPr>
                <w:rFonts w:ascii="方正黑体_GBK" w:hAnsi="方正黑体_GBK" w:eastAsia="方正黑体_GBK" w:cs="宋体"/>
                <w:sz w:val="18"/>
                <w:szCs w:val="18"/>
              </w:rPr>
              <w:t>M3份额：苏州银行股份有限公司、嘉兴银行股份有限公司、宁波通商银行股份有限公司客户。</w:t>
            </w:r>
          </w:p>
          <w:p w14:paraId="03A9ED7D">
            <w:pPr>
              <w:spacing w:line="200" w:lineRule="exact"/>
            </w:pPr>
            <w:r>
              <w:rPr>
                <w:rFonts w:ascii="方正黑体_GBK" w:hAnsi="方正黑体_GBK" w:eastAsia="方正黑体_GBK" w:cs="宋体"/>
                <w:sz w:val="18"/>
                <w:szCs w:val="18"/>
              </w:rPr>
              <w:t>M4份额：苏州银行股份有限公司、嘉兴银行股份有限公司、宁波通商银行股份有限公司客户。</w:t>
            </w:r>
          </w:p>
          <w:p w14:paraId="582F84E9">
            <w:pPr>
              <w:spacing w:line="200" w:lineRule="exact"/>
            </w:pPr>
            <w:r>
              <w:rPr>
                <w:rFonts w:ascii="方正黑体_GBK" w:hAnsi="方正黑体_GBK" w:eastAsia="方正黑体_GBK" w:cs="宋体"/>
                <w:sz w:val="18"/>
                <w:szCs w:val="18"/>
              </w:rPr>
              <w:t>O2份额：广发银行股份有限公司所有个人客户。</w:t>
            </w:r>
          </w:p>
          <w:p w14:paraId="298E77D3">
            <w:pPr>
              <w:spacing w:line="200" w:lineRule="exact"/>
            </w:pPr>
            <w:r>
              <w:rPr>
                <w:rFonts w:ascii="方正黑体_GBK" w:hAnsi="方正黑体_GBK" w:eastAsia="方正黑体_GBK" w:cs="宋体"/>
                <w:sz w:val="18"/>
                <w:szCs w:val="18"/>
              </w:rPr>
              <w:t>O3份额：广发银行股份有限公司所有个人客户。</w:t>
            </w:r>
          </w:p>
          <w:p w14:paraId="49EFB5E9">
            <w:pPr>
              <w:spacing w:line="200" w:lineRule="exact"/>
            </w:pPr>
            <w:r>
              <w:rPr>
                <w:rFonts w:ascii="方正黑体_GBK" w:hAnsi="方正黑体_GBK" w:eastAsia="方正黑体_GBK" w:cs="宋体"/>
                <w:sz w:val="18"/>
                <w:szCs w:val="18"/>
              </w:rPr>
              <w:t>O4份额：广发银行股份有限公司所有个人客户。</w:t>
            </w:r>
          </w:p>
          <w:p w14:paraId="2D7E9190">
            <w:pPr>
              <w:spacing w:line="200" w:lineRule="exact"/>
            </w:pPr>
            <w:r>
              <w:rPr>
                <w:rFonts w:ascii="方正黑体_GBK" w:hAnsi="方正黑体_GBK" w:eastAsia="方正黑体_GBK" w:cs="宋体"/>
                <w:sz w:val="18"/>
                <w:szCs w:val="18"/>
              </w:rPr>
              <w:t>Q1份额：台州银行股份有限公司所有客户。</w:t>
            </w:r>
          </w:p>
          <w:p w14:paraId="1FE7CA59">
            <w:pPr>
              <w:spacing w:line="200" w:lineRule="exact"/>
            </w:pPr>
            <w:r>
              <w:rPr>
                <w:rFonts w:ascii="方正黑体_GBK" w:hAnsi="方正黑体_GBK" w:eastAsia="方正黑体_GBK" w:cs="宋体"/>
                <w:sz w:val="18"/>
                <w:szCs w:val="18"/>
              </w:rPr>
              <w:t>R1份额：台州银行股份有限公司白名单客户。</w:t>
            </w:r>
          </w:p>
          <w:p w14:paraId="00B25AAF">
            <w:pPr>
              <w:spacing w:line="200" w:lineRule="exact"/>
            </w:pPr>
            <w:r>
              <w:rPr>
                <w:rFonts w:ascii="方正黑体_GBK" w:hAnsi="方正黑体_GBK" w:eastAsia="方正黑体_GBK" w:cs="宋体"/>
                <w:sz w:val="18"/>
                <w:szCs w:val="18"/>
              </w:rPr>
              <w:t>Q2份额：台州银行股份有限公司所有客户。</w:t>
            </w:r>
          </w:p>
          <w:p w14:paraId="5D6B29EA">
            <w:pPr>
              <w:spacing w:line="200" w:lineRule="exact"/>
            </w:pPr>
            <w:r>
              <w:rPr>
                <w:rFonts w:ascii="方正黑体_GBK" w:hAnsi="方正黑体_GBK" w:eastAsia="方正黑体_GBK" w:cs="宋体"/>
                <w:sz w:val="18"/>
                <w:szCs w:val="18"/>
              </w:rPr>
              <w:t>R2份额：台州银行股份有限公司白名单客户。</w:t>
            </w:r>
          </w:p>
          <w:p w14:paraId="4F630190">
            <w:pPr>
              <w:spacing w:line="200" w:lineRule="exact"/>
            </w:pPr>
            <w:r>
              <w:rPr>
                <w:rFonts w:ascii="方正黑体_GBK" w:hAnsi="方正黑体_GBK" w:eastAsia="方正黑体_GBK" w:cs="宋体"/>
                <w:sz w:val="18"/>
                <w:szCs w:val="18"/>
              </w:rPr>
              <w:t>Q3份额：台州银行股份有限公司所有客户。</w:t>
            </w:r>
          </w:p>
          <w:p w14:paraId="584A35FB">
            <w:pPr>
              <w:spacing w:line="200" w:lineRule="exact"/>
            </w:pPr>
            <w:r>
              <w:rPr>
                <w:rFonts w:ascii="方正黑体_GBK" w:hAnsi="方正黑体_GBK" w:eastAsia="方正黑体_GBK" w:cs="宋体"/>
                <w:sz w:val="18"/>
                <w:szCs w:val="18"/>
              </w:rPr>
              <w:t>R3份额：台州银行股份有限公司白名单客户。</w:t>
            </w:r>
          </w:p>
          <w:p w14:paraId="31C8631D">
            <w:pPr>
              <w:spacing w:line="200" w:lineRule="exact"/>
            </w:pPr>
            <w:r>
              <w:rPr>
                <w:rFonts w:ascii="方正黑体_GBK" w:hAnsi="方正黑体_GBK" w:eastAsia="方正黑体_GBK" w:cs="宋体"/>
                <w:sz w:val="18"/>
                <w:szCs w:val="18"/>
              </w:rPr>
              <w:t>Q4份额：台州银行股份有限公司所有客户。</w:t>
            </w:r>
          </w:p>
          <w:p w14:paraId="1F9AE4D1">
            <w:pPr>
              <w:spacing w:line="200" w:lineRule="exact"/>
            </w:pPr>
            <w:r>
              <w:rPr>
                <w:rFonts w:ascii="方正黑体_GBK" w:hAnsi="方正黑体_GBK" w:eastAsia="方正黑体_GBK" w:cs="宋体"/>
                <w:sz w:val="18"/>
                <w:szCs w:val="18"/>
              </w:rPr>
              <w:t>R4份额：台州银行股份有限公司白名单客户。</w:t>
            </w:r>
          </w:p>
          <w:p w14:paraId="6D74248A">
            <w:pPr>
              <w:spacing w:line="200" w:lineRule="exact"/>
            </w:pPr>
            <w:r>
              <w:rPr>
                <w:rFonts w:ascii="方正黑体_GBK" w:hAnsi="方正黑体_GBK" w:eastAsia="方正黑体_GBK" w:cs="宋体"/>
                <w:sz w:val="18"/>
                <w:szCs w:val="18"/>
              </w:rPr>
              <w:t>B1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62E09FF8">
            <w:pPr>
              <w:spacing w:line="200" w:lineRule="exact"/>
            </w:pPr>
            <w:r>
              <w:rPr>
                <w:rFonts w:ascii="方正黑体_GBK" w:hAnsi="方正黑体_GBK" w:eastAsia="方正黑体_GBK" w:cs="宋体"/>
                <w:sz w:val="18"/>
                <w:szCs w:val="18"/>
              </w:rPr>
              <w:t>C1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3C4300BF">
            <w:pPr>
              <w:spacing w:line="200" w:lineRule="exact"/>
            </w:pPr>
            <w:r>
              <w:rPr>
                <w:rFonts w:ascii="方正黑体_GBK" w:hAnsi="方正黑体_GBK" w:eastAsia="方正黑体_GBK" w:cs="宋体"/>
                <w:sz w:val="18"/>
                <w:szCs w:val="18"/>
              </w:rPr>
              <w:t>D1份额：南京银行股份有限公司（新客、新资金（20万元））、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183BDAE7">
            <w:pPr>
              <w:spacing w:line="200" w:lineRule="exact"/>
            </w:pPr>
            <w:r>
              <w:rPr>
                <w:rFonts w:ascii="方正黑体_GBK" w:hAnsi="方正黑体_GBK" w:eastAsia="方正黑体_GBK" w:cs="宋体"/>
                <w:sz w:val="18"/>
                <w:szCs w:val="18"/>
              </w:rPr>
              <w:t>E1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66ABF32E">
            <w:pPr>
              <w:spacing w:line="200" w:lineRule="exact"/>
            </w:pPr>
            <w:r>
              <w:rPr>
                <w:rFonts w:ascii="方正黑体_GBK" w:hAnsi="方正黑体_GBK" w:eastAsia="方正黑体_GBK" w:cs="宋体"/>
                <w:sz w:val="18"/>
                <w:szCs w:val="18"/>
              </w:rPr>
              <w:t>F1份额：南京银行私行客户、钻石客户、新晋私行客户、新晋钻石户及南京银行认定的其他符合标准的客户。</w:t>
            </w:r>
          </w:p>
          <w:p w14:paraId="0ADB4CE0">
            <w:pPr>
              <w:spacing w:line="200" w:lineRule="exact"/>
            </w:pPr>
            <w:r>
              <w:rPr>
                <w:rFonts w:ascii="方正黑体_GBK" w:hAnsi="方正黑体_GBK" w:eastAsia="方正黑体_GBK" w:cs="宋体"/>
                <w:sz w:val="18"/>
                <w:szCs w:val="18"/>
              </w:rPr>
              <w:t>G1份额：成都银行股份有限公司客户。</w:t>
            </w:r>
          </w:p>
          <w:p w14:paraId="23F52616">
            <w:pPr>
              <w:spacing w:line="200" w:lineRule="exact"/>
            </w:pPr>
            <w:r>
              <w:rPr>
                <w:rFonts w:ascii="方正黑体_GBK" w:hAnsi="方正黑体_GBK" w:eastAsia="方正黑体_GBK" w:cs="宋体"/>
                <w:sz w:val="18"/>
                <w:szCs w:val="18"/>
              </w:rPr>
              <w:t>J1份额：兴业银行股份有限公司客户。</w:t>
            </w:r>
          </w:p>
          <w:p w14:paraId="5D2A57D4">
            <w:pPr>
              <w:spacing w:line="200" w:lineRule="exact"/>
            </w:pPr>
            <w:r>
              <w:rPr>
                <w:rFonts w:ascii="方正黑体_GBK" w:hAnsi="方正黑体_GBK" w:eastAsia="方正黑体_GBK" w:cs="宋体"/>
                <w:sz w:val="18"/>
                <w:szCs w:val="18"/>
              </w:rPr>
              <w:t>K1份额：交通银行股份有限公司客户。</w:t>
            </w:r>
          </w:p>
          <w:p w14:paraId="6A551FF3">
            <w:pPr>
              <w:spacing w:line="200" w:lineRule="exact"/>
            </w:pPr>
            <w:r>
              <w:rPr>
                <w:rFonts w:ascii="方正黑体_GBK" w:hAnsi="方正黑体_GBK" w:eastAsia="方正黑体_GBK" w:cs="宋体"/>
                <w:sz w:val="18"/>
                <w:szCs w:val="18"/>
              </w:rPr>
              <w:t>L1份额：兴业银行股份有限公司南京分行客户。</w:t>
            </w:r>
          </w:p>
          <w:p w14:paraId="0A949696">
            <w:pPr>
              <w:spacing w:line="200" w:lineRule="exact"/>
            </w:pPr>
            <w:r>
              <w:rPr>
                <w:rFonts w:ascii="方正黑体_GBK" w:hAnsi="方正黑体_GBK" w:eastAsia="方正黑体_GBK" w:cs="宋体"/>
                <w:sz w:val="18"/>
                <w:szCs w:val="18"/>
              </w:rPr>
              <w:t>M1份额：苏州银行股份有限公司、嘉兴银行股份有限公司、宁波通商银行股份有限公司客户。</w:t>
            </w:r>
          </w:p>
          <w:p w14:paraId="3C48E561">
            <w:pPr>
              <w:spacing w:line="200" w:lineRule="exact"/>
            </w:pPr>
            <w:r>
              <w:rPr>
                <w:rFonts w:ascii="方正黑体_GBK" w:hAnsi="方正黑体_GBK" w:eastAsia="方正黑体_GBK" w:cs="宋体"/>
                <w:sz w:val="18"/>
                <w:szCs w:val="18"/>
              </w:rPr>
              <w:t>N1份额：苏州银行股份有限公司（代发与新资金专属）客户。</w:t>
            </w:r>
          </w:p>
          <w:p w14:paraId="3117E091">
            <w:pPr>
              <w:spacing w:line="200" w:lineRule="exact"/>
            </w:pPr>
            <w:r>
              <w:rPr>
                <w:rFonts w:ascii="方正黑体_GBK" w:hAnsi="方正黑体_GBK" w:eastAsia="方正黑体_GBK" w:cs="宋体"/>
                <w:sz w:val="18"/>
                <w:szCs w:val="18"/>
              </w:rPr>
              <w:t>O1份额：广发银行股份有限公司所有个人客户。</w:t>
            </w:r>
          </w:p>
          <w:p w14:paraId="270ABDB9">
            <w:pPr>
              <w:spacing w:line="200" w:lineRule="exact"/>
            </w:pPr>
            <w:r>
              <w:rPr>
                <w:rFonts w:ascii="方正黑体_GBK" w:hAnsi="方正黑体_GBK" w:eastAsia="方正黑体_GBK" w:cs="宋体"/>
                <w:sz w:val="18"/>
                <w:szCs w:val="18"/>
              </w:rPr>
              <w:t>S1份额：成都农村商业银行股份有限公司客户。</w:t>
            </w:r>
          </w:p>
          <w:p w14:paraId="53D1852F">
            <w:pPr>
              <w:spacing w:line="200" w:lineRule="exact"/>
            </w:pPr>
            <w:r>
              <w:rPr>
                <w:rFonts w:ascii="方正黑体_GBK" w:hAnsi="方正黑体_GBK" w:eastAsia="方正黑体_GBK" w:cs="宋体"/>
                <w:sz w:val="18"/>
                <w:szCs w:val="18"/>
              </w:rPr>
              <w:t>S2份额：成都农村商业银行股份有限公司客户。</w:t>
            </w:r>
          </w:p>
          <w:p w14:paraId="74E3BAB7">
            <w:pPr>
              <w:spacing w:line="200" w:lineRule="exact"/>
            </w:pPr>
            <w:r>
              <w:rPr>
                <w:rFonts w:ascii="方正黑体_GBK" w:hAnsi="方正黑体_GBK" w:eastAsia="方正黑体_GBK" w:cs="宋体"/>
                <w:sz w:val="18"/>
                <w:szCs w:val="18"/>
              </w:rPr>
              <w:t>S3份额：成都农村商业银行股份有限公司客户。</w:t>
            </w:r>
          </w:p>
          <w:p w14:paraId="6C6205E1">
            <w:pPr>
              <w:spacing w:line="200" w:lineRule="exact"/>
            </w:pPr>
            <w:r>
              <w:rPr>
                <w:rFonts w:ascii="方正黑体_GBK" w:hAnsi="方正黑体_GBK" w:eastAsia="方正黑体_GBK" w:cs="宋体"/>
                <w:sz w:val="18"/>
                <w:szCs w:val="18"/>
              </w:rPr>
              <w:t>S4份额：成都农村商业银行股份有限公司客户。</w:t>
            </w:r>
          </w:p>
          <w:p w14:paraId="172655E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60BE9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9DD1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4ADD9A0">
            <w:pPr>
              <w:spacing w:line="200" w:lineRule="exact"/>
            </w:pPr>
            <w:r>
              <w:rPr>
                <w:rFonts w:ascii="方正黑体_GBK" w:hAnsi="方正黑体_GBK" w:eastAsia="方正黑体_GBK" w:cs="宋体"/>
                <w:sz w:val="18"/>
                <w:szCs w:val="18"/>
              </w:rPr>
              <w:t>A份额/C份额/E份额/B2份额/C2份额/D2份额/E2份额/B3份额/C3份额/D3份额/E3份额/A4份额/B4份额/C4份额/D4份额/E4份额/F2份额/F3份额/G2份额/G3份额/F4份额/G4份额/H2份额/J2份额/K2份额/J3份额/K3份额/L3份额/J4份额/K4份额/I3份额/M2份额/M3份额/M4份额/Q1份额/R1份额/Q2份额/R2份额/Q3份额/R3份额/Q4份额/R4份额/B1份额/C1份额/D1份额/E1份额/F1份额/G1份额/J1份额/K1份额/L1份额/M1份额/N1份额/S1份额/S2份额/S3份额/S4份额：</w:t>
            </w:r>
          </w:p>
          <w:p w14:paraId="0B017967">
            <w:pPr>
              <w:spacing w:line="200" w:lineRule="exact"/>
            </w:pPr>
            <w:r>
              <w:rPr>
                <w:rFonts w:ascii="方正黑体_GBK" w:hAnsi="方正黑体_GBK" w:eastAsia="方正黑体_GBK" w:cs="宋体"/>
                <w:sz w:val="18"/>
                <w:szCs w:val="18"/>
              </w:rPr>
              <w:t>个人投资者投资起点金额1元人民币，以1元的整数倍递增；</w:t>
            </w:r>
          </w:p>
          <w:p w14:paraId="0CC4C794">
            <w:pPr>
              <w:spacing w:line="200" w:lineRule="exact"/>
            </w:pPr>
            <w:r>
              <w:rPr>
                <w:rFonts w:ascii="方正黑体_GBK" w:hAnsi="方正黑体_GBK" w:eastAsia="方正黑体_GBK" w:cs="宋体"/>
                <w:sz w:val="18"/>
                <w:szCs w:val="18"/>
              </w:rPr>
              <w:t>机构投资者投资起点金额1元人民币，以1元的整数倍递增；</w:t>
            </w:r>
          </w:p>
          <w:p w14:paraId="7D8E29F0">
            <w:pPr>
              <w:spacing w:line="200" w:lineRule="exact"/>
            </w:pPr>
            <w:r>
              <w:rPr>
                <w:rFonts w:ascii="方正黑体_GBK" w:hAnsi="方正黑体_GBK" w:eastAsia="方正黑体_GBK" w:cs="宋体"/>
                <w:sz w:val="18"/>
                <w:szCs w:val="18"/>
              </w:rPr>
              <w:t>O2份额/O3份额/O4份额/O1份额：</w:t>
            </w:r>
          </w:p>
          <w:p w14:paraId="71A85AFF">
            <w:pPr>
              <w:spacing w:line="200" w:lineRule="exact"/>
            </w:pPr>
            <w:r>
              <w:rPr>
                <w:rFonts w:ascii="方正黑体_GBK" w:hAnsi="方正黑体_GBK" w:eastAsia="方正黑体_GBK" w:cs="宋体"/>
                <w:sz w:val="18"/>
                <w:szCs w:val="18"/>
              </w:rPr>
              <w:t>个人投资者投资起点金额1元人民币，以1元的整数倍递增；</w:t>
            </w:r>
          </w:p>
          <w:p w14:paraId="6D31FD7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83077E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A64BB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5565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0D434B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3BE35B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65B01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F710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DCCB98D">
            <w:pPr>
              <w:spacing w:line="200" w:lineRule="exact"/>
            </w:pPr>
            <w:r>
              <w:rPr>
                <w:rFonts w:ascii="方正黑体_GBK" w:hAnsi="方正黑体_GBK" w:eastAsia="方正黑体_GBK" w:cs="宋体"/>
                <w:color w:val="000000"/>
                <w:sz w:val="18"/>
                <w:szCs w:val="18"/>
              </w:rPr>
              <w:t>2019年08月28日 09:00—2019年09月04日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5F3B7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86FB5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F20D65">
            <w:pPr>
              <w:spacing w:line="200" w:lineRule="exact"/>
            </w:pPr>
            <w:r>
              <w:rPr>
                <w:rFonts w:ascii="方正黑体_GBK" w:hAnsi="方正黑体_GBK" w:eastAsia="方正黑体_GBK" w:cs="宋体"/>
                <w:sz w:val="18"/>
                <w:szCs w:val="18"/>
              </w:rPr>
              <w:t>认购份额=确认认购金额/1。（认购份额以去尾法保留两位小数）</w:t>
            </w:r>
          </w:p>
        </w:tc>
      </w:tr>
      <w:tr w14:paraId="390665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1B801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741DF1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F430C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AA03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46340F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2019年09月05日</w:t>
            </w:r>
          </w:p>
        </w:tc>
      </w:tr>
      <w:tr w14:paraId="26D326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6554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048BF75">
            <w:pPr>
              <w:spacing w:line="200" w:lineRule="exact"/>
            </w:pPr>
            <w:r>
              <w:rPr>
                <w:rFonts w:ascii="方正黑体_GBK" w:hAnsi="方正黑体_GBK" w:eastAsia="方正黑体_GBK" w:cs="宋体"/>
                <w:sz w:val="18"/>
                <w:szCs w:val="18"/>
              </w:rPr>
              <w:t>2019年09月05日—实际到期日（若本理财产品未被提前终止或延期终止，则实际到期日即为名义到期日，存续期限10年；若本理财产品被提前终止或延期终止，则实际到期日为提前终止日或延期终止日。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726552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5E6C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60BE0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141CA6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3F8B5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9711589">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0A2B9F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784B6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DD3DC2D">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4569D4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95A3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4352272C">
            <w:pPr>
              <w:spacing w:line="200" w:lineRule="exact"/>
            </w:pPr>
            <w:r>
              <w:rPr>
                <w:rFonts w:ascii="方正黑体_GBK" w:hAnsi="方正黑体_GBK" w:eastAsia="方正黑体_GBK" w:cs="宋体"/>
                <w:sz w:val="18"/>
                <w:szCs w:val="18"/>
              </w:rPr>
              <w:t>A份额/F1份额/Q1份额/R1份额：本次开放期为2025年11月13日9：00至2025年11月19日17：00。下一个开放期为2026年12月30日9：00至2027年1月6日17：00，投资者可以提交或撤销申购/赎回申请。</w:t>
            </w:r>
          </w:p>
          <w:p w14:paraId="5DF80E06">
            <w:pPr>
              <w:spacing w:line="200" w:lineRule="exact"/>
            </w:pPr>
            <w:r>
              <w:rPr>
                <w:rFonts w:ascii="方正黑体_GBK" w:hAnsi="方正黑体_GBK" w:eastAsia="方正黑体_GBK" w:cs="宋体"/>
                <w:sz w:val="18"/>
                <w:szCs w:val="18"/>
              </w:rPr>
              <w:t>B1份额/C1份额/D1份额/E1份额/G1份额/J1份额/K1份额/L1份额/M1份额/N1份额/O1份额/S1份额：本次开放期为2025年11月13日9：00至2025年11月19日17：00，投资者可以提交或撤销认/申购申请；确认成功的份额均将于下一个开放期（2026年12月30日9：00至2027年1月6日17：00）由系统自动发起赎回申请。</w:t>
            </w:r>
          </w:p>
          <w:p w14:paraId="54D5C043">
            <w:pPr>
              <w:spacing w:line="200" w:lineRule="exact"/>
            </w:pPr>
            <w:r>
              <w:rPr>
                <w:rFonts w:ascii="方正黑体_GBK" w:hAnsi="方正黑体_GBK" w:eastAsia="方正黑体_GBK" w:cs="宋体"/>
                <w:sz w:val="18"/>
                <w:szCs w:val="18"/>
              </w:rPr>
              <w:t>C份额/F2份额/Q2份额/R2份额：本次认/申购开放期为2025年11月20日9：00至2025年11月26日17：00,投资者可以提交或撤销认/申购申请；其中C份额本次赎回开放期为2025年11月13日9：00至2025年11月19日17：00，投资者可以提交或撤销赎回申请。下一个赎回开放期为2026年12月30日9：00至2027年1月6日17：00，投资者可以提交或撤销赎回申请，下一个申购开放期为2027年1月7日9：00至2027年1月13日17：00，投资者可以提交或撤销申购申请。</w:t>
            </w:r>
          </w:p>
          <w:p w14:paraId="5DB48E36">
            <w:pPr>
              <w:spacing w:line="200" w:lineRule="exact"/>
            </w:pPr>
            <w:r>
              <w:rPr>
                <w:rFonts w:ascii="方正黑体_GBK" w:hAnsi="方正黑体_GBK" w:eastAsia="方正黑体_GBK" w:cs="宋体"/>
                <w:sz w:val="18"/>
                <w:szCs w:val="18"/>
              </w:rPr>
              <w:t>B2份额/C2份额/D2份额/E2份额/G2份额/H2份额/J2份额/K2份额/M2份额/O2份额/S2份额：本次开放期为2025年11月20日9：00至2025年11月26日17：00，投资者可以提交或撤销认/申购申请；确认成功的份额均将于下一个开放期（2026年12月30日9：00至2027年1月6日17：00）由系统自动发起赎回申请。</w:t>
            </w:r>
          </w:p>
          <w:p w14:paraId="25CD104B">
            <w:pPr>
              <w:spacing w:line="200" w:lineRule="exact"/>
            </w:pPr>
            <w:r>
              <w:rPr>
                <w:rFonts w:ascii="方正黑体_GBK" w:hAnsi="方正黑体_GBK" w:eastAsia="方正黑体_GBK" w:cs="宋体"/>
                <w:sz w:val="18"/>
                <w:szCs w:val="18"/>
              </w:rPr>
              <w:t>E份额/F3份额/Q3份额/R3份额：本次认/申购开放期为2025年11月27日9：00至2025年12月3日17：00,投资者可以提交或撤销认/申购申请；其中E份额本次赎回开放期为2025年11月13日9：00至2025年11月19日17：00，投资者可以提交或撤销赎回申请。下一个赎回开放期为2026年12月30日9：00至2027年1月6日17：00，投资者可以提交或撤销赎回申请，下一个申购开放期为2027年1月14日9：00至2027年1月20日17：00，投资者可以提交或撤销申购申请。</w:t>
            </w:r>
          </w:p>
          <w:p w14:paraId="34D35F97">
            <w:pPr>
              <w:spacing w:line="200" w:lineRule="exact"/>
            </w:pPr>
            <w:r>
              <w:rPr>
                <w:rFonts w:ascii="方正黑体_GBK" w:hAnsi="方正黑体_GBK" w:eastAsia="方正黑体_GBK" w:cs="宋体"/>
                <w:sz w:val="18"/>
                <w:szCs w:val="18"/>
              </w:rPr>
              <w:t>B3份额/C3份额/D3份额/E3份额/G3份额/I3份额/J3份额/K3份额/L3份额/M3份额/O3份额/S3份额：本次开放期为2025年11月27日9：00至2025年12月3日17：00，投资者可以提交或撤销认/申购申请；确认成功的份额均将于下一个开放期（2026年12月30日9：00至2027年1月6日17：00）由系统自动发起赎回申请。</w:t>
            </w:r>
          </w:p>
          <w:p w14:paraId="17473601">
            <w:pPr>
              <w:spacing w:line="200" w:lineRule="exact"/>
            </w:pPr>
            <w:r>
              <w:rPr>
                <w:rFonts w:ascii="方正黑体_GBK" w:hAnsi="方正黑体_GBK" w:eastAsia="方正黑体_GBK" w:cs="宋体"/>
                <w:sz w:val="18"/>
                <w:szCs w:val="18"/>
              </w:rPr>
              <w:t>A4份额/F4份额/Q4份额/R4份额：本次开放期为2025年12月4日9：00至2025年12月10日17：00。下一个赎回开放期为2026年12月30日9：00至2027年1月6日17：00，投资者可以提交或撤销赎回申请，下一个申购开放期为2027年1月21日9：00至2027年1月27日17：00，投资者可以提交或撤销申购申请。</w:t>
            </w:r>
          </w:p>
          <w:p w14:paraId="53D8C0C7">
            <w:pPr>
              <w:spacing w:line="200" w:lineRule="exact"/>
            </w:pPr>
            <w:r>
              <w:rPr>
                <w:rFonts w:ascii="方正黑体_GBK" w:hAnsi="方正黑体_GBK" w:eastAsia="方正黑体_GBK" w:cs="宋体"/>
                <w:sz w:val="18"/>
                <w:szCs w:val="18"/>
              </w:rPr>
              <w:t>B4份额/C4份额/D4份额/E4份额/G4份额/J4份额/K4份额/M4份额/O4份额/S4份额：本次开放期为2025年12月4日9：00至2025年12月10日17：00，投资者可以提交或撤销认/申购申请；确认成功的份额均将于下一个开放期（2026年12月30日9：00至2027年1月6日17：00）由系统自动发起赎回申请。</w:t>
            </w:r>
          </w:p>
          <w:p w14:paraId="2AA56564">
            <w:pPr>
              <w:spacing w:line="200" w:lineRule="exact"/>
            </w:pPr>
            <w:r>
              <w:rPr>
                <w:rFonts w:ascii="方正黑体_GBK" w:hAnsi="方正黑体_GBK" w:eastAsia="方正黑体_GBK" w:cs="宋体"/>
                <w:sz w:val="18"/>
                <w:szCs w:val="18"/>
              </w:rPr>
              <w:t>产品开放期如有调整以管理人公告为准。</w:t>
            </w:r>
          </w:p>
          <w:p w14:paraId="4DED1B5C">
            <w:pPr>
              <w:spacing w:line="200" w:lineRule="exact"/>
            </w:pPr>
            <w:r>
              <w:rPr>
                <w:rFonts w:ascii="方正黑体_GBK" w:hAnsi="方正黑体_GBK" w:eastAsia="方正黑体_GBK" w:cs="宋体"/>
                <w:sz w:val="18"/>
                <w:szCs w:val="18"/>
              </w:rPr>
              <w:t>在销售机构支持的前提下，认购/申购/赎回开放期末日17:00前可以撤销申请。</w:t>
            </w:r>
          </w:p>
          <w:p w14:paraId="59B880F5">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29F0F1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48BAB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5D4864C">
            <w:pPr>
              <w:spacing w:line="200" w:lineRule="exact"/>
              <w:jc w:val="left"/>
            </w:pPr>
            <w:r>
              <w:rPr>
                <w:rFonts w:ascii="方正黑体_GBK" w:hAnsi="方正黑体_GBK" w:eastAsia="方正黑体_GBK" w:cs="宋体"/>
                <w:b/>
                <w:sz w:val="18"/>
                <w:szCs w:val="18"/>
              </w:rPr>
              <w:t>申购份额=申购金额/申购确认日产品单位净值（申购确认日为申购受理日当日）</w:t>
            </w:r>
          </w:p>
          <w:p w14:paraId="23B0DB1F">
            <w:pPr>
              <w:spacing w:line="200" w:lineRule="exact"/>
              <w:jc w:val="left"/>
            </w:pPr>
            <w:r>
              <w:rPr>
                <w:rFonts w:ascii="方正黑体_GBK" w:hAnsi="方正黑体_GBK" w:eastAsia="方正黑体_GBK" w:cs="宋体"/>
                <w:sz w:val="18"/>
                <w:szCs w:val="18"/>
              </w:rPr>
              <w:t>（申购份额按去尾法保留两位小数）。</w:t>
            </w:r>
          </w:p>
        </w:tc>
      </w:tr>
      <w:tr w14:paraId="1A659B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8EC1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2895CDB">
            <w:pPr>
              <w:spacing w:line="200" w:lineRule="exact"/>
            </w:pPr>
            <w:r>
              <w:rPr>
                <w:rFonts w:ascii="方正黑体_GBK" w:hAnsi="方正黑体_GBK" w:eastAsia="方正黑体_GBK" w:cs="宋体"/>
                <w:sz w:val="18"/>
                <w:szCs w:val="18"/>
              </w:rPr>
              <w:t>赎回金额=赎回份额×赎回确认日产品单位净值（赎回确认日为赎回受理日当日）</w:t>
            </w:r>
          </w:p>
          <w:p w14:paraId="617E5F79">
            <w:pPr>
              <w:spacing w:line="200" w:lineRule="exact"/>
            </w:pPr>
            <w:r>
              <w:rPr>
                <w:rFonts w:ascii="方正黑体_GBK" w:hAnsi="方正黑体_GBK" w:eastAsia="方正黑体_GBK" w:cs="宋体"/>
                <w:sz w:val="18"/>
                <w:szCs w:val="18"/>
              </w:rPr>
              <w:t>（赎回金额按去尾法保留两位小数）</w:t>
            </w:r>
          </w:p>
          <w:p w14:paraId="5AE2FDF2">
            <w:pPr>
              <w:spacing w:line="200" w:lineRule="exact"/>
            </w:pPr>
            <w:r>
              <w:rPr>
                <w:rFonts w:ascii="方正黑体_GBK" w:hAnsi="方正黑体_GBK" w:eastAsia="方正黑体_GBK" w:cs="宋体"/>
                <w:sz w:val="18"/>
                <w:szCs w:val="18"/>
              </w:rPr>
              <w:t>产品的赎回费、业绩报酬等费用（如有）将从赎回金额中扣除。</w:t>
            </w:r>
          </w:p>
        </w:tc>
      </w:tr>
      <w:tr w14:paraId="462C82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CDBE8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9F6A2D">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0F2797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819D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744AA21">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65EF4D79">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E047D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2F5A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FA4D535">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4F0C843">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4F9DFB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AC25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335A73A">
            <w:pPr>
              <w:spacing w:line="200" w:lineRule="exact"/>
              <w:jc w:val="left"/>
            </w:pPr>
            <w:r>
              <w:rPr>
                <w:rFonts w:ascii="方正黑体_GBK" w:hAnsi="方正黑体_GBK" w:eastAsia="方正黑体_GBK" w:cs="宋体"/>
                <w:color w:val="000000"/>
                <w:sz w:val="18"/>
                <w:szCs w:val="18"/>
              </w:rPr>
              <w:t>本理财产品募集的资金投资于以下金融资产和金融工具，包括但不限于：</w:t>
            </w:r>
          </w:p>
          <w:p w14:paraId="5B16B6B4">
            <w:pPr>
              <w:spacing w:line="200" w:lineRule="exact"/>
              <w:jc w:val="left"/>
            </w:pPr>
            <w:r>
              <w:rPr>
                <w:rFonts w:ascii="方正黑体_GBK" w:hAnsi="方正黑体_GBK" w:eastAsia="方正黑体_GBK" w:cs="宋体"/>
                <w:color w:val="000000"/>
                <w:sz w:val="18"/>
                <w:szCs w:val="18"/>
              </w:rPr>
              <w:t>1.现金、银行存款、银行承兑汇票、同业存款、大额存单、同业存单、债券回购、货币基金等货币市场工具；</w:t>
            </w:r>
          </w:p>
          <w:p w14:paraId="137F125E">
            <w:pPr>
              <w:spacing w:line="200" w:lineRule="exact"/>
              <w:jc w:val="left"/>
            </w:pPr>
            <w:r>
              <w:rPr>
                <w:rFonts w:ascii="方正黑体_GBK" w:hAnsi="方正黑体_GBK" w:eastAsia="方正黑体_GBK" w:cs="宋体"/>
                <w:color w:val="000000"/>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08363C0">
            <w:pPr>
              <w:spacing w:line="200" w:lineRule="exact"/>
              <w:jc w:val="left"/>
            </w:pPr>
            <w:r>
              <w:rPr>
                <w:rFonts w:ascii="方正黑体_GBK" w:hAnsi="方正黑体_GBK" w:eastAsia="方正黑体_GBK" w:cs="宋体"/>
                <w:color w:val="000000"/>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640B331">
            <w:pPr>
              <w:spacing w:line="200" w:lineRule="exact"/>
              <w:jc w:val="left"/>
            </w:pPr>
            <w:r>
              <w:rPr>
                <w:rFonts w:ascii="方正黑体_GBK" w:hAnsi="方正黑体_GBK" w:eastAsia="方正黑体_GBK" w:cs="宋体"/>
                <w:color w:val="000000"/>
                <w:sz w:val="18"/>
                <w:szCs w:val="18"/>
              </w:rPr>
              <w:t>4.投资范围为上述资产的信托计划、资产管理计划等资产管理产品；</w:t>
            </w:r>
          </w:p>
          <w:p w14:paraId="1A1A5397">
            <w:pPr>
              <w:spacing w:line="200" w:lineRule="exact"/>
              <w:jc w:val="left"/>
            </w:pPr>
            <w:r>
              <w:rPr>
                <w:rFonts w:ascii="方正黑体_GBK" w:hAnsi="方正黑体_GBK" w:eastAsia="方正黑体_GBK" w:cs="宋体"/>
                <w:color w:val="000000"/>
                <w:sz w:val="18"/>
                <w:szCs w:val="18"/>
              </w:rPr>
              <w:t>5.法律法规或监管机构允许投资的符合本理财产品投资性质的其他金融工具；</w:t>
            </w:r>
          </w:p>
          <w:p w14:paraId="6F87655A">
            <w:pPr>
              <w:spacing w:line="200" w:lineRule="exact"/>
            </w:pPr>
            <w:r>
              <w:rPr>
                <w:rFonts w:ascii="方正黑体_GBK" w:hAnsi="方正黑体_GBK" w:eastAsia="方正黑体_GBK" w:cs="宋体"/>
                <w:color w:val="000000"/>
                <w:sz w:val="18"/>
                <w:szCs w:val="18"/>
              </w:rPr>
              <w:t>6.如存在法律法规或监管机构以后允许投资的其他品种或法律法规或监管政策出现调整，管理人在履行本理财产品销售文件规定的适当程序后，有权调整以上品种。</w:t>
            </w:r>
          </w:p>
        </w:tc>
      </w:tr>
      <w:tr w14:paraId="755918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DD51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335824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52B00B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F1A3B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E7FE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CDC4BE2">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070D0B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CFD1C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A10E7AD">
            <w:pPr>
              <w:spacing w:line="200" w:lineRule="exact"/>
            </w:pPr>
            <w:r>
              <w:rPr>
                <w:rFonts w:ascii="方正黑体_GBK" w:hAnsi="方正黑体_GBK" w:eastAsia="方正黑体_GBK" w:cs="宋体"/>
                <w:b/>
                <w:sz w:val="18"/>
                <w:szCs w:val="18"/>
              </w:rPr>
              <w:t>本理财产品拟投资以下备选非标准化债权类资产：</w:t>
            </w:r>
          </w:p>
          <w:p w14:paraId="41A06B42">
            <w:pPr>
              <w:spacing w:line="200" w:lineRule="exact"/>
            </w:pPr>
            <w:r>
              <w:rPr>
                <w:rFonts w:ascii="方正黑体_GBK" w:hAnsi="方正黑体_GBK" w:eastAsia="方正黑体_GBK" w:cs="宋体"/>
                <w:sz w:val="18"/>
                <w:szCs w:val="18"/>
              </w:rPr>
              <w:t>1.信托贷款：资产类型为信托公司设立的固定收益类信托计划，底层资产为向融资人绍兴市柯桥区建设集团有限公司发放信托贷款，资产到期日不超过理财产品最近一次开放日。融资人评级为AA+（评级机构为上海新世纪资信评估投资服务有限公司），融资人第一大股东为绍兴市柯桥区国有资产投资经营集团有限公司，持股比例为100%。经营范围包括：城市基础设施建设;交通道路建设;旧城改造;重大公益性项目的投资、开发、建设;城市综合开发;土地综合开发利用;房地产开发、经营;自有房屋租赁;物业管理;广告经营;物流工程开发;实业投资。(依法须经批准的项目,经相关部门批准后方可开展经营活动)</w:t>
            </w:r>
          </w:p>
          <w:p w14:paraId="19686992">
            <w:pPr>
              <w:spacing w:line="200" w:lineRule="exact"/>
            </w:pPr>
            <w:r>
              <w:rPr>
                <w:rFonts w:ascii="方正黑体_GBK" w:hAnsi="方正黑体_GBK" w:eastAsia="方正黑体_GBK" w:cs="宋体"/>
                <w:sz w:val="18"/>
                <w:szCs w:val="18"/>
              </w:rPr>
              <w:t>2.信托贷款：资产类型为信托公司设立的固定收益类信托计划，底层资产为向融资人江苏陶都产业发展集团有限公司发放信托贷款，资产到期日不超过理财产品最近一次开放日。融资人评级为AA+（评级机构为联合资信评估股份有限公司），融资人第一大股东为江苏宜兴陶瓷产业园区管理委员会，持股比例为100%。经营范围包括：陶瓷制品、紫砂工艺品、陶瓷泥料、紫砂泥料、金属材料、建筑装潢材料、化工产品及原料(除危险化学品)的销售；展览展示服务；组织文化艺术交流活动；生态旅游资源开发；谷物、苗木、花卉、蔬菜、园艺作物的种植、销售；农业机械设备、化肥、饲料、生鲜食用农产品的销售。(依法须经批准的项目，经相关部门批准后方可开展经营活动) 许可项目：房地产开发经营(依法须经批准的项目，经相关部门批准后方可开展经营活动，具体经营项目以审批结果为准) 一般项目：第一类医疗器械销售；环境应急治理服务；土石方工程施工；物业管理；土地使用权租赁；住房租赁；集贸市场管理服务；房地产咨询；停车场服务；园林绿化工程施工；专业保洁、清洗、消毒服务；五金产品批发；针纺织品及原料销售(除依法须经批准的项目外，凭营业执照依法自主开展经营活动)</w:t>
            </w:r>
          </w:p>
          <w:p w14:paraId="2D2D5303">
            <w:pPr>
              <w:spacing w:line="200" w:lineRule="exact"/>
            </w:pPr>
            <w:r>
              <w:rPr>
                <w:rFonts w:ascii="方正黑体_GBK" w:hAnsi="方正黑体_GBK" w:eastAsia="方正黑体_GBK" w:cs="宋体"/>
                <w:sz w:val="18"/>
                <w:szCs w:val="18"/>
              </w:rPr>
              <w:t>3.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32BE9467">
            <w:pPr>
              <w:spacing w:line="200" w:lineRule="exact"/>
            </w:pPr>
            <w:r>
              <w:rPr>
                <w:rFonts w:ascii="方正黑体_GBK" w:hAnsi="方正黑体_GBK" w:eastAsia="方正黑体_GBK" w:cs="宋体"/>
                <w:sz w:val="18"/>
                <w:szCs w:val="18"/>
              </w:rPr>
              <w:t>4.信托贷款：资产类型为信托公司设立的固定收益类信托计划，底层资产为向融资人东台市国有资产经营集团有限公司发放信托贷款，资产到期日不超过理财产品最近一次开放日。融资人评级为AA（评级机构为中证鹏元资信评估股份有限公司），融资人第一大股东为东台市国联控股有限公司，持股比例为100%。经营范围包括：政府授权的国有资产的经营、管理及沿海滩涂资源经营利用，实业投资。（依法须经批准的项目，经相关部门批准后方可开展经营活动）</w:t>
            </w:r>
          </w:p>
          <w:p w14:paraId="1BB68C1C">
            <w:pPr>
              <w:spacing w:line="200" w:lineRule="exact"/>
            </w:pPr>
            <w:r>
              <w:rPr>
                <w:rFonts w:ascii="方正黑体_GBK" w:hAnsi="方正黑体_GBK" w:eastAsia="方正黑体_GBK" w:cs="宋体"/>
                <w:sz w:val="18"/>
                <w:szCs w:val="18"/>
              </w:rPr>
              <w:t>5.信托贷款：资产类型为信托公司设立的固定收益类信托计划，底层资产为向融资人江苏双湖投资控股集团有限公司发放信托贷款，资产到期日不超过理财产品最近一次开放日。融资人评级为AA+（评级机构为大公国际资信评估有限公司），融资人第一大股东为江苏省盐城市建湖县人民政府，持股比例为100%。经营范围包括：许可项目：建设工程施工（依法须经批准的项目，经相关部门批准后方可开展经营活动，具体经营项目以审批结果为准） 一般项目：以自有资金从事投资活动；以私募基金从事股权投资、投资管理、资产管理等活动（须在中国证券投资基金业协会完成登记备案后方可从事经营活动）；创业投资（限投资未上市企业）；土地整治服务；建筑材料销售；金属结构销售；电子元器件与机电组件设备销售；电线、电缆经营；金属矿石销售；化工产品销售（不含许可类化工产品）；农副产品销售；物业管理；商业综合体管理服务；非居住房地产租赁；光伏设备及元器件销售（除依法须经批准的项目外，凭营业执照依法自主开展经营活动）</w:t>
            </w:r>
          </w:p>
          <w:p w14:paraId="7F406166">
            <w:pPr>
              <w:spacing w:line="200" w:lineRule="exact"/>
            </w:pPr>
            <w:r>
              <w:rPr>
                <w:rFonts w:ascii="方正黑体_GBK" w:hAnsi="方正黑体_GBK" w:eastAsia="方正黑体_GBK" w:cs="宋体"/>
                <w:sz w:val="18"/>
                <w:szCs w:val="18"/>
              </w:rPr>
              <w:t>6.信托贷款：资产类型为信托公司设立的固定收益类信托计划，底层资产为向融资人江苏恒瑞投资开发有限公司发放信托贷款，资产到期日不超过理财产品最近一次开放日。融资人评级为AA（评级机构为联合资信评估股份有限公司），融资人第一大股东为盐城市大丰区城市建设集团有限公司，持股比例为75%。经营范围包括：许可项目：建设工程施工（依法须经批准的项目，经相关部门批准后方可开展经营活动，具体经营项目以审批结果为准）一般项目：以自有资金从事投资活动；自有资金投资的资产管理服务；信息咨询服务（不含许可类信息咨询服务）；住房租赁；非居住房地产租赁；租赁服务（不含出版物出租）；日用品销售；五金产品零售；农业专业及辅助性活动（除依法须经批准的项目外，凭营业执照依法自主开展经营活动）</w:t>
            </w:r>
          </w:p>
          <w:p w14:paraId="4EE4307E">
            <w:pPr>
              <w:spacing w:line="200" w:lineRule="exact"/>
            </w:pPr>
            <w:r>
              <w:rPr>
                <w:rFonts w:ascii="方正黑体_GBK" w:hAnsi="方正黑体_GBK" w:eastAsia="方正黑体_GBK" w:cs="宋体"/>
                <w:sz w:val="18"/>
                <w:szCs w:val="18"/>
              </w:rPr>
              <w:t>7.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14:paraId="5771B83E">
            <w:pPr>
              <w:spacing w:line="200" w:lineRule="exact"/>
            </w:pPr>
            <w:r>
              <w:rPr>
                <w:rFonts w:ascii="方正黑体_GBK" w:hAnsi="方正黑体_GBK" w:eastAsia="方正黑体_GBK" w:cs="宋体"/>
                <w:sz w:val="18"/>
                <w:szCs w:val="18"/>
              </w:rPr>
              <w:t>8.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100%。经营范围包括：经政府授权范围内的土地整理和开发；保障性住房开发经营；城乡基础设施建设、维护；公益性基础设施建设；危旧房改造项目开发建设；房地产开发经营；资产管理。(依法须经批准的项目，经相关部门批准后方可开展经营活动)一般项目：以自有资金从事投资活动；金属材料销售；建筑材料销售；市政设施管理(除依法须经批准的项目外，凭营业执照依法自主开展经营活动)</w:t>
            </w:r>
          </w:p>
          <w:p w14:paraId="7D8C6D35">
            <w:pPr>
              <w:spacing w:line="200" w:lineRule="exact"/>
            </w:pPr>
            <w:r>
              <w:rPr>
                <w:rFonts w:ascii="方正黑体_GBK" w:hAnsi="方正黑体_GBK" w:eastAsia="方正黑体_GBK" w:cs="宋体"/>
                <w:sz w:val="18"/>
                <w:szCs w:val="18"/>
              </w:rPr>
              <w:t>9.信托贷款：资产类型为信托公司设立的固定收益类信托计划，底层资产为向融资人淮安市交投建设管理有限公司发放信托贷款，资产到期日不超过理财产品最近一次开放日。融资人无外部评级，融资人第一大股东为淮安市交通控股集团有限公司，持股比例为100%。经营范围包括：铁路建设投资；铁路资产经营；高铁新区及铁路沿线土地资源的开发整理；工程监理、咨询、项目管理、招标代理；安置房建设；市政基础设施建设；股权投资(非证券股权投资活动且仅限于铁路建设、运营方面股权投资)；广告牌租赁服务；钢材、水泥、建筑材料、工程设备物资的采购与销售；苗木、花卉、草坪的培育、销售；盆景的种植、销售、租赁；景观、园林、绿化工程施工及综合养护管理；园林景观设计。(依法须经批准的项目，经相关部门批准后方可开展经营活动) 许可项目：公路管理与养护；城市生活垃圾经营性服务；城市建筑垃圾处置(清运)；食品销售(依法须经批准的项目，经相关部门批准后方可开展经营活动，具体经营项目以审批结果为准) 一般项目：工程管理服务；市政设施管理；金属门窗工程施工；供应链管理服务；门窗销售；五金产品零售；金属制品销售；土石方工程施工；住房租赁；非居住房地产租赁；销售代理；固体废物治理；农村生活垃圾经营性服务；建筑装饰材料销售；卫生用品和一次性使用医疗用品销售；第一类医疗器械销售；第二类医疗器械销售；建筑砌块销售；再生资源销售；橡胶制品销售；机械设备租赁；环境卫生公共设施安装服务；劳务服务(不含劳务派遣)；城乡市容管理；农副产品销售；林产品采集；食品销售(仅销售预包装食品)；食用农产品批发；林业产品销售；肥料销售；塑料制品销售；机械设备销售；农业机械销售；日用品销售；家具销售；汽车销售；家居用品销售；建筑材料销售；办公用品销售；家用电器销售；日用百货销售；针纺织品及原料销售；针纺织品销售；服装服饰批发；服装服饰零售；公路水运工程试验检测服务；广告发布；数字广告发布(除依法须经批准的项目外，凭营业执照依法自主开展经营活动)</w:t>
            </w:r>
          </w:p>
          <w:p w14:paraId="5049ADA1">
            <w:pPr>
              <w:spacing w:line="200" w:lineRule="exact"/>
            </w:pPr>
            <w:r>
              <w:rPr>
                <w:rFonts w:ascii="方正黑体_GBK" w:hAnsi="方正黑体_GBK" w:eastAsia="方正黑体_GBK" w:cs="宋体"/>
                <w:sz w:val="18"/>
                <w:szCs w:val="18"/>
              </w:rPr>
              <w:t>10.信托贷款：资产类型为信托公司设立的固定收益类信托计划，底层资产为向融资人江苏武进太湖湾旅游发展有限公司发放信托贷款，资产到期日不超过理财产品最近一次开放日。融资人评级为AA（评级机构为东方金诚国际信用评估有限公司），融资人第一大股东为江苏武进经济发展集团有限公司，持股比例为83.68%。经营范围包括：旅游资源开发、经营;土地整理、开发;利用自有资金对文化产业项目、城市建设项目进行投资(不得从事金融、类金融业务,依法需取得许可和备案的除外);文化活动策划;文化旅游产品开发;农业休闲观光;农业综合开发;房地产物业、游览景区、公共设施、园林绿化、公园的管理服务;工艺礼品销售;为城市建设和基础设施建设项目服务。(依法须经批准的项目,经相关部门批准后方可开展经营活动)一般项目:体验式拓展活动及策划;旅游开发项目策划咨询;信息咨询服务(不含许可类信息咨询服务);组织文化艺术交流活动;技术服务、技术开发、技术咨询、技术交流、技术转让、技术推广;人力资源服务(不含职业中介活动、劳务派遣服务);科技推广和应用服务;新鲜水果零售;水果种植(除中国稀有和特有的珍贵优良品种);蔬菜、水果和坚果加工;新鲜水果批发;树木种植经营;蔬菜、食用菌等园艺作物种植;礼品花卉销售;花卉种植(除中国稀有和特有的珍贵优良品种);园林绿化工程施工;木材销售(除依法须经批准的项目外,凭营业执照依法自主开展经营活动)</w:t>
            </w:r>
          </w:p>
          <w:p w14:paraId="66DACDAB">
            <w:pPr>
              <w:spacing w:line="200" w:lineRule="exact"/>
            </w:pPr>
            <w:r>
              <w:rPr>
                <w:rFonts w:ascii="方正黑体_GBK" w:hAnsi="方正黑体_GBK" w:eastAsia="方正黑体_GBK" w:cs="宋体"/>
                <w:sz w:val="18"/>
                <w:szCs w:val="18"/>
              </w:rPr>
              <w:t>11.信托贷款：资产类型为信托公司设立的固定收益类信托计划，底层资产为向融资人江苏中扬清洁能源发展有限公司发放信托贷款，资产到期日不超过理财产品最近一次开放日。融资人无外部评级，融资人第一大股东为扬中市城乡国有资产经营管理中心，持股比例为100%。经营范围包括：许可项目：建设工程施工；水产养殖；电气安装服务；发电业务、输电业务、供(配)电业务(依法须经批准的项目，经相关部门批准后方可开展经营活动，具体经营项目以审批结果为准)一般项目：新兴能源技术研发；食用农产品批发；食用农产品零售；农作物栽培服务；建筑材料销售；金属材料销售；木材销售；机械设备销售；电子产品销售；五金产品批发；五金产品零售；针纺织品销售；日用百货销售；体育用品及器材批发；体育用品及器材零售；办公用品销售；再生资源回收(除生产性废旧金属)；生产性废旧金属回收；电气设备销售；管道运输设备销售；光伏设备及元器件制造；光伏设备及元器件销售；以自有资金从事投资活动；园林绿化工程施工；花卉种植；礼品花卉销售；园艺产品种植；蔬菜种植；花卉绿植租借与代管理；水产品批发；信息咨询服务(不含许可类信息咨询服务)；照明器具制造；照明器具销售；照明器具生产专用设备销售；电线、电缆经营；机械电气设备制造；机械电气设备销售；电器辅件制造；电器辅件销售；光电子器件制造；光电子器件销售；机械设备租赁；合同能源管理；租赁服务(不含许可类租赁服务)；普通机械设备安装服务；太阳能发电技术服务；发电技术服务(除依法须经批准的项目外，凭营业执照依法自主开展经营活动)</w:t>
            </w:r>
          </w:p>
          <w:p w14:paraId="471E343E">
            <w:pPr>
              <w:spacing w:line="200" w:lineRule="exact"/>
            </w:pPr>
            <w:r>
              <w:rPr>
                <w:rFonts w:ascii="方正黑体_GBK" w:hAnsi="方正黑体_GBK" w:eastAsia="方正黑体_GBK" w:cs="宋体"/>
                <w:sz w:val="18"/>
                <w:szCs w:val="18"/>
              </w:rPr>
              <w:t>12.信托贷款：资产类型为信托公司设立的固定收益类信托计划，底层资产为向融资人瘦西湖(扬州)商旅产业发展集团有限公司发放信托贷款，资产到期日不超过理财产品最近一次开放日。融资人无外部评级，融资人第一大股东为扬州瘦西湖旅游发展集团有限公司，持股比例为100%。经营范围包括：一般项目：自有资金投资的资产管理服务；物业管理；城市公园管理；游览景区管理；园区管理服务；商业综合体管理服务；以自有资金从事投资活动；企业管理；园艺产品种植；食用农产品零售；日用百货销售；礼仪服务；餐饮管理；工艺美术品及收藏品零售(象牙及其制品除外)；停车场服务；酒店管理；蔬菜种植；花卉种植；建筑材料销售；旅游开发项目策划咨询；农村民间工艺及制品、休闲农业和乡村旅游资源的开发经营；不动产登记代理服务；信息咨询服务(不含许可类信息咨询服务)(除依法须经批准的项目外，凭营业执照依法自主开展经营活动)</w:t>
            </w:r>
          </w:p>
          <w:p w14:paraId="42650E73">
            <w:pPr>
              <w:spacing w:line="200" w:lineRule="exact"/>
            </w:pPr>
            <w:r>
              <w:rPr>
                <w:rFonts w:ascii="方正黑体_GBK" w:hAnsi="方正黑体_GBK" w:eastAsia="方正黑体_GBK" w:cs="宋体"/>
                <w:sz w:val="18"/>
                <w:szCs w:val="18"/>
              </w:rPr>
              <w:t>13.信托贷款：资产类型为信托公司设立的固定收益类信托计划，底层资产为向融资人江苏开晟产业发展集团有限公司发放信托贷款，资产到期日不超过理财产品最近一次开放日。融资人评级为AA+（评级机构为联合资信评估股份有限公司），融资人第一大股东为海安经济技术开发区管理委员会，持股比例为100%。经营范围包括：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p w14:paraId="6B6D0CCF">
            <w:pPr>
              <w:spacing w:line="200" w:lineRule="exact"/>
            </w:pPr>
            <w:r>
              <w:rPr>
                <w:rFonts w:ascii="方正黑体_GBK" w:hAnsi="方正黑体_GBK" w:eastAsia="方正黑体_GBK" w:cs="宋体"/>
                <w:sz w:val="18"/>
                <w:szCs w:val="18"/>
              </w:rPr>
              <w:t>14.信托贷款：资产类型为信托公司设立的固定收益类信托计划，底层资产为向融资人扬州新材料国资控股集团有限公司发放信托贷款，资产到期日不超过理财产品最近一次开放日。融资人评级为AA+（评级机构为中证鹏元资信评估股份有限公司），融资人第一大股东为扬州市兴仪投资控股集团有限公司，持股比例为62%。经营范围包括：许可项目：建设工程施工；房地产开发经营(依法须经批准的项目，经相关部门批准后方可开展经营活动，具体经营项目以审批结果为准) 一般项目：以自有资金从事投资活动；市政设施管理；土地整治服务；城市绿化管理；物业管理；工程管理服务；房屋拆迁服务；住房租赁；非居住房地产租赁；金属材料销售；建筑装饰材料销售；广告设计、代理；广告制作；广告发布；停车场服务；信息咨询服务(不含许可类信息咨询服务)(除依法须经批准的项目外，凭营业执照依法自主开展经营活动)</w:t>
            </w:r>
          </w:p>
          <w:p w14:paraId="643699B8">
            <w:pPr>
              <w:spacing w:line="200" w:lineRule="exact"/>
            </w:pPr>
            <w:r>
              <w:rPr>
                <w:rFonts w:ascii="方正黑体_GBK" w:hAnsi="方正黑体_GBK" w:eastAsia="方正黑体_GBK" w:cs="宋体"/>
                <w:sz w:val="18"/>
                <w:szCs w:val="18"/>
              </w:rPr>
              <w:t>15.信托贷款：资产类型为信托公司设立的固定收益类信托计划，底层资产为向融资人扬州科佳建设工程有限公司发放信托贷款，资产到期日不超过理财产品最近一次开放日。融资人无外部评级，融资人第一大股东为扬州科丰高新产业投资开发集团有限公司，持股比例为100%。经营范围包括：建筑工程、机电安装工程、市政公用工程、水利水电工程、公路工程、景观工程、园林绿化工程、楼宇亮化工程设计、咨询、施工、维护、总承包，地基与基础工程、装潢装饰工程、钢结构工程、消防设施工程、城市及道路工程、园林古建筑工程设计、施工、专业承包，消防设施维护保养，起重设备安装工程专业承包。(依法须经批准的项目，经相关部门批准后方可开展经营活动)</w:t>
            </w:r>
          </w:p>
          <w:p w14:paraId="18803E4E">
            <w:pPr>
              <w:spacing w:line="200" w:lineRule="exact"/>
            </w:pPr>
            <w:r>
              <w:rPr>
                <w:rFonts w:ascii="方正黑体_GBK" w:hAnsi="方正黑体_GBK" w:eastAsia="方正黑体_GBK" w:cs="宋体"/>
                <w:sz w:val="18"/>
                <w:szCs w:val="18"/>
              </w:rPr>
              <w:t>16.信托贷款：资产类型为信托公司设立的固定收益类信托计划，底层资产为向融资人泰州市泰政港口投资有限公司发放信托贷款，资产到期日不超过理财产品最近一次开放日。融资人无外部评级，融资人第一大股东为泰州市交通产业集团有限公司，持股比例为100%。经营范围包括：许可项目：河道采砂；河道疏浚施工专业作业；港口经营；建设工程施工；水路普通货物运输；省际普通货船运输、省内船舶运输；道路货物运输(不含危险货物)；船舶制造；船舶修理；船舶拆除；船舶引航服务；船舶检验服务；海关监管货物仓储服务(不含危险化学品、危险货物)；保税仓库经营；保税物流中心经营(依法须经批准的项目，经相关部门批准后方可开展经营活动，具体经营项目以审批结果为准)一般项目：企业总部管理；供应链管理服务；船舶港口服务；船舶拖带服务；打捞服务；无船承运业务；水污染治理；港口理货；港口货物装卸搬运活动；港口设施设备和机械租赁维修业务；从事国际集装箱船、普通货船运输；集装箱租赁服务；集装箱维修；国内集装箱货物运输代理；普通货物仓储服务(不含危险化学品等需许可审批的项目)；煤炭及制品销售；粮油仓储服务；生产性废旧金属回收；再生资源回收(除生产性废旧金属)；再生资源加工；再生资源销售；国际货物运输代理；国内货物运输代理；股权投资；以自有资金从事投资活动；自有资金投资的资产管理服务；劳务服务(不含劳务派遣)；网络技术服务；信息技术咨询服务(除依法须经批准的项目外，凭营业执照依法自主开展经营活动)</w:t>
            </w:r>
          </w:p>
          <w:p w14:paraId="5EAD7F71">
            <w:pPr>
              <w:spacing w:line="200" w:lineRule="exact"/>
            </w:pPr>
            <w:r>
              <w:rPr>
                <w:rFonts w:ascii="方正黑体_GBK" w:hAnsi="方正黑体_GBK" w:eastAsia="方正黑体_GBK" w:cs="宋体"/>
                <w:sz w:val="18"/>
                <w:szCs w:val="18"/>
              </w:rPr>
              <w:t>17.信托贷款：资产类型为信托公司设立的固定收益类信托计划，底层资产为向融资人江苏景港控股有限公司发放信托贷款，资产到期日不超过理财产品最近一次开放日。融资人无外部评级，融资人第一大股东为靖江港口集团有限公司，持股比例为100%。经营范围包括：许可项目：港口经营；建设工程施工；建筑智能化系统设计；建设工程设计；餐饮服务；住宿服务；住宅室内装饰装修(依法须经批准的项目，经相关部门批准后方可开展经营活动，具体经营项目以审批结果为准) 一般项目：以自有资金从事投资活动；仓储设备租赁服务；成品油仓储(不含危险化学品)；道路货物运输站经营；普通货物仓储服务(不含危险化学品等需许可审批的项目)；运输货物打包服务；航空运输货物打包服务；装卸搬运；技术推广服务；物联网应用服务；货物进出口；技术进出口；技术服务、技术开发、技术咨询、技术交流、技术转让、技术推广；工程管理服务；金属材料销售；机械设备销售；机械设备租赁；办公设备销售；金属制品销售；木材销售；集贸市场管理服务；日用品批发；五金产品批发；建筑材料销售；电线、电缆经营；光伏设备及元器件销售；计算机系统服务；互联网设备销售；软件销售；软件开发；人工智能应用软件开发；电子产品销售；电气设备销售；机械电气设备销售；充电桩销售；煤炭及制品销售；非金属矿及制品销售；石油制品销售(不含危险化学品)；金属矿石销售；农产品的生产、销售、加工、运输、贮藏及其他相关服务；食用农产品批发；初级农产品收购；粮油仓储服务；粮食收购；会议及展览服务；农村民间工艺及制品、休闲农业和乡村旅游资源的开发经营；太阳能热利用产品销售；太阳能发电技术服务；电子专用材料销售；半导体器件专用设备销售；生态恢复及生态保护服务；水环境污染防治服务；水污染治理；土地整治服务；土地使用权租赁；住房租赁；非居住房地产租赁；物业管理；停车场服务；园林绿化工程施工；树木种植经营；林业产品销售；养老服务；智能家庭消费设备销售；机构养老服务；教育咨询服务(不含涉许可审批的教育培训活动)；安全咨询服务；数字创意产品展览展示服务；商务秘书服务；移动通信设备销售；集成电路销售；数字视频监控系统销售；电子元器件批发；专业设计服务；信息安全设备销售；网络与信息安全软件开发；港口理货；船舶港口服务；港口货物装卸搬运活动；港口设施设备和机械租赁维修业务；喷涂加工(除依法须经批准的项目外，凭营业执照依法自主开展经营活动)</w:t>
            </w:r>
          </w:p>
          <w:p w14:paraId="398AF264">
            <w:pPr>
              <w:spacing w:line="200" w:lineRule="exact"/>
            </w:pPr>
            <w:r>
              <w:rPr>
                <w:rFonts w:ascii="方正黑体_GBK" w:hAnsi="方正黑体_GBK" w:eastAsia="方正黑体_GBK" w:cs="宋体"/>
                <w:sz w:val="18"/>
                <w:szCs w:val="18"/>
              </w:rPr>
              <w:t>18.信托贷款：资产类型为信托公司设立的固定收益类信托计划，底层资产为向融资人泰兴市中鑫投资集团有限公司发放信托贷款，资产到期日不超过理财产品最近一次开放日。融资人评级为AA+（评级机构为中证鹏元资信评估股份有限公司），融资人第一大股东为泰兴市惠泰中小企业服务有限公司，持股比例为100%。经营范围包括：市政府授权范围内的国有资产投资、经营、管理等业务。（依法须经批准的项目，经相关部门批准后方可开展经营活动）一般项目：光伏设备及元器件销售；农产品的生产、销售、加工、运输、贮藏及其他相关服务；金属材料销售；化工产品销售（不含许可类化工产品）；建筑材料销售；金属制品销售；农副产品销售；金属矿石销售；日用化学产品销售；电子产品销售；谷物销售；豆及薯类销售；针纺织品及原料销售（除依法须经批准的项目外，凭营业执照依法自主开展经营活动）</w:t>
            </w:r>
          </w:p>
          <w:p w14:paraId="7A1D6E81">
            <w:pPr>
              <w:spacing w:line="200" w:lineRule="exact"/>
            </w:pPr>
            <w:r>
              <w:rPr>
                <w:rFonts w:ascii="方正黑体_GBK" w:hAnsi="方正黑体_GBK" w:eastAsia="方正黑体_GBK" w:cs="宋体"/>
                <w:sz w:val="18"/>
                <w:szCs w:val="18"/>
              </w:rPr>
              <w:t>19.信托贷款：资产类型为信托公司设立的固定收益类信托计划，底层资产为向融资人江苏润城城市投资控股集团有限公司发放信托贷款，资产到期日不超过理财产品最近一次开放日。融资人评级为AA+（评级机构为中诚信国际信用评级有限责任公司），融资人第一大股东为邳州市财政局，持股比例为100%。经营范围包括：许可项目:房屋建筑和市政基础设施项目工程总承包;建设工程施工;旅游业务;房地产开发经营(依法须经批准的项目,经相关部门批准后方可开展经营活动,具体经营项目以审批结果为准)一般项目:以自有资金从事投资活动;自有资金投资的资产管理服务;土地整治服务;旅游开发项目策划咨询;创业空间服务;房屋拆迁服务;市政设施管理;供应链管理服务;商业综合体管理服务;企业管理;国内贸易代理;经济贸易咨询;集贸市场管理服务;物业管理;园区管理服务(除依法须经批准的项目外,凭营业执照依法自主开展经营活动)</w:t>
            </w:r>
          </w:p>
          <w:p w14:paraId="26D689D6">
            <w:pPr>
              <w:spacing w:line="200" w:lineRule="exact"/>
            </w:pPr>
            <w:r>
              <w:rPr>
                <w:rFonts w:ascii="方正黑体_GBK" w:hAnsi="方正黑体_GBK" w:eastAsia="方正黑体_GBK" w:cs="宋体"/>
                <w:sz w:val="18"/>
                <w:szCs w:val="18"/>
              </w:rPr>
              <w:t>20.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14:paraId="11A34371">
            <w:pPr>
              <w:spacing w:line="200" w:lineRule="exact"/>
            </w:pPr>
            <w:r>
              <w:rPr>
                <w:rFonts w:ascii="方正黑体_GBK" w:hAnsi="方正黑体_GBK" w:eastAsia="方正黑体_GBK" w:cs="宋体"/>
                <w:sz w:val="18"/>
                <w:szCs w:val="18"/>
              </w:rPr>
              <w:t>21.信托贷款：资产类型为信托公司设立的固定收益类信托计划，底层资产为向融资人江苏凯润高新投资有限公司发放信托贷款，资产到期日不超过理财产品最近一次开放日。融资人无外部评级，融资人第一大股东为泰州医药高新开发区管理委员会，持股比例为100%。经营范围包括：许可项目：建设工程施工；住宿服务；餐饮服务；旅游业务；输电、供电、受电电力设施的安装、维修和试验；电气安装服务；水产养殖(依法须经批准的项目，经相关部门批准后方可开展经营活动，具体经营项目以审批结果为准)一般项目：以自有资金从事投资活动；市政设施管理；工程管理服务；物业管理；园林绿化工程施工；城市绿化管理；花卉种植；草种植；树木种植经营；园艺产品种植；农副产品销售；木材销售；热力生产和供应；五金产品零售；五金产品批发；电线、电缆经营；休闲观光活动；农村民间工艺及制品、休闲农业和乡村旅游资源的开发经营；蔬菜种植；新鲜蔬菜零售；新鲜水果零售；水果种植；食用农产品零售；住房租赁；建筑材料销售；与农业生产经营有关的技术、信息、设施建设运营等服务；农业机械租赁；建筑工程机械与设备租赁；运输设备租赁服务；租赁服务(不含许可类租赁服务)；土地使用权租赁；机械设备租赁；谷物种植；谷物销售；农产品的生产、销售、加工、运输、贮藏及其他相关服务；充电桩销售；电动汽车充电基础设施运营；输配电及控制设备制造；机动车充电销售；电力电子元器件制造；电力设施器材制造；电力电子元器件销售；电力设施器材销售；电气设备销售；水产品批发；水产品零售；污水处理及其再生利用；水污染治理；水环境污染防治服务(除依法须经批准的项目外，凭营业执照依法自主开展经营活动)</w:t>
            </w:r>
          </w:p>
          <w:p w14:paraId="1307B124">
            <w:pPr>
              <w:spacing w:line="200" w:lineRule="exact"/>
            </w:pPr>
            <w:r>
              <w:rPr>
                <w:rFonts w:ascii="方正黑体_GBK" w:hAnsi="方正黑体_GBK" w:eastAsia="方正黑体_GBK" w:cs="宋体"/>
                <w:sz w:val="18"/>
                <w:szCs w:val="18"/>
              </w:rPr>
              <w:t>22.信托贷款：资产类型为信托公司设立的固定收益类信托计划，底层资产为向融资人泰州高教投资发展有限公司发放信托贷款，资产到期日不超过理财产品最近一次开放日。融资人评级为AA（评级机构为东方金诚国际信用评估有限公司），融资人第一大股东为泰州市城市建设投资控股有限公司，持股比例为92.58%。经营范围包括：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p w14:paraId="74D8021B">
            <w:pPr>
              <w:spacing w:line="200" w:lineRule="exact"/>
            </w:pPr>
            <w:r>
              <w:rPr>
                <w:rFonts w:ascii="方正黑体_GBK" w:hAnsi="方正黑体_GBK" w:eastAsia="方正黑体_GBK" w:cs="宋体"/>
                <w:sz w:val="18"/>
                <w:szCs w:val="18"/>
              </w:rPr>
              <w:t>23.信托贷款：资产类型为信托公司设立的固定收益类信托计划，底层资产为向融资人扬州江淮建设发展有限公司发放信托贷款，资产到期日不超过理财产品最近一次开放日。融资人评级为AA+（评级机构为中证鹏元资信评估股份有限公司），融资人第一大股东为扬州市国联控股集团有限公司，持股比例为100%。经营范围包括：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p w14:paraId="3AA1C4A4">
            <w:pPr>
              <w:spacing w:line="200" w:lineRule="exact"/>
            </w:pPr>
            <w:r>
              <w:rPr>
                <w:rFonts w:ascii="方正黑体_GBK" w:hAnsi="方正黑体_GBK" w:eastAsia="方正黑体_GBK" w:cs="宋体"/>
                <w:sz w:val="18"/>
                <w:szCs w:val="18"/>
              </w:rPr>
              <w:t>24.信托贷款：资产类型为信托公司设立的固定收益类信托计划，底层资产为向融资人扬州邗城国控集团有限公司发放信托贷款，资产到期日不超过理财产品最近一次开放日。融资人无外部评级，融资人第一大股东为扬州高新国控集团有限公司，持股比例为100%。经营范围包括：许可项目：房地产开发经营；建设工程施工；建设工程设计；住宅室内装饰装修(依法须经批准的项目，经相关部门批准后方可开展经营活动，具体经营项目以审批结果为准)一般项目：控股公司服务；以自有资金从事投资活动；自有资金投资的资产管理服务；股权投资；市政设施管理；工程管理服务；规划设计管理；园林绿化工程施工；城市公园管理；停车场服务；建筑材料销售；物业管理；市场营销策划；信息咨询服务(不含许可类信息咨询服务)；城市绿化管理；非居住房地产租赁；住房租赁(除依法须经批准的项目外，凭营业执照依法自主开展经营活动)</w:t>
            </w:r>
          </w:p>
          <w:p w14:paraId="155F3027">
            <w:pPr>
              <w:spacing w:line="200" w:lineRule="exact"/>
            </w:pPr>
            <w:r>
              <w:rPr>
                <w:rFonts w:ascii="方正黑体_GBK" w:hAnsi="方正黑体_GBK" w:eastAsia="方正黑体_GBK" w:cs="宋体"/>
                <w:sz w:val="18"/>
                <w:szCs w:val="18"/>
              </w:rPr>
              <w:t>25.信托贷款：资产类型为信托公司设立的固定收益类信托计划，底层资产为向融资人扬中市绿洲产业投资集团有限公司发放信托贷款，资产到期日不超过理财产品最近一次开放日。融资人评级为AA+（评级机构为东方金诚国际信用评估有限公司），融资人第一大股东为扬中市人民政府，持股比例为100%。经营范围包括：许可项目：建设工程施工；公路管理与养护；建设工程设计；发电业务、输电业务、供(配)电业务；输电、供电、受电电力设施的安装、维修和试验；水产养殖；建筑物拆除作业(爆破作业除外)(依法须经批准的项目，经相关部门批准后方可开展经营活动，具体经营项目以审批结果为准)一般项目：以自有资金从事投资活动；自有资金投资的资产管理服务；土地整治服务；金属材料销售；建筑材料销售；电气设备销售；信息咨询服务(不含许可类信息咨询服务)；货物进出口；技术进出口；园区管理服务；住房租赁；非居住房地产租赁；停车场服务；储能技术服务；园林绿化工程施工；输配电及控制设备制造；光伏设备及元器件制造；太阳能发电技术服务；花卉种植；农产品的生产、销售、加工、运输、贮藏及其他相关服务；食用农产品初加工；食用农产品批发；食用农产品零售；农副产品销售；谷物种植；蔬菜种植；新鲜蔬菜批发；新鲜蔬菜零售；食用菌种植；水果种植；新鲜水果批发；新鲜水果零售；水产品批发；水产品零售；树木种植经营；农作物栽培服务；农业机械服务；与农业生产经营有关的技术、信息、设施建设运营等服务；工程管理服务；城乡市容管理；市政设施管理；水污染治理；污水处理及其再生利用(除依法须经批准的项目外，凭营业执照依法自主开展经营活动)</w:t>
            </w:r>
          </w:p>
          <w:p w14:paraId="6674E1B9">
            <w:pPr>
              <w:spacing w:line="200" w:lineRule="exact"/>
            </w:pPr>
            <w:r>
              <w:rPr>
                <w:rFonts w:ascii="方正黑体_GBK" w:hAnsi="方正黑体_GBK" w:eastAsia="方正黑体_GBK" w:cs="宋体"/>
                <w:sz w:val="18"/>
                <w:szCs w:val="18"/>
              </w:rPr>
              <w:t>26.信托贷款：资产类型为信托公司设立的固定收益类信托计划，底层资产为向融资人江苏扬子江国际冶金工业园城市发展集团有限公司发放信托贷款，资产到期日不超过理财产品最近一次开放日。融资人评级为AA+（评级机构为中证鹏元资信评估股份有限公司），融资人第一大股东为张家港市人民政府(江苏扬子江国际冶金工业园管理委员会)，持股比例为100%。经营范围包括：许可项目：房地产开发经营；建设工程施工；旅游业务；特种设备安装改造修理(依法须经批准的项目，经相关部门批准后方可开展经营活动，具体经营项目以审批结果为准)一般项目：园区管理服务；市政设施管理；城市绿化管理；货物进出口；技术进出口；国内贸易代理；物业管理；集贸市场管理服务；酒店管理；企业管理；租赁服务(不含许可类租赁服务)；水资源管理；资源再生利用技术研发；水污染治理；非居住房地产租赁；会议及展览服务；建筑用钢筋产品销售；机械设备销售；金属材料销售；第二类医疗器械销售；冶金专用设备销售；普通机械设备安装服务；国内货物运输代理；以自有资金从事投资活动(除依法须经批准的项目外，凭营业执照依法自主开展经营活动)</w:t>
            </w:r>
          </w:p>
          <w:p w14:paraId="4DA2C16B">
            <w:pPr>
              <w:spacing w:line="200" w:lineRule="exact"/>
            </w:pPr>
            <w:r>
              <w:rPr>
                <w:rFonts w:ascii="方正黑体_GBK" w:hAnsi="方正黑体_GBK" w:eastAsia="方正黑体_GBK" w:cs="宋体"/>
                <w:sz w:val="18"/>
                <w:szCs w:val="18"/>
              </w:rPr>
              <w:t>27.信托贷款：资产类型为信托公司设立的固定收益类信托计划，底层资产为向融资人江苏金坛建设集团有限公司发放信托贷款，资产到期日不超过理财产品最近一次开放日。融资人评级为AA+（评级机构为联合资信评估股份有限公司），融资人第一大股东为常州市金坛区人民政府，持股比例为100%。经营范围包括：许可项目:建设工程设计;建设工程施工;建设工程监理;建设工程质量检测;电气安装服务;房地产开发经营;港口经营;自来水生产与供应;城市公共交通(依法须经批准的项目,经相关部门批准后方可开展经营活动,具体经营项目以相关部门批准文件或许可证件为准)一般项目:工程管理服务;市政设施管理;非居住房地产租赁;住房租赁;房屋拆迁服务;房地产经纪;房地产咨询;水污染治理;污水处理及其再生利用;水环境污染防治服务;旅游开发项目策划咨询;城市绿化管理;城市公园管理;城乡市容管理;粮食收购;粮油仓储服务;物业管理;停车场服务;水资源管理;金属材料销售;建筑材料销售;照明器具销售;以自有资金从事投资活动(除依法须经批准的项目外,凭营业执照依法自主开展经营活动)</w:t>
            </w:r>
          </w:p>
          <w:p w14:paraId="5C3A0A3D">
            <w:pPr>
              <w:spacing w:line="200" w:lineRule="exact"/>
              <w:jc w:val="left"/>
            </w:pPr>
            <w:r>
              <w:rPr>
                <w:rFonts w:ascii="方正黑体_GBK" w:hAnsi="方正黑体_GBK" w:eastAsia="方正黑体_GBK" w:cs="宋体"/>
                <w:sz w:val="18"/>
                <w:szCs w:val="18"/>
              </w:rPr>
              <w:t>28.  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0118CBB2">
            <w:pPr>
              <w:spacing w:line="200" w:lineRule="exact"/>
              <w:jc w:val="left"/>
            </w:pPr>
            <w:r>
              <w:rPr>
                <w:rFonts w:ascii="方正黑体_GBK" w:hAnsi="方正黑体_GBK" w:eastAsia="方正黑体_GBK" w:cs="宋体"/>
                <w:sz w:val="18"/>
                <w:szCs w:val="18"/>
              </w:rPr>
              <w:t>29.  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36301D3A">
            <w:pPr>
              <w:spacing w:line="200" w:lineRule="exact"/>
              <w:jc w:val="left"/>
            </w:pPr>
            <w:r>
              <w:rPr>
                <w:rFonts w:ascii="方正黑体_GBK" w:hAnsi="方正黑体_GBK" w:eastAsia="方正黑体_GBK" w:cs="宋体"/>
                <w:sz w:val="18"/>
                <w:szCs w:val="18"/>
              </w:rPr>
              <w:t>30.  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7F0D2B1D">
            <w:pPr>
              <w:spacing w:line="200" w:lineRule="exact"/>
              <w:jc w:val="left"/>
            </w:pPr>
            <w:r>
              <w:rPr>
                <w:rFonts w:ascii="方正黑体_GBK" w:hAnsi="方正黑体_GBK" w:eastAsia="方正黑体_GBK" w:cs="宋体"/>
                <w:sz w:val="18"/>
                <w:szCs w:val="18"/>
              </w:rPr>
              <w:t>31.  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688D4B9A">
            <w:pPr>
              <w:spacing w:line="200" w:lineRule="exact"/>
              <w:jc w:val="left"/>
            </w:pPr>
            <w:r>
              <w:rPr>
                <w:rFonts w:ascii="方正黑体_GBK" w:hAnsi="方正黑体_GBK" w:eastAsia="方正黑体_GBK" w:cs="宋体"/>
                <w:sz w:val="18"/>
                <w:szCs w:val="18"/>
              </w:rPr>
              <w:t>32.  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00B7A9CC">
            <w:pPr>
              <w:spacing w:line="200" w:lineRule="exact"/>
              <w:jc w:val="left"/>
            </w:pPr>
            <w:r>
              <w:rPr>
                <w:rFonts w:ascii="方正黑体_GBK" w:hAnsi="方正黑体_GBK" w:eastAsia="方正黑体_GBK" w:cs="宋体"/>
                <w:sz w:val="18"/>
                <w:szCs w:val="18"/>
              </w:rPr>
              <w:t>33.  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58C83452">
            <w:pPr>
              <w:spacing w:line="200" w:lineRule="exact"/>
              <w:jc w:val="left"/>
            </w:pPr>
            <w:r>
              <w:rPr>
                <w:rFonts w:ascii="方正黑体_GBK" w:hAnsi="方正黑体_GBK" w:eastAsia="方正黑体_GBK" w:cs="宋体"/>
                <w:sz w:val="18"/>
                <w:szCs w:val="18"/>
              </w:rPr>
              <w:t>34.  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3D288445">
            <w:pPr>
              <w:spacing w:line="200" w:lineRule="exact"/>
              <w:jc w:val="left"/>
            </w:pPr>
            <w:r>
              <w:rPr>
                <w:rFonts w:ascii="方正黑体_GBK" w:hAnsi="方正黑体_GBK" w:eastAsia="方正黑体_GBK" w:cs="宋体"/>
                <w:sz w:val="18"/>
                <w:szCs w:val="18"/>
              </w:rPr>
              <w:t>35.  信托贷款：资产类型为信托公司设立的资金信托计划，底层资产为京东及信托公司双重审核、信托公司自主风控后发放的“白条”个人消费贷款债权，资产到期日不超过理财产品最近一次开放日。</w:t>
            </w:r>
          </w:p>
          <w:p w14:paraId="0B4D348C">
            <w:pPr>
              <w:spacing w:line="200" w:lineRule="exact"/>
              <w:jc w:val="left"/>
            </w:pPr>
            <w:r>
              <w:rPr>
                <w:rFonts w:ascii="方正黑体_GBK" w:hAnsi="方正黑体_GBK" w:eastAsia="方正黑体_GBK" w:cs="宋体"/>
                <w:sz w:val="18"/>
                <w:szCs w:val="18"/>
              </w:rPr>
              <w:t>36.  信托贷款：资产类型为信托公司设立的资金信托计划，底层资产为京东及信托公司双重审核、信托公司自主风控后发放的“金条”个人消费贷款债权，资产到期日不超过理财产品最近一次开放日。</w:t>
            </w:r>
          </w:p>
          <w:p w14:paraId="7EC29665">
            <w:pPr>
              <w:spacing w:line="200" w:lineRule="exact"/>
              <w:jc w:val="left"/>
            </w:pPr>
            <w:r>
              <w:rPr>
                <w:rFonts w:ascii="方正黑体_GBK" w:hAnsi="方正黑体_GBK" w:eastAsia="方正黑体_GBK" w:cs="宋体"/>
                <w:sz w:val="18"/>
                <w:szCs w:val="18"/>
              </w:rPr>
              <w:t>37.  信托贷款：资产类型为信托公司设立的资金信托计划，底层资产为京东及信托公司双重审核、信托公司自主风控后发放的“白条取现”个人消费贷款债权，资产到期日不超过理财产品最近一次开放日。</w:t>
            </w:r>
          </w:p>
          <w:p w14:paraId="66B49C15">
            <w:pPr>
              <w:spacing w:line="200" w:lineRule="exact"/>
              <w:jc w:val="left"/>
            </w:pPr>
            <w:r>
              <w:rPr>
                <w:rFonts w:ascii="方正黑体_GBK" w:hAnsi="方正黑体_GBK" w:eastAsia="方正黑体_GBK" w:cs="宋体"/>
                <w:sz w:val="18"/>
                <w:szCs w:val="18"/>
              </w:rPr>
              <w:t>38.  信托贷款：资产类型为信托公司设立的资金信托计划，底层资产为抖音及信托公司双重审核、信托公司自主风控后发放的“月付”个人消费贷款债权，资产到期日不超过理财产品最近一次开放日。</w:t>
            </w:r>
          </w:p>
          <w:p w14:paraId="2D58B8A7">
            <w:pPr>
              <w:spacing w:line="200" w:lineRule="exact"/>
              <w:jc w:val="left"/>
            </w:pPr>
            <w:r>
              <w:rPr>
                <w:rFonts w:ascii="方正黑体_GBK" w:hAnsi="方正黑体_GBK" w:eastAsia="方正黑体_GBK" w:cs="宋体"/>
                <w:sz w:val="18"/>
                <w:szCs w:val="18"/>
              </w:rPr>
              <w:t>39.  信托贷款：资产类型为信托公司设立的资金信托计划，底层资产为抖音及信托公司双重审核、信托公司自主风控后发放的“放心借”贷款资产，资产到期日不超过理财产品最近一次开放日。</w:t>
            </w:r>
          </w:p>
          <w:p w14:paraId="30B502D2">
            <w:pPr>
              <w:spacing w:line="200" w:lineRule="exact"/>
              <w:jc w:val="left"/>
            </w:pPr>
            <w:r>
              <w:rPr>
                <w:rFonts w:ascii="方正黑体_GBK" w:hAnsi="方正黑体_GBK" w:eastAsia="方正黑体_GBK" w:cs="宋体"/>
                <w:sz w:val="18"/>
                <w:szCs w:val="18"/>
              </w:rPr>
              <w:t>40.  信托贷款：资产类型为信托公司设立的资金信托计划，底层资产为蚂蚁及信托公司双重审核、信托公司自主风控后发放的“花呗”个人消费贷款债权，资产到期日不超过理财产品最近一次开放日。</w:t>
            </w:r>
          </w:p>
          <w:p w14:paraId="65D403D3">
            <w:pPr>
              <w:spacing w:line="200" w:lineRule="exact"/>
              <w:jc w:val="left"/>
            </w:pPr>
            <w:r>
              <w:rPr>
                <w:rFonts w:ascii="方正黑体_GBK" w:hAnsi="方正黑体_GBK" w:eastAsia="方正黑体_GBK" w:cs="宋体"/>
                <w:sz w:val="18"/>
                <w:szCs w:val="18"/>
              </w:rPr>
              <w:t>41.  信托贷款：资产类型为信托公司设立的资金信托计划，底层资产为蚂蚁及信托公司双重审核、信托公司自主风控后发放的“借呗”个人消费贷款债权，资产到期日不超过理财产品最近一次开放日。</w:t>
            </w:r>
          </w:p>
          <w:p w14:paraId="160A85B8">
            <w:pPr>
              <w:spacing w:line="200" w:lineRule="exact"/>
              <w:jc w:val="left"/>
            </w:pPr>
            <w:r>
              <w:rPr>
                <w:rFonts w:ascii="方正黑体_GBK" w:hAnsi="方正黑体_GBK" w:eastAsia="方正黑体_GBK" w:cs="宋体"/>
                <w:sz w:val="18"/>
                <w:szCs w:val="18"/>
              </w:rPr>
              <w:t>42.  信托贷款：资产类型为信托公司设立的资金信托计划，底层资产为微信及信托公司双重审核、信托公司自主风控后发放的“分付”个人消费贷款债权，资产到期日不超过理财产品最近一次开放日。</w:t>
            </w:r>
          </w:p>
          <w:p w14:paraId="1079DF76">
            <w:pPr>
              <w:spacing w:line="200" w:lineRule="exact"/>
              <w:jc w:val="left"/>
            </w:pPr>
            <w:r>
              <w:rPr>
                <w:rFonts w:ascii="方正黑体_GBK" w:hAnsi="方正黑体_GBK" w:eastAsia="方正黑体_GBK" w:cs="宋体"/>
                <w:sz w:val="18"/>
                <w:szCs w:val="18"/>
              </w:rPr>
              <w:t>43.  信托贷款：资产类型为信托公司设立的资金信托计划，底层资产为度小满及信托公司双重审核、信托公司自主风控后发放的“满易贷”个人消费贷款债权，资产到期日不超过理财产品最近一次开放日。</w:t>
            </w:r>
          </w:p>
          <w:p w14:paraId="79B664E7">
            <w:pPr>
              <w:spacing w:line="200" w:lineRule="exact"/>
              <w:jc w:val="left"/>
            </w:pPr>
            <w:r>
              <w:rPr>
                <w:rFonts w:ascii="方正黑体_GBK" w:hAnsi="方正黑体_GBK" w:eastAsia="方正黑体_GBK" w:cs="宋体"/>
                <w:sz w:val="18"/>
                <w:szCs w:val="18"/>
              </w:rPr>
              <w:t>44.  资产支持计划：资产类型为保险资产管理公司设立的资产支持计划，底层资产为中国建筑第二工程局有限公司及其下属公司基于其真实业务背景产生的应收账款，资产到期日不超过理财产品最近一次开放日。</w:t>
            </w:r>
          </w:p>
          <w:p w14:paraId="420EC20A">
            <w:pPr>
              <w:spacing w:line="200" w:lineRule="exact"/>
              <w:jc w:val="left"/>
            </w:pPr>
            <w:r>
              <w:rPr>
                <w:rFonts w:ascii="方正黑体_GBK" w:hAnsi="方正黑体_GBK" w:eastAsia="方正黑体_GBK" w:cs="宋体"/>
                <w:sz w:val="18"/>
                <w:szCs w:val="18"/>
              </w:rPr>
              <w:t>45.  应收账款：资产类型为信托公司设立的资金信托计划，底层资产为中国建筑第二工程局有限公司及其下属公司基于其真实业务背景产生的应收账款，资产到期日不超过理财产品最近一次开放日。</w:t>
            </w:r>
          </w:p>
          <w:p w14:paraId="2977FD0B">
            <w:pPr>
              <w:spacing w:line="200" w:lineRule="exact"/>
              <w:jc w:val="left"/>
            </w:pPr>
            <w:r>
              <w:rPr>
                <w:rFonts w:ascii="方正黑体_GBK" w:hAnsi="方正黑体_GBK" w:eastAsia="方正黑体_GBK" w:cs="宋体"/>
                <w:sz w:val="18"/>
                <w:szCs w:val="18"/>
              </w:rPr>
              <w:t>46.  券商收益凭证：资产类型为证券公司发行的收益凭证，资产到期日不超过理财产品最近一次开放日，融资人为华宝证券股份有限公司，融资人评级为AA+（评级机构为联合资信评估股份有限公司）。</w:t>
            </w:r>
          </w:p>
          <w:p w14:paraId="374F4E61">
            <w:pPr>
              <w:spacing w:line="200" w:lineRule="exact"/>
              <w:jc w:val="left"/>
            </w:pPr>
            <w:r>
              <w:rPr>
                <w:rFonts w:ascii="方正黑体_GBK" w:hAnsi="方正黑体_GBK" w:eastAsia="方正黑体_GBK" w:cs="宋体"/>
                <w:sz w:val="18"/>
                <w:szCs w:val="18"/>
              </w:rPr>
              <w:t>47.  券商收益凭证：资产类型为证券公司发行的收益凭证，资产到期日不超过理财产品最近一次开放日，融资人为上海证券有限责任公司，融资人评级为AAA（评级机构为上海新世纪资信评估投资服务有限公司）。</w:t>
            </w:r>
          </w:p>
          <w:p w14:paraId="210BF745">
            <w:pPr>
              <w:spacing w:line="200" w:lineRule="exact"/>
              <w:jc w:val="left"/>
            </w:pPr>
            <w:r>
              <w:rPr>
                <w:rFonts w:ascii="方正黑体_GBK" w:hAnsi="方正黑体_GBK" w:eastAsia="方正黑体_GBK" w:cs="宋体"/>
                <w:sz w:val="18"/>
                <w:szCs w:val="18"/>
              </w:rPr>
              <w:t>48.  券商收益凭证：资产类型为证券公司发行的收益凭证，资产到期日不超过理财产品最近一次开放日，融资人为山西证券股份有限公司，融资人评级为AAA（评级机构为中诚信国际信用评级有限责任公司）。</w:t>
            </w:r>
          </w:p>
          <w:p w14:paraId="6F9E864E">
            <w:pPr>
              <w:spacing w:line="200" w:lineRule="exact"/>
              <w:jc w:val="left"/>
            </w:pPr>
            <w:r>
              <w:rPr>
                <w:rFonts w:ascii="方正黑体_GBK" w:hAnsi="方正黑体_GBK" w:eastAsia="方正黑体_GBK" w:cs="宋体"/>
                <w:sz w:val="18"/>
                <w:szCs w:val="18"/>
              </w:rPr>
              <w:t>49.  券商收益凭证：资产类型为证券公司发行的收益凭证，资产到期日不超过理财产品最近一次开放日，融资人为中银国际证券股份有限公司，融资人评级为AAA（评级机构为中诚信国际信用评级有限责任公司）。</w:t>
            </w:r>
          </w:p>
          <w:p w14:paraId="464FD47F">
            <w:pPr>
              <w:spacing w:line="200" w:lineRule="exact"/>
              <w:jc w:val="left"/>
            </w:pPr>
            <w:r>
              <w:rPr>
                <w:rFonts w:ascii="方正黑体_GBK" w:hAnsi="方正黑体_GBK" w:eastAsia="方正黑体_GBK" w:cs="宋体"/>
                <w:sz w:val="18"/>
                <w:szCs w:val="18"/>
              </w:rPr>
              <w:t>50.  券商收益凭证：资产类型为证券公司发行的收益凭证，资产到期日不超过理财产品最近一次开放日，融资人为首创证券股份有限公司，融资人评级为AAA（评级机构为中诚信国际信用评级有限责任公司）。</w:t>
            </w:r>
          </w:p>
          <w:p w14:paraId="7C11E4E7">
            <w:pPr>
              <w:spacing w:line="200" w:lineRule="exact"/>
              <w:jc w:val="left"/>
            </w:pPr>
            <w:r>
              <w:rPr>
                <w:rFonts w:ascii="方正黑体_GBK" w:hAnsi="方正黑体_GBK" w:eastAsia="方正黑体_GBK" w:cs="宋体"/>
                <w:sz w:val="18"/>
                <w:szCs w:val="18"/>
              </w:rPr>
              <w:t>51.  同业借款：资产类型为南银理财有限责任公司向持牌金融机构发放的同业借款，资产到期日不超过理财产品最近一次开放日，融资人为中国中信金融资产管理股份有限公司。</w:t>
            </w:r>
          </w:p>
          <w:p w14:paraId="3C78A4E2">
            <w:pPr>
              <w:spacing w:line="200" w:lineRule="exact"/>
              <w:jc w:val="left"/>
            </w:pPr>
            <w:r>
              <w:rPr>
                <w:rFonts w:ascii="方正黑体_GBK" w:hAnsi="方正黑体_GBK" w:eastAsia="方正黑体_GBK" w:cs="宋体"/>
                <w:sz w:val="18"/>
                <w:szCs w:val="18"/>
              </w:rPr>
              <w:t>52.  同业借款：资产类型为南银理财有限责任公司向持牌金融机构发放的同业借款，资产到期日不超过理财产品最近一次开放日，融资人为中国东方资产管理股份有限公司。</w:t>
            </w:r>
          </w:p>
          <w:p w14:paraId="41B087D0">
            <w:pPr>
              <w:spacing w:line="200" w:lineRule="exact"/>
              <w:jc w:val="left"/>
            </w:pPr>
            <w:r>
              <w:rPr>
                <w:rFonts w:ascii="方正黑体_GBK" w:hAnsi="方正黑体_GBK" w:eastAsia="方正黑体_GBK" w:cs="宋体"/>
                <w:sz w:val="18"/>
                <w:szCs w:val="18"/>
              </w:rPr>
              <w:t>53.  同业借款：资产类型为南银理财有限责任公司向持牌金融机构发放的同业借款，资产到期日不超过理财产品最近一次开放日，融资人为中国信达资产管理股份有限公司。</w:t>
            </w:r>
          </w:p>
          <w:p w14:paraId="0974066E">
            <w:pPr>
              <w:spacing w:line="200" w:lineRule="exact"/>
              <w:jc w:val="left"/>
            </w:pPr>
            <w:r>
              <w:rPr>
                <w:rFonts w:ascii="方正黑体_GBK" w:hAnsi="方正黑体_GBK" w:eastAsia="方正黑体_GBK" w:cs="宋体"/>
                <w:sz w:val="18"/>
                <w:szCs w:val="18"/>
              </w:rPr>
              <w:t>54.  同业借款：资产类型为南银理财有限责任公司向持牌金融机构发放的同业借款，资产到期日不超过理财产品最近一次开放日，融资人为中国长城资产管理股份有限公司。</w:t>
            </w:r>
          </w:p>
          <w:p w14:paraId="2CB37D31">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4C3C74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3DA3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D397287">
            <w:pPr>
              <w:spacing w:line="200" w:lineRule="exact"/>
            </w:pPr>
            <w:r>
              <w:rPr>
                <w:rFonts w:ascii="方正黑体_GBK" w:hAnsi="方正黑体_GBK" w:eastAsia="方正黑体_GBK" w:cs="宋体"/>
                <w:sz w:val="18"/>
                <w:szCs w:val="18"/>
              </w:rPr>
              <w:t>A份额：业绩比较基准为年化2.2%-2.45% 。</w:t>
            </w:r>
          </w:p>
          <w:p w14:paraId="120DC099">
            <w:pPr>
              <w:spacing w:line="200" w:lineRule="exact"/>
            </w:pPr>
            <w:r>
              <w:rPr>
                <w:rFonts w:ascii="方正黑体_GBK" w:hAnsi="方正黑体_GBK" w:eastAsia="方正黑体_GBK" w:cs="宋体"/>
                <w:sz w:val="18"/>
                <w:szCs w:val="18"/>
              </w:rPr>
              <w:t>C份额：业绩比较基准为年化2.2%-2.45% 。</w:t>
            </w:r>
          </w:p>
          <w:p w14:paraId="2266A6BA">
            <w:pPr>
              <w:spacing w:line="200" w:lineRule="exact"/>
            </w:pPr>
            <w:r>
              <w:rPr>
                <w:rFonts w:ascii="方正黑体_GBK" w:hAnsi="方正黑体_GBK" w:eastAsia="方正黑体_GBK" w:cs="宋体"/>
                <w:sz w:val="18"/>
                <w:szCs w:val="18"/>
              </w:rPr>
              <w:t>E份额：业绩比较基准为年化2.2%-2.45% 。</w:t>
            </w:r>
          </w:p>
          <w:p w14:paraId="20CB5C01">
            <w:pPr>
              <w:spacing w:line="200" w:lineRule="exact"/>
            </w:pPr>
            <w:r>
              <w:rPr>
                <w:rFonts w:ascii="方正黑体_GBK" w:hAnsi="方正黑体_GBK" w:eastAsia="方正黑体_GBK" w:cs="宋体"/>
                <w:sz w:val="18"/>
                <w:szCs w:val="18"/>
              </w:rPr>
              <w:t>B2份额：业绩比较基准为年化2.2%-2.45% 。</w:t>
            </w:r>
          </w:p>
          <w:p w14:paraId="1CDFAA47">
            <w:pPr>
              <w:spacing w:line="200" w:lineRule="exact"/>
            </w:pPr>
            <w:r>
              <w:rPr>
                <w:rFonts w:ascii="方正黑体_GBK" w:hAnsi="方正黑体_GBK" w:eastAsia="方正黑体_GBK" w:cs="宋体"/>
                <w:sz w:val="18"/>
                <w:szCs w:val="18"/>
              </w:rPr>
              <w:t>C2份额：业绩比较基准为年化2.25%-2.5% 。</w:t>
            </w:r>
          </w:p>
          <w:p w14:paraId="4CC61ED5">
            <w:pPr>
              <w:spacing w:line="200" w:lineRule="exact"/>
            </w:pPr>
            <w:r>
              <w:rPr>
                <w:rFonts w:ascii="方正黑体_GBK" w:hAnsi="方正黑体_GBK" w:eastAsia="方正黑体_GBK" w:cs="宋体"/>
                <w:sz w:val="18"/>
                <w:szCs w:val="18"/>
              </w:rPr>
              <w:t>D2份额：业绩比较基准为年化2.3%-2.55% 。</w:t>
            </w:r>
          </w:p>
          <w:p w14:paraId="4B8C59EF">
            <w:pPr>
              <w:spacing w:line="200" w:lineRule="exact"/>
            </w:pPr>
            <w:r>
              <w:rPr>
                <w:rFonts w:ascii="方正黑体_GBK" w:hAnsi="方正黑体_GBK" w:eastAsia="方正黑体_GBK" w:cs="宋体"/>
                <w:sz w:val="18"/>
                <w:szCs w:val="18"/>
              </w:rPr>
              <w:t>E2份额：业绩比较基准为年化2.4%-2.65% 。</w:t>
            </w:r>
          </w:p>
          <w:p w14:paraId="2938CFF9">
            <w:pPr>
              <w:spacing w:line="200" w:lineRule="exact"/>
            </w:pPr>
            <w:r>
              <w:rPr>
                <w:rFonts w:ascii="方正黑体_GBK" w:hAnsi="方正黑体_GBK" w:eastAsia="方正黑体_GBK" w:cs="宋体"/>
                <w:sz w:val="18"/>
                <w:szCs w:val="18"/>
              </w:rPr>
              <w:t>B3份额：业绩比较基准为年化2.2%-2.45% 。</w:t>
            </w:r>
          </w:p>
          <w:p w14:paraId="2C98A912">
            <w:pPr>
              <w:spacing w:line="200" w:lineRule="exact"/>
            </w:pPr>
            <w:r>
              <w:rPr>
                <w:rFonts w:ascii="方正黑体_GBK" w:hAnsi="方正黑体_GBK" w:eastAsia="方正黑体_GBK" w:cs="宋体"/>
                <w:sz w:val="18"/>
                <w:szCs w:val="18"/>
              </w:rPr>
              <w:t>C3份额：业绩比较基准为年化2.25%-2.5% 。</w:t>
            </w:r>
          </w:p>
          <w:p w14:paraId="3A8FE08C">
            <w:pPr>
              <w:spacing w:line="200" w:lineRule="exact"/>
            </w:pPr>
            <w:r>
              <w:rPr>
                <w:rFonts w:ascii="方正黑体_GBK" w:hAnsi="方正黑体_GBK" w:eastAsia="方正黑体_GBK" w:cs="宋体"/>
                <w:sz w:val="18"/>
                <w:szCs w:val="18"/>
              </w:rPr>
              <w:t>D3份额：业绩比较基准为年化2.3%-2.55% 。</w:t>
            </w:r>
          </w:p>
          <w:p w14:paraId="75445F9D">
            <w:pPr>
              <w:spacing w:line="200" w:lineRule="exact"/>
            </w:pPr>
            <w:r>
              <w:rPr>
                <w:rFonts w:ascii="方正黑体_GBK" w:hAnsi="方正黑体_GBK" w:eastAsia="方正黑体_GBK" w:cs="宋体"/>
                <w:sz w:val="18"/>
                <w:szCs w:val="18"/>
              </w:rPr>
              <w:t>E3份额：业绩比较基准为年化2.4%-2.65% 。</w:t>
            </w:r>
          </w:p>
          <w:p w14:paraId="5B141DB1">
            <w:pPr>
              <w:spacing w:line="200" w:lineRule="exact"/>
            </w:pPr>
            <w:r>
              <w:rPr>
                <w:rFonts w:ascii="方正黑体_GBK" w:hAnsi="方正黑体_GBK" w:eastAsia="方正黑体_GBK" w:cs="宋体"/>
                <w:sz w:val="18"/>
                <w:szCs w:val="18"/>
              </w:rPr>
              <w:t>A4份额：业绩比较基准为年化2.2%-2.45% 。</w:t>
            </w:r>
          </w:p>
          <w:p w14:paraId="43232223">
            <w:pPr>
              <w:spacing w:line="200" w:lineRule="exact"/>
            </w:pPr>
            <w:r>
              <w:rPr>
                <w:rFonts w:ascii="方正黑体_GBK" w:hAnsi="方正黑体_GBK" w:eastAsia="方正黑体_GBK" w:cs="宋体"/>
                <w:sz w:val="18"/>
                <w:szCs w:val="18"/>
              </w:rPr>
              <w:t>B4份额：业绩比较基准为年化2.2%-2.45% 。</w:t>
            </w:r>
          </w:p>
          <w:p w14:paraId="528FA546">
            <w:pPr>
              <w:spacing w:line="200" w:lineRule="exact"/>
            </w:pPr>
            <w:r>
              <w:rPr>
                <w:rFonts w:ascii="方正黑体_GBK" w:hAnsi="方正黑体_GBK" w:eastAsia="方正黑体_GBK" w:cs="宋体"/>
                <w:sz w:val="18"/>
                <w:szCs w:val="18"/>
              </w:rPr>
              <w:t>C4份额：业绩比较基准为年化2.25%-2.5% 。</w:t>
            </w:r>
          </w:p>
          <w:p w14:paraId="363956DC">
            <w:pPr>
              <w:spacing w:line="200" w:lineRule="exact"/>
            </w:pPr>
            <w:r>
              <w:rPr>
                <w:rFonts w:ascii="方正黑体_GBK" w:hAnsi="方正黑体_GBK" w:eastAsia="方正黑体_GBK" w:cs="宋体"/>
                <w:sz w:val="18"/>
                <w:szCs w:val="18"/>
              </w:rPr>
              <w:t>D4份额：业绩比较基准为年化2.3%-2.55% 。</w:t>
            </w:r>
          </w:p>
          <w:p w14:paraId="7B1C65D8">
            <w:pPr>
              <w:spacing w:line="200" w:lineRule="exact"/>
            </w:pPr>
            <w:r>
              <w:rPr>
                <w:rFonts w:ascii="方正黑体_GBK" w:hAnsi="方正黑体_GBK" w:eastAsia="方正黑体_GBK" w:cs="宋体"/>
                <w:sz w:val="18"/>
                <w:szCs w:val="18"/>
              </w:rPr>
              <w:t>E4份额：业绩比较基准为年化2.4%-2.65% 。</w:t>
            </w:r>
          </w:p>
          <w:p w14:paraId="61F140B3">
            <w:pPr>
              <w:spacing w:line="200" w:lineRule="exact"/>
            </w:pPr>
            <w:r>
              <w:rPr>
                <w:rFonts w:ascii="方正黑体_GBK" w:hAnsi="方正黑体_GBK" w:eastAsia="方正黑体_GBK" w:cs="宋体"/>
                <w:sz w:val="18"/>
                <w:szCs w:val="18"/>
              </w:rPr>
              <w:t>F2份额：业绩比较基准为年化2.3%-2.55% 。</w:t>
            </w:r>
          </w:p>
          <w:p w14:paraId="2CC52051">
            <w:pPr>
              <w:spacing w:line="200" w:lineRule="exact"/>
            </w:pPr>
            <w:r>
              <w:rPr>
                <w:rFonts w:ascii="方正黑体_GBK" w:hAnsi="方正黑体_GBK" w:eastAsia="方正黑体_GBK" w:cs="宋体"/>
                <w:sz w:val="18"/>
                <w:szCs w:val="18"/>
              </w:rPr>
              <w:t>F3份额：业绩比较基准为年化2.3%-2.55% 。</w:t>
            </w:r>
          </w:p>
          <w:p w14:paraId="3AFDC9E5">
            <w:pPr>
              <w:spacing w:line="200" w:lineRule="exact"/>
            </w:pPr>
            <w:r>
              <w:rPr>
                <w:rFonts w:ascii="方正黑体_GBK" w:hAnsi="方正黑体_GBK" w:eastAsia="方正黑体_GBK" w:cs="宋体"/>
                <w:sz w:val="18"/>
                <w:szCs w:val="18"/>
              </w:rPr>
              <w:t>G2份额：业绩比较基准为年化2.35%-2.6% 。</w:t>
            </w:r>
          </w:p>
          <w:p w14:paraId="1E9F93BC">
            <w:pPr>
              <w:spacing w:line="200" w:lineRule="exact"/>
            </w:pPr>
            <w:r>
              <w:rPr>
                <w:rFonts w:ascii="方正黑体_GBK" w:hAnsi="方正黑体_GBK" w:eastAsia="方正黑体_GBK" w:cs="宋体"/>
                <w:sz w:val="18"/>
                <w:szCs w:val="18"/>
              </w:rPr>
              <w:t>G3份额：业绩比较基准为年化2.35%-2.6% 。</w:t>
            </w:r>
          </w:p>
          <w:p w14:paraId="5D250521">
            <w:pPr>
              <w:spacing w:line="200" w:lineRule="exact"/>
            </w:pPr>
            <w:r>
              <w:rPr>
                <w:rFonts w:ascii="方正黑体_GBK" w:hAnsi="方正黑体_GBK" w:eastAsia="方正黑体_GBK" w:cs="宋体"/>
                <w:sz w:val="18"/>
                <w:szCs w:val="18"/>
              </w:rPr>
              <w:t>F4份额：业绩比较基准为年化2.3%-2.55% 。</w:t>
            </w:r>
          </w:p>
          <w:p w14:paraId="5B88275E">
            <w:pPr>
              <w:spacing w:line="200" w:lineRule="exact"/>
            </w:pPr>
            <w:r>
              <w:rPr>
                <w:rFonts w:ascii="方正黑体_GBK" w:hAnsi="方正黑体_GBK" w:eastAsia="方正黑体_GBK" w:cs="宋体"/>
                <w:sz w:val="18"/>
                <w:szCs w:val="18"/>
              </w:rPr>
              <w:t>G4份额：业绩比较基准为年化2.35%-2.6% 。</w:t>
            </w:r>
          </w:p>
          <w:p w14:paraId="0F1331A9">
            <w:pPr>
              <w:spacing w:line="200" w:lineRule="exact"/>
            </w:pPr>
            <w:r>
              <w:rPr>
                <w:rFonts w:ascii="方正黑体_GBK" w:hAnsi="方正黑体_GBK" w:eastAsia="方正黑体_GBK" w:cs="宋体"/>
                <w:sz w:val="18"/>
                <w:szCs w:val="18"/>
              </w:rPr>
              <w:t>H2份额：业绩比较基准为年化2.4%-2.65% 。</w:t>
            </w:r>
          </w:p>
          <w:p w14:paraId="01864DA7">
            <w:pPr>
              <w:spacing w:line="200" w:lineRule="exact"/>
            </w:pPr>
            <w:r>
              <w:rPr>
                <w:rFonts w:ascii="方正黑体_GBK" w:hAnsi="方正黑体_GBK" w:eastAsia="方正黑体_GBK" w:cs="宋体"/>
                <w:sz w:val="18"/>
                <w:szCs w:val="18"/>
              </w:rPr>
              <w:t>J2份额：业绩比较基准为年化2.25%-2.5% 。</w:t>
            </w:r>
          </w:p>
          <w:p w14:paraId="694FE720">
            <w:pPr>
              <w:spacing w:line="200" w:lineRule="exact"/>
            </w:pPr>
            <w:r>
              <w:rPr>
                <w:rFonts w:ascii="方正黑体_GBK" w:hAnsi="方正黑体_GBK" w:eastAsia="方正黑体_GBK" w:cs="宋体"/>
                <w:sz w:val="18"/>
                <w:szCs w:val="18"/>
              </w:rPr>
              <w:t>K2份额：业绩比较基准为年化2.2%-2.45% 。</w:t>
            </w:r>
          </w:p>
          <w:p w14:paraId="0F6DF8A8">
            <w:pPr>
              <w:spacing w:line="200" w:lineRule="exact"/>
            </w:pPr>
            <w:r>
              <w:rPr>
                <w:rFonts w:ascii="方正黑体_GBK" w:hAnsi="方正黑体_GBK" w:eastAsia="方正黑体_GBK" w:cs="宋体"/>
                <w:sz w:val="18"/>
                <w:szCs w:val="18"/>
              </w:rPr>
              <w:t>J3份额：业绩比较基准为年化2.25%-2.5% 。</w:t>
            </w:r>
          </w:p>
          <w:p w14:paraId="4F1C0F07">
            <w:pPr>
              <w:spacing w:line="200" w:lineRule="exact"/>
            </w:pPr>
            <w:r>
              <w:rPr>
                <w:rFonts w:ascii="方正黑体_GBK" w:hAnsi="方正黑体_GBK" w:eastAsia="方正黑体_GBK" w:cs="宋体"/>
                <w:sz w:val="18"/>
                <w:szCs w:val="18"/>
              </w:rPr>
              <w:t>K3份额：业绩比较基准为年化2.2%-2.45% 。</w:t>
            </w:r>
          </w:p>
          <w:p w14:paraId="4CF17293">
            <w:pPr>
              <w:spacing w:line="200" w:lineRule="exact"/>
            </w:pPr>
            <w:r>
              <w:rPr>
                <w:rFonts w:ascii="方正黑体_GBK" w:hAnsi="方正黑体_GBK" w:eastAsia="方正黑体_GBK" w:cs="宋体"/>
                <w:sz w:val="18"/>
                <w:szCs w:val="18"/>
              </w:rPr>
              <w:t>L3份额：业绩比较基准为年化2.3%-2.55% 。</w:t>
            </w:r>
          </w:p>
          <w:p w14:paraId="7FF27C6A">
            <w:pPr>
              <w:spacing w:line="200" w:lineRule="exact"/>
            </w:pPr>
            <w:r>
              <w:rPr>
                <w:rFonts w:ascii="方正黑体_GBK" w:hAnsi="方正黑体_GBK" w:eastAsia="方正黑体_GBK" w:cs="宋体"/>
                <w:sz w:val="18"/>
                <w:szCs w:val="18"/>
              </w:rPr>
              <w:t>J4份额：业绩比较基准为年化2.25%-2.5% 。</w:t>
            </w:r>
          </w:p>
          <w:p w14:paraId="4C294598">
            <w:pPr>
              <w:spacing w:line="200" w:lineRule="exact"/>
            </w:pPr>
            <w:r>
              <w:rPr>
                <w:rFonts w:ascii="方正黑体_GBK" w:hAnsi="方正黑体_GBK" w:eastAsia="方正黑体_GBK" w:cs="宋体"/>
                <w:sz w:val="18"/>
                <w:szCs w:val="18"/>
              </w:rPr>
              <w:t>K4份额：业绩比较基准为年化2.2%-2.45% 。</w:t>
            </w:r>
          </w:p>
          <w:p w14:paraId="2543B801">
            <w:pPr>
              <w:spacing w:line="200" w:lineRule="exact"/>
            </w:pPr>
            <w:r>
              <w:rPr>
                <w:rFonts w:ascii="方正黑体_GBK" w:hAnsi="方正黑体_GBK" w:eastAsia="方正黑体_GBK" w:cs="宋体"/>
                <w:sz w:val="18"/>
                <w:szCs w:val="18"/>
              </w:rPr>
              <w:t>I3份额：业绩比较基准为年化2.4%-2.65% 。</w:t>
            </w:r>
          </w:p>
          <w:p w14:paraId="1B213506">
            <w:pPr>
              <w:spacing w:line="200" w:lineRule="exact"/>
            </w:pPr>
            <w:r>
              <w:rPr>
                <w:rFonts w:ascii="方正黑体_GBK" w:hAnsi="方正黑体_GBK" w:eastAsia="方正黑体_GBK" w:cs="宋体"/>
                <w:sz w:val="18"/>
                <w:szCs w:val="18"/>
              </w:rPr>
              <w:t>M2份额：业绩比较基准为年化2.2%-2.45% 。</w:t>
            </w:r>
          </w:p>
          <w:p w14:paraId="4853351E">
            <w:pPr>
              <w:spacing w:line="200" w:lineRule="exact"/>
            </w:pPr>
            <w:r>
              <w:rPr>
                <w:rFonts w:ascii="方正黑体_GBK" w:hAnsi="方正黑体_GBK" w:eastAsia="方正黑体_GBK" w:cs="宋体"/>
                <w:sz w:val="18"/>
                <w:szCs w:val="18"/>
              </w:rPr>
              <w:t>M3份额：业绩比较基准为年化2.2%-2.45% 。</w:t>
            </w:r>
          </w:p>
          <w:p w14:paraId="38FB00A8">
            <w:pPr>
              <w:spacing w:line="200" w:lineRule="exact"/>
            </w:pPr>
            <w:r>
              <w:rPr>
                <w:rFonts w:ascii="方正黑体_GBK" w:hAnsi="方正黑体_GBK" w:eastAsia="方正黑体_GBK" w:cs="宋体"/>
                <w:sz w:val="18"/>
                <w:szCs w:val="18"/>
              </w:rPr>
              <w:t>M4份额：业绩比较基准为年化2.2%-2.45% 。</w:t>
            </w:r>
          </w:p>
          <w:p w14:paraId="45EC1FD8">
            <w:pPr>
              <w:spacing w:line="200" w:lineRule="exact"/>
            </w:pPr>
            <w:r>
              <w:rPr>
                <w:rFonts w:ascii="方正黑体_GBK" w:hAnsi="方正黑体_GBK" w:eastAsia="方正黑体_GBK" w:cs="宋体"/>
                <w:sz w:val="18"/>
                <w:szCs w:val="18"/>
              </w:rPr>
              <w:t>O2份额：业绩比较基准为年化2.3%-2.55% 。</w:t>
            </w:r>
          </w:p>
          <w:p w14:paraId="19A5003C">
            <w:pPr>
              <w:spacing w:line="200" w:lineRule="exact"/>
            </w:pPr>
            <w:r>
              <w:rPr>
                <w:rFonts w:ascii="方正黑体_GBK" w:hAnsi="方正黑体_GBK" w:eastAsia="方正黑体_GBK" w:cs="宋体"/>
                <w:sz w:val="18"/>
                <w:szCs w:val="18"/>
              </w:rPr>
              <w:t>O3份额：业绩比较基准为年化2.3%-2.55% 。</w:t>
            </w:r>
          </w:p>
          <w:p w14:paraId="43F5D354">
            <w:pPr>
              <w:spacing w:line="200" w:lineRule="exact"/>
            </w:pPr>
            <w:r>
              <w:rPr>
                <w:rFonts w:ascii="方正黑体_GBK" w:hAnsi="方正黑体_GBK" w:eastAsia="方正黑体_GBK" w:cs="宋体"/>
                <w:sz w:val="18"/>
                <w:szCs w:val="18"/>
              </w:rPr>
              <w:t>O4份额：业绩比较基准为年化2.3%-2.55% 。</w:t>
            </w:r>
          </w:p>
          <w:p w14:paraId="6946A37A">
            <w:pPr>
              <w:spacing w:line="200" w:lineRule="exact"/>
            </w:pPr>
            <w:r>
              <w:rPr>
                <w:rFonts w:ascii="方正黑体_GBK" w:hAnsi="方正黑体_GBK" w:eastAsia="方正黑体_GBK" w:cs="宋体"/>
                <w:sz w:val="18"/>
                <w:szCs w:val="18"/>
              </w:rPr>
              <w:t>Q1份额：业绩比较基准为年化2.2%-2.45% 。</w:t>
            </w:r>
          </w:p>
          <w:p w14:paraId="6A26E16E">
            <w:pPr>
              <w:spacing w:line="200" w:lineRule="exact"/>
            </w:pPr>
            <w:r>
              <w:rPr>
                <w:rFonts w:ascii="方正黑体_GBK" w:hAnsi="方正黑体_GBK" w:eastAsia="方正黑体_GBK" w:cs="宋体"/>
                <w:sz w:val="18"/>
                <w:szCs w:val="18"/>
              </w:rPr>
              <w:t>R1份额：业绩比较基准为年化2.4%-2.65% 。</w:t>
            </w:r>
          </w:p>
          <w:p w14:paraId="4749E7C7">
            <w:pPr>
              <w:spacing w:line="200" w:lineRule="exact"/>
            </w:pPr>
            <w:r>
              <w:rPr>
                <w:rFonts w:ascii="方正黑体_GBK" w:hAnsi="方正黑体_GBK" w:eastAsia="方正黑体_GBK" w:cs="宋体"/>
                <w:sz w:val="18"/>
                <w:szCs w:val="18"/>
              </w:rPr>
              <w:t>Q2份额：业绩比较基准为年化2.2%-2.45% 。</w:t>
            </w:r>
          </w:p>
          <w:p w14:paraId="25851710">
            <w:pPr>
              <w:spacing w:line="200" w:lineRule="exact"/>
            </w:pPr>
            <w:r>
              <w:rPr>
                <w:rFonts w:ascii="方正黑体_GBK" w:hAnsi="方正黑体_GBK" w:eastAsia="方正黑体_GBK" w:cs="宋体"/>
                <w:sz w:val="18"/>
                <w:szCs w:val="18"/>
              </w:rPr>
              <w:t>R2份额：业绩比较基准为年化2.4%-2.65% 。</w:t>
            </w:r>
          </w:p>
          <w:p w14:paraId="3643834E">
            <w:pPr>
              <w:spacing w:line="200" w:lineRule="exact"/>
            </w:pPr>
            <w:r>
              <w:rPr>
                <w:rFonts w:ascii="方正黑体_GBK" w:hAnsi="方正黑体_GBK" w:eastAsia="方正黑体_GBK" w:cs="宋体"/>
                <w:sz w:val="18"/>
                <w:szCs w:val="18"/>
              </w:rPr>
              <w:t>Q3份额：业绩比较基准为年化2.2%-2.45% 。</w:t>
            </w:r>
          </w:p>
          <w:p w14:paraId="239CF5BD">
            <w:pPr>
              <w:spacing w:line="200" w:lineRule="exact"/>
            </w:pPr>
            <w:r>
              <w:rPr>
                <w:rFonts w:ascii="方正黑体_GBK" w:hAnsi="方正黑体_GBK" w:eastAsia="方正黑体_GBK" w:cs="宋体"/>
                <w:sz w:val="18"/>
                <w:szCs w:val="18"/>
              </w:rPr>
              <w:t>R3份额：业绩比较基准为年化2.4%-2.65% 。</w:t>
            </w:r>
          </w:p>
          <w:p w14:paraId="1CA54191">
            <w:pPr>
              <w:spacing w:line="200" w:lineRule="exact"/>
            </w:pPr>
            <w:r>
              <w:rPr>
                <w:rFonts w:ascii="方正黑体_GBK" w:hAnsi="方正黑体_GBK" w:eastAsia="方正黑体_GBK" w:cs="宋体"/>
                <w:sz w:val="18"/>
                <w:szCs w:val="18"/>
              </w:rPr>
              <w:t>Q4份额：业绩比较基准为年化2.2%-2.45% 。</w:t>
            </w:r>
          </w:p>
          <w:p w14:paraId="0AC8EEF3">
            <w:pPr>
              <w:spacing w:line="200" w:lineRule="exact"/>
            </w:pPr>
            <w:r>
              <w:rPr>
                <w:rFonts w:ascii="方正黑体_GBK" w:hAnsi="方正黑体_GBK" w:eastAsia="方正黑体_GBK" w:cs="宋体"/>
                <w:sz w:val="18"/>
                <w:szCs w:val="18"/>
              </w:rPr>
              <w:t>R4份额：业绩比较基准为年化2.4%-2.65% 。</w:t>
            </w:r>
          </w:p>
          <w:p w14:paraId="0394EC14">
            <w:pPr>
              <w:spacing w:line="200" w:lineRule="exact"/>
            </w:pPr>
            <w:r>
              <w:rPr>
                <w:rFonts w:ascii="方正黑体_GBK" w:hAnsi="方正黑体_GBK" w:eastAsia="方正黑体_GBK" w:cs="宋体"/>
                <w:sz w:val="18"/>
                <w:szCs w:val="18"/>
              </w:rPr>
              <w:t>B1份额：业绩比较基准为年化2.2%-2.45% 。</w:t>
            </w:r>
          </w:p>
          <w:p w14:paraId="3EFB03F9">
            <w:pPr>
              <w:spacing w:line="200" w:lineRule="exact"/>
            </w:pPr>
            <w:r>
              <w:rPr>
                <w:rFonts w:ascii="方正黑体_GBK" w:hAnsi="方正黑体_GBK" w:eastAsia="方正黑体_GBK" w:cs="宋体"/>
                <w:sz w:val="18"/>
                <w:szCs w:val="18"/>
              </w:rPr>
              <w:t>C1份额：业绩比较基准为年化2.25%-2.5% 。</w:t>
            </w:r>
          </w:p>
          <w:p w14:paraId="3177E9FF">
            <w:pPr>
              <w:spacing w:line="200" w:lineRule="exact"/>
            </w:pPr>
            <w:r>
              <w:rPr>
                <w:rFonts w:ascii="方正黑体_GBK" w:hAnsi="方正黑体_GBK" w:eastAsia="方正黑体_GBK" w:cs="宋体"/>
                <w:sz w:val="18"/>
                <w:szCs w:val="18"/>
              </w:rPr>
              <w:t>D1份额：业绩比较基准为年化2.3%-2.55% 。</w:t>
            </w:r>
          </w:p>
          <w:p w14:paraId="15DCD15F">
            <w:pPr>
              <w:spacing w:line="200" w:lineRule="exact"/>
            </w:pPr>
            <w:r>
              <w:rPr>
                <w:rFonts w:ascii="方正黑体_GBK" w:hAnsi="方正黑体_GBK" w:eastAsia="方正黑体_GBK" w:cs="宋体"/>
                <w:sz w:val="18"/>
                <w:szCs w:val="18"/>
              </w:rPr>
              <w:t>E1份额：业绩比较基准为年化2.4%-2.65% 。</w:t>
            </w:r>
          </w:p>
          <w:p w14:paraId="40E961BA">
            <w:pPr>
              <w:spacing w:line="200" w:lineRule="exact"/>
            </w:pPr>
            <w:r>
              <w:rPr>
                <w:rFonts w:ascii="方正黑体_GBK" w:hAnsi="方正黑体_GBK" w:eastAsia="方正黑体_GBK" w:cs="宋体"/>
                <w:sz w:val="18"/>
                <w:szCs w:val="18"/>
              </w:rPr>
              <w:t>F1份额：业绩比较基准为年化2.3%-2.55% 。</w:t>
            </w:r>
          </w:p>
          <w:p w14:paraId="3E464C9E">
            <w:pPr>
              <w:spacing w:line="200" w:lineRule="exact"/>
            </w:pPr>
            <w:r>
              <w:rPr>
                <w:rFonts w:ascii="方正黑体_GBK" w:hAnsi="方正黑体_GBK" w:eastAsia="方正黑体_GBK" w:cs="宋体"/>
                <w:sz w:val="18"/>
                <w:szCs w:val="18"/>
              </w:rPr>
              <w:t>G1份额：业绩比较基准为年化2.35%-2.6% 。</w:t>
            </w:r>
          </w:p>
          <w:p w14:paraId="3D994B62">
            <w:pPr>
              <w:spacing w:line="200" w:lineRule="exact"/>
            </w:pPr>
            <w:r>
              <w:rPr>
                <w:rFonts w:ascii="方正黑体_GBK" w:hAnsi="方正黑体_GBK" w:eastAsia="方正黑体_GBK" w:cs="宋体"/>
                <w:sz w:val="18"/>
                <w:szCs w:val="18"/>
              </w:rPr>
              <w:t>J1份额：业绩比较基准为年化2.25%-2.5% 。</w:t>
            </w:r>
          </w:p>
          <w:p w14:paraId="4251E352">
            <w:pPr>
              <w:spacing w:line="200" w:lineRule="exact"/>
            </w:pPr>
            <w:r>
              <w:rPr>
                <w:rFonts w:ascii="方正黑体_GBK" w:hAnsi="方正黑体_GBK" w:eastAsia="方正黑体_GBK" w:cs="宋体"/>
                <w:sz w:val="18"/>
                <w:szCs w:val="18"/>
              </w:rPr>
              <w:t>K1份额：业绩比较基准为年化2.2%-2.45% 。</w:t>
            </w:r>
          </w:p>
          <w:p w14:paraId="7179CC9F">
            <w:pPr>
              <w:spacing w:line="200" w:lineRule="exact"/>
            </w:pPr>
            <w:r>
              <w:rPr>
                <w:rFonts w:ascii="方正黑体_GBK" w:hAnsi="方正黑体_GBK" w:eastAsia="方正黑体_GBK" w:cs="宋体"/>
                <w:sz w:val="18"/>
                <w:szCs w:val="18"/>
              </w:rPr>
              <w:t>L1份额：业绩比较基准为年化2.3%-2.55% 。</w:t>
            </w:r>
          </w:p>
          <w:p w14:paraId="6AABF708">
            <w:pPr>
              <w:spacing w:line="200" w:lineRule="exact"/>
            </w:pPr>
            <w:r>
              <w:rPr>
                <w:rFonts w:ascii="方正黑体_GBK" w:hAnsi="方正黑体_GBK" w:eastAsia="方正黑体_GBK" w:cs="宋体"/>
                <w:sz w:val="18"/>
                <w:szCs w:val="18"/>
              </w:rPr>
              <w:t>M1份额：业绩比较基准为年化2.2%-2.45% 。</w:t>
            </w:r>
          </w:p>
          <w:p w14:paraId="7EA93890">
            <w:pPr>
              <w:spacing w:line="200" w:lineRule="exact"/>
            </w:pPr>
            <w:r>
              <w:rPr>
                <w:rFonts w:ascii="方正黑体_GBK" w:hAnsi="方正黑体_GBK" w:eastAsia="方正黑体_GBK" w:cs="宋体"/>
                <w:sz w:val="18"/>
                <w:szCs w:val="18"/>
              </w:rPr>
              <w:t>N1份额：业绩比较基准为年化2.45%-2.7% 。</w:t>
            </w:r>
          </w:p>
          <w:p w14:paraId="73AC332D">
            <w:pPr>
              <w:spacing w:line="200" w:lineRule="exact"/>
            </w:pPr>
            <w:r>
              <w:rPr>
                <w:rFonts w:ascii="方正黑体_GBK" w:hAnsi="方正黑体_GBK" w:eastAsia="方正黑体_GBK" w:cs="宋体"/>
                <w:sz w:val="18"/>
                <w:szCs w:val="18"/>
              </w:rPr>
              <w:t>O1份额：业绩比较基准为年化2.3%-2.55% 。</w:t>
            </w:r>
          </w:p>
          <w:p w14:paraId="437E5CEE">
            <w:pPr>
              <w:spacing w:line="200" w:lineRule="exact"/>
            </w:pPr>
            <w:r>
              <w:rPr>
                <w:rFonts w:ascii="方正黑体_GBK" w:hAnsi="方正黑体_GBK" w:eastAsia="方正黑体_GBK" w:cs="宋体"/>
                <w:sz w:val="18"/>
                <w:szCs w:val="18"/>
              </w:rPr>
              <w:t>S1份额：业绩比较基准为年化2.35%-2.6% 。</w:t>
            </w:r>
          </w:p>
          <w:p w14:paraId="7CBA0830">
            <w:pPr>
              <w:spacing w:line="200" w:lineRule="exact"/>
            </w:pPr>
            <w:r>
              <w:rPr>
                <w:rFonts w:ascii="方正黑体_GBK" w:hAnsi="方正黑体_GBK" w:eastAsia="方正黑体_GBK" w:cs="宋体"/>
                <w:sz w:val="18"/>
                <w:szCs w:val="18"/>
              </w:rPr>
              <w:t>S2份额：业绩比较基准为年化2.35%-2.6% 。</w:t>
            </w:r>
          </w:p>
          <w:p w14:paraId="6BF54BD5">
            <w:pPr>
              <w:spacing w:line="200" w:lineRule="exact"/>
            </w:pPr>
            <w:r>
              <w:rPr>
                <w:rFonts w:ascii="方正黑体_GBK" w:hAnsi="方正黑体_GBK" w:eastAsia="方正黑体_GBK" w:cs="宋体"/>
                <w:sz w:val="18"/>
                <w:szCs w:val="18"/>
              </w:rPr>
              <w:t>S3份额：业绩比较基准为年化2.35%-2.6% 。</w:t>
            </w:r>
          </w:p>
          <w:p w14:paraId="5B7104B7">
            <w:pPr>
              <w:spacing w:line="200" w:lineRule="exact"/>
            </w:pPr>
            <w:r>
              <w:rPr>
                <w:rFonts w:ascii="方正黑体_GBK" w:hAnsi="方正黑体_GBK" w:eastAsia="方正黑体_GBK" w:cs="宋体"/>
                <w:sz w:val="18"/>
                <w:szCs w:val="18"/>
              </w:rPr>
              <w:t>S4份额：业绩比较基准为年化2.35%-2.6% 。</w:t>
            </w:r>
          </w:p>
          <w:p w14:paraId="0AA57CCE">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119BC8BA">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07BB303D">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250B6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B5E46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2B685C0">
            <w:pPr>
              <w:spacing w:line="200" w:lineRule="exact"/>
            </w:pPr>
            <w:r>
              <w:rPr>
                <w:rFonts w:ascii="方正黑体_GBK" w:hAnsi="方正黑体_GBK" w:eastAsia="方正黑体_GBK" w:cs="宋体"/>
                <w:b/>
                <w:sz w:val="18"/>
                <w:szCs w:val="18"/>
              </w:rPr>
              <w:t>认/申购费：本理财产品暂不收取认/申购费。</w:t>
            </w:r>
          </w:p>
          <w:p w14:paraId="100B2ACA">
            <w:pPr>
              <w:spacing w:line="200" w:lineRule="exact"/>
            </w:pPr>
            <w:r>
              <w:rPr>
                <w:rFonts w:ascii="方正黑体_GBK" w:hAnsi="方正黑体_GBK" w:eastAsia="方正黑体_GBK" w:cs="宋体"/>
                <w:b/>
                <w:sz w:val="18"/>
                <w:szCs w:val="18"/>
              </w:rPr>
              <w:t>赎回费：本理财产品暂不收取赎回费。</w:t>
            </w:r>
          </w:p>
          <w:p w14:paraId="1F86656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A6A6F4E">
            <w:pPr>
              <w:spacing w:line="200" w:lineRule="exact"/>
            </w:pPr>
            <w:r>
              <w:rPr>
                <w:rFonts w:ascii="方正黑体_GBK" w:hAnsi="方正黑体_GBK" w:eastAsia="方正黑体_GBK" w:cs="宋体"/>
                <w:b/>
                <w:sz w:val="18"/>
                <w:szCs w:val="18"/>
              </w:rPr>
              <w:t>A份额：销售费年化0.2%</w:t>
            </w:r>
          </w:p>
          <w:p w14:paraId="79781CA1">
            <w:pPr>
              <w:spacing w:line="200" w:lineRule="exact"/>
            </w:pPr>
            <w:r>
              <w:rPr>
                <w:rFonts w:ascii="方正黑体_GBK" w:hAnsi="方正黑体_GBK" w:eastAsia="方正黑体_GBK" w:cs="宋体"/>
                <w:b/>
                <w:sz w:val="18"/>
                <w:szCs w:val="18"/>
              </w:rPr>
              <w:t>C份额：销售费年化0.2%</w:t>
            </w:r>
          </w:p>
          <w:p w14:paraId="532BF871">
            <w:pPr>
              <w:spacing w:line="200" w:lineRule="exact"/>
            </w:pPr>
            <w:r>
              <w:rPr>
                <w:rFonts w:ascii="方正黑体_GBK" w:hAnsi="方正黑体_GBK" w:eastAsia="方正黑体_GBK" w:cs="宋体"/>
                <w:b/>
                <w:sz w:val="18"/>
                <w:szCs w:val="18"/>
              </w:rPr>
              <w:t>E份额：销售费年化0.2%</w:t>
            </w:r>
          </w:p>
          <w:p w14:paraId="50BFC2AD">
            <w:pPr>
              <w:spacing w:line="200" w:lineRule="exact"/>
            </w:pPr>
            <w:r>
              <w:rPr>
                <w:rFonts w:ascii="方正黑体_GBK" w:hAnsi="方正黑体_GBK" w:eastAsia="方正黑体_GBK" w:cs="宋体"/>
                <w:b/>
                <w:sz w:val="18"/>
                <w:szCs w:val="18"/>
              </w:rPr>
              <w:t>B2份额：销售费年化0.2%</w:t>
            </w:r>
          </w:p>
          <w:p w14:paraId="79357F05">
            <w:pPr>
              <w:spacing w:line="200" w:lineRule="exact"/>
            </w:pPr>
            <w:r>
              <w:rPr>
                <w:rFonts w:ascii="方正黑体_GBK" w:hAnsi="方正黑体_GBK" w:eastAsia="方正黑体_GBK" w:cs="宋体"/>
                <w:b/>
                <w:sz w:val="18"/>
                <w:szCs w:val="18"/>
              </w:rPr>
              <w:t>C2份额：销售费年化0.15%</w:t>
            </w:r>
          </w:p>
          <w:p w14:paraId="2F27E080">
            <w:pPr>
              <w:spacing w:line="200" w:lineRule="exact"/>
            </w:pPr>
            <w:r>
              <w:rPr>
                <w:rFonts w:ascii="方正黑体_GBK" w:hAnsi="方正黑体_GBK" w:eastAsia="方正黑体_GBK" w:cs="宋体"/>
                <w:b/>
                <w:sz w:val="18"/>
                <w:szCs w:val="18"/>
              </w:rPr>
              <w:t>D2份额：销售费年化0.15%</w:t>
            </w:r>
          </w:p>
          <w:p w14:paraId="3203C20B">
            <w:pPr>
              <w:spacing w:line="200" w:lineRule="exact"/>
            </w:pPr>
            <w:r>
              <w:rPr>
                <w:rFonts w:ascii="方正黑体_GBK" w:hAnsi="方正黑体_GBK" w:eastAsia="方正黑体_GBK" w:cs="宋体"/>
                <w:b/>
                <w:sz w:val="18"/>
                <w:szCs w:val="18"/>
              </w:rPr>
              <w:t>E2份额：销售费年化0.05%</w:t>
            </w:r>
          </w:p>
          <w:p w14:paraId="703E925A">
            <w:pPr>
              <w:spacing w:line="200" w:lineRule="exact"/>
            </w:pPr>
            <w:r>
              <w:rPr>
                <w:rFonts w:ascii="方正黑体_GBK" w:hAnsi="方正黑体_GBK" w:eastAsia="方正黑体_GBK" w:cs="宋体"/>
                <w:b/>
                <w:sz w:val="18"/>
                <w:szCs w:val="18"/>
              </w:rPr>
              <w:t>B3份额：销售费年化0.2%</w:t>
            </w:r>
          </w:p>
          <w:p w14:paraId="71533718">
            <w:pPr>
              <w:spacing w:line="200" w:lineRule="exact"/>
            </w:pPr>
            <w:r>
              <w:rPr>
                <w:rFonts w:ascii="方正黑体_GBK" w:hAnsi="方正黑体_GBK" w:eastAsia="方正黑体_GBK" w:cs="宋体"/>
                <w:b/>
                <w:sz w:val="18"/>
                <w:szCs w:val="18"/>
              </w:rPr>
              <w:t>C3份额：销售费年化0.15%</w:t>
            </w:r>
          </w:p>
          <w:p w14:paraId="5106BA67">
            <w:pPr>
              <w:spacing w:line="200" w:lineRule="exact"/>
            </w:pPr>
            <w:r>
              <w:rPr>
                <w:rFonts w:ascii="方正黑体_GBK" w:hAnsi="方正黑体_GBK" w:eastAsia="方正黑体_GBK" w:cs="宋体"/>
                <w:b/>
                <w:sz w:val="18"/>
                <w:szCs w:val="18"/>
              </w:rPr>
              <w:t>D3份额：销售费年化0.15%</w:t>
            </w:r>
          </w:p>
          <w:p w14:paraId="168FBA03">
            <w:pPr>
              <w:spacing w:line="200" w:lineRule="exact"/>
            </w:pPr>
            <w:r>
              <w:rPr>
                <w:rFonts w:ascii="方正黑体_GBK" w:hAnsi="方正黑体_GBK" w:eastAsia="方正黑体_GBK" w:cs="宋体"/>
                <w:b/>
                <w:sz w:val="18"/>
                <w:szCs w:val="18"/>
              </w:rPr>
              <w:t>E3份额：销售费年化0.05%</w:t>
            </w:r>
          </w:p>
          <w:p w14:paraId="2099D899">
            <w:pPr>
              <w:spacing w:line="200" w:lineRule="exact"/>
            </w:pPr>
            <w:r>
              <w:rPr>
                <w:rFonts w:ascii="方正黑体_GBK" w:hAnsi="方正黑体_GBK" w:eastAsia="方正黑体_GBK" w:cs="宋体"/>
                <w:b/>
                <w:sz w:val="18"/>
                <w:szCs w:val="18"/>
              </w:rPr>
              <w:t>A4份额：销售费年化0.2%</w:t>
            </w:r>
          </w:p>
          <w:p w14:paraId="20F20B77">
            <w:pPr>
              <w:spacing w:line="200" w:lineRule="exact"/>
            </w:pPr>
            <w:r>
              <w:rPr>
                <w:rFonts w:ascii="方正黑体_GBK" w:hAnsi="方正黑体_GBK" w:eastAsia="方正黑体_GBK" w:cs="宋体"/>
                <w:b/>
                <w:sz w:val="18"/>
                <w:szCs w:val="18"/>
              </w:rPr>
              <w:t>B4份额：销售费年化0.2%</w:t>
            </w:r>
          </w:p>
          <w:p w14:paraId="0D4EDB27">
            <w:pPr>
              <w:spacing w:line="200" w:lineRule="exact"/>
            </w:pPr>
            <w:r>
              <w:rPr>
                <w:rFonts w:ascii="方正黑体_GBK" w:hAnsi="方正黑体_GBK" w:eastAsia="方正黑体_GBK" w:cs="宋体"/>
                <w:b/>
                <w:sz w:val="18"/>
                <w:szCs w:val="18"/>
              </w:rPr>
              <w:t>C4份额：销售费年化0.15%</w:t>
            </w:r>
          </w:p>
          <w:p w14:paraId="40E1B5A0">
            <w:pPr>
              <w:spacing w:line="200" w:lineRule="exact"/>
            </w:pPr>
            <w:r>
              <w:rPr>
                <w:rFonts w:ascii="方正黑体_GBK" w:hAnsi="方正黑体_GBK" w:eastAsia="方正黑体_GBK" w:cs="宋体"/>
                <w:b/>
                <w:sz w:val="18"/>
                <w:szCs w:val="18"/>
              </w:rPr>
              <w:t>D4份额：销售费年化0.15%</w:t>
            </w:r>
          </w:p>
          <w:p w14:paraId="28544575">
            <w:pPr>
              <w:spacing w:line="200" w:lineRule="exact"/>
            </w:pPr>
            <w:r>
              <w:rPr>
                <w:rFonts w:ascii="方正黑体_GBK" w:hAnsi="方正黑体_GBK" w:eastAsia="方正黑体_GBK" w:cs="宋体"/>
                <w:b/>
                <w:sz w:val="18"/>
                <w:szCs w:val="18"/>
              </w:rPr>
              <w:t>E4份额：销售费年化0.05%</w:t>
            </w:r>
          </w:p>
          <w:p w14:paraId="1A342076">
            <w:pPr>
              <w:spacing w:line="200" w:lineRule="exact"/>
            </w:pPr>
            <w:r>
              <w:rPr>
                <w:rFonts w:ascii="方正黑体_GBK" w:hAnsi="方正黑体_GBK" w:eastAsia="方正黑体_GBK" w:cs="宋体"/>
                <w:b/>
                <w:sz w:val="18"/>
                <w:szCs w:val="18"/>
              </w:rPr>
              <w:t>F2份额：销售费年化0.15%</w:t>
            </w:r>
          </w:p>
          <w:p w14:paraId="5783CCF0">
            <w:pPr>
              <w:spacing w:line="200" w:lineRule="exact"/>
            </w:pPr>
            <w:r>
              <w:rPr>
                <w:rFonts w:ascii="方正黑体_GBK" w:hAnsi="方正黑体_GBK" w:eastAsia="方正黑体_GBK" w:cs="宋体"/>
                <w:b/>
                <w:sz w:val="18"/>
                <w:szCs w:val="18"/>
              </w:rPr>
              <w:t>F3份额：销售费年化0.15%</w:t>
            </w:r>
          </w:p>
          <w:p w14:paraId="143F2DCE">
            <w:pPr>
              <w:spacing w:line="200" w:lineRule="exact"/>
            </w:pPr>
            <w:r>
              <w:rPr>
                <w:rFonts w:ascii="方正黑体_GBK" w:hAnsi="方正黑体_GBK" w:eastAsia="方正黑体_GBK" w:cs="宋体"/>
                <w:b/>
                <w:sz w:val="18"/>
                <w:szCs w:val="18"/>
              </w:rPr>
              <w:t>G2份额：销售费年化0.1%</w:t>
            </w:r>
          </w:p>
          <w:p w14:paraId="32B81069">
            <w:pPr>
              <w:spacing w:line="200" w:lineRule="exact"/>
            </w:pPr>
            <w:r>
              <w:rPr>
                <w:rFonts w:ascii="方正黑体_GBK" w:hAnsi="方正黑体_GBK" w:eastAsia="方正黑体_GBK" w:cs="宋体"/>
                <w:b/>
                <w:sz w:val="18"/>
                <w:szCs w:val="18"/>
              </w:rPr>
              <w:t>G3份额：销售费年化0.1%</w:t>
            </w:r>
          </w:p>
          <w:p w14:paraId="09FF97ED">
            <w:pPr>
              <w:spacing w:line="200" w:lineRule="exact"/>
            </w:pPr>
            <w:r>
              <w:rPr>
                <w:rFonts w:ascii="方正黑体_GBK" w:hAnsi="方正黑体_GBK" w:eastAsia="方正黑体_GBK" w:cs="宋体"/>
                <w:b/>
                <w:sz w:val="18"/>
                <w:szCs w:val="18"/>
              </w:rPr>
              <w:t>F4份额：销售费年化0.15%</w:t>
            </w:r>
          </w:p>
          <w:p w14:paraId="396FCE66">
            <w:pPr>
              <w:spacing w:line="200" w:lineRule="exact"/>
            </w:pPr>
            <w:r>
              <w:rPr>
                <w:rFonts w:ascii="方正黑体_GBK" w:hAnsi="方正黑体_GBK" w:eastAsia="方正黑体_GBK" w:cs="宋体"/>
                <w:b/>
                <w:sz w:val="18"/>
                <w:szCs w:val="18"/>
              </w:rPr>
              <w:t>G4份额：销售费年化0.1%</w:t>
            </w:r>
          </w:p>
          <w:p w14:paraId="5A409E72">
            <w:pPr>
              <w:spacing w:line="200" w:lineRule="exact"/>
            </w:pPr>
            <w:r>
              <w:rPr>
                <w:rFonts w:ascii="方正黑体_GBK" w:hAnsi="方正黑体_GBK" w:eastAsia="方正黑体_GBK" w:cs="宋体"/>
                <w:b/>
                <w:sz w:val="18"/>
                <w:szCs w:val="18"/>
              </w:rPr>
              <w:t>H2份额：销售费年化0.1%</w:t>
            </w:r>
          </w:p>
          <w:p w14:paraId="6CC6D27D">
            <w:pPr>
              <w:spacing w:line="200" w:lineRule="exact"/>
            </w:pPr>
            <w:r>
              <w:rPr>
                <w:rFonts w:ascii="方正黑体_GBK" w:hAnsi="方正黑体_GBK" w:eastAsia="方正黑体_GBK" w:cs="宋体"/>
                <w:b/>
                <w:sz w:val="18"/>
                <w:szCs w:val="18"/>
              </w:rPr>
              <w:t>J2份额：销售费年化0.25%</w:t>
            </w:r>
          </w:p>
          <w:p w14:paraId="09E883C8">
            <w:pPr>
              <w:spacing w:line="200" w:lineRule="exact"/>
            </w:pPr>
            <w:r>
              <w:rPr>
                <w:rFonts w:ascii="方正黑体_GBK" w:hAnsi="方正黑体_GBK" w:eastAsia="方正黑体_GBK" w:cs="宋体"/>
                <w:b/>
                <w:sz w:val="18"/>
                <w:szCs w:val="18"/>
              </w:rPr>
              <w:t>K2份额：销售费年化0.3%</w:t>
            </w:r>
          </w:p>
          <w:p w14:paraId="12E01E61">
            <w:pPr>
              <w:spacing w:line="200" w:lineRule="exact"/>
            </w:pPr>
            <w:r>
              <w:rPr>
                <w:rFonts w:ascii="方正黑体_GBK" w:hAnsi="方正黑体_GBK" w:eastAsia="方正黑体_GBK" w:cs="宋体"/>
                <w:b/>
                <w:sz w:val="18"/>
                <w:szCs w:val="18"/>
              </w:rPr>
              <w:t>J3份额：销售费年化0.25%</w:t>
            </w:r>
          </w:p>
          <w:p w14:paraId="3C74D82F">
            <w:pPr>
              <w:spacing w:line="200" w:lineRule="exact"/>
            </w:pPr>
            <w:r>
              <w:rPr>
                <w:rFonts w:ascii="方正黑体_GBK" w:hAnsi="方正黑体_GBK" w:eastAsia="方正黑体_GBK" w:cs="宋体"/>
                <w:b/>
                <w:sz w:val="18"/>
                <w:szCs w:val="18"/>
              </w:rPr>
              <w:t>K3份额：销售费年化0.3%</w:t>
            </w:r>
          </w:p>
          <w:p w14:paraId="351B70B2">
            <w:pPr>
              <w:spacing w:line="200" w:lineRule="exact"/>
            </w:pPr>
            <w:r>
              <w:rPr>
                <w:rFonts w:ascii="方正黑体_GBK" w:hAnsi="方正黑体_GBK" w:eastAsia="方正黑体_GBK" w:cs="宋体"/>
                <w:b/>
                <w:sz w:val="18"/>
                <w:szCs w:val="18"/>
              </w:rPr>
              <w:t>L3份额：销售费年化0.2%</w:t>
            </w:r>
          </w:p>
          <w:p w14:paraId="4D9D4F04">
            <w:pPr>
              <w:spacing w:line="200" w:lineRule="exact"/>
            </w:pPr>
            <w:r>
              <w:rPr>
                <w:rFonts w:ascii="方正黑体_GBK" w:hAnsi="方正黑体_GBK" w:eastAsia="方正黑体_GBK" w:cs="宋体"/>
                <w:b/>
                <w:sz w:val="18"/>
                <w:szCs w:val="18"/>
              </w:rPr>
              <w:t>J4份额：销售费年化0.25%</w:t>
            </w:r>
          </w:p>
          <w:p w14:paraId="2F8D39CE">
            <w:pPr>
              <w:spacing w:line="200" w:lineRule="exact"/>
            </w:pPr>
            <w:r>
              <w:rPr>
                <w:rFonts w:ascii="方正黑体_GBK" w:hAnsi="方正黑体_GBK" w:eastAsia="方正黑体_GBK" w:cs="宋体"/>
                <w:b/>
                <w:sz w:val="18"/>
                <w:szCs w:val="18"/>
              </w:rPr>
              <w:t>K4份额：销售费年化0.3%</w:t>
            </w:r>
          </w:p>
          <w:p w14:paraId="696339AE">
            <w:pPr>
              <w:spacing w:line="200" w:lineRule="exact"/>
            </w:pPr>
            <w:r>
              <w:rPr>
                <w:rFonts w:ascii="方正黑体_GBK" w:hAnsi="方正黑体_GBK" w:eastAsia="方正黑体_GBK" w:cs="宋体"/>
                <w:b/>
                <w:sz w:val="18"/>
                <w:szCs w:val="18"/>
              </w:rPr>
              <w:t>I3份额：销售费年化0.1%</w:t>
            </w:r>
          </w:p>
          <w:p w14:paraId="1FEFED67">
            <w:pPr>
              <w:spacing w:line="200" w:lineRule="exact"/>
            </w:pPr>
            <w:r>
              <w:rPr>
                <w:rFonts w:ascii="方正黑体_GBK" w:hAnsi="方正黑体_GBK" w:eastAsia="方正黑体_GBK" w:cs="宋体"/>
                <w:b/>
                <w:sz w:val="18"/>
                <w:szCs w:val="18"/>
              </w:rPr>
              <w:t>M2份额：销售费年化0.2%</w:t>
            </w:r>
          </w:p>
          <w:p w14:paraId="2D203EBB">
            <w:pPr>
              <w:spacing w:line="200" w:lineRule="exact"/>
            </w:pPr>
            <w:r>
              <w:rPr>
                <w:rFonts w:ascii="方正黑体_GBK" w:hAnsi="方正黑体_GBK" w:eastAsia="方正黑体_GBK" w:cs="宋体"/>
                <w:b/>
                <w:sz w:val="18"/>
                <w:szCs w:val="18"/>
              </w:rPr>
              <w:t>M3份额：销售费年化0.2%</w:t>
            </w:r>
          </w:p>
          <w:p w14:paraId="70CCEF18">
            <w:pPr>
              <w:spacing w:line="200" w:lineRule="exact"/>
            </w:pPr>
            <w:r>
              <w:rPr>
                <w:rFonts w:ascii="方正黑体_GBK" w:hAnsi="方正黑体_GBK" w:eastAsia="方正黑体_GBK" w:cs="宋体"/>
                <w:b/>
                <w:sz w:val="18"/>
                <w:szCs w:val="18"/>
              </w:rPr>
              <w:t>M4份额：销售费年化0.2%</w:t>
            </w:r>
          </w:p>
          <w:p w14:paraId="515D9F2A">
            <w:pPr>
              <w:spacing w:line="200" w:lineRule="exact"/>
            </w:pPr>
            <w:r>
              <w:rPr>
                <w:rFonts w:ascii="方正黑体_GBK" w:hAnsi="方正黑体_GBK" w:eastAsia="方正黑体_GBK" w:cs="宋体"/>
                <w:b/>
                <w:sz w:val="18"/>
                <w:szCs w:val="18"/>
              </w:rPr>
              <w:t>O2份额：销售费年化0.2%</w:t>
            </w:r>
          </w:p>
          <w:p w14:paraId="54B42C42">
            <w:pPr>
              <w:spacing w:line="200" w:lineRule="exact"/>
            </w:pPr>
            <w:r>
              <w:rPr>
                <w:rFonts w:ascii="方正黑体_GBK" w:hAnsi="方正黑体_GBK" w:eastAsia="方正黑体_GBK" w:cs="宋体"/>
                <w:b/>
                <w:sz w:val="18"/>
                <w:szCs w:val="18"/>
              </w:rPr>
              <w:t>O3份额：销售费年化0.2%</w:t>
            </w:r>
          </w:p>
          <w:p w14:paraId="643B3280">
            <w:pPr>
              <w:spacing w:line="200" w:lineRule="exact"/>
            </w:pPr>
            <w:r>
              <w:rPr>
                <w:rFonts w:ascii="方正黑体_GBK" w:hAnsi="方正黑体_GBK" w:eastAsia="方正黑体_GBK" w:cs="宋体"/>
                <w:b/>
                <w:sz w:val="18"/>
                <w:szCs w:val="18"/>
              </w:rPr>
              <w:t>O4份额：销售费年化0.2%</w:t>
            </w:r>
          </w:p>
          <w:p w14:paraId="35147B1A">
            <w:pPr>
              <w:spacing w:line="200" w:lineRule="exact"/>
            </w:pPr>
            <w:r>
              <w:rPr>
                <w:rFonts w:ascii="方正黑体_GBK" w:hAnsi="方正黑体_GBK" w:eastAsia="方正黑体_GBK" w:cs="宋体"/>
                <w:b/>
                <w:sz w:val="18"/>
                <w:szCs w:val="18"/>
              </w:rPr>
              <w:t>Q1份额：销售费年化0.2%</w:t>
            </w:r>
          </w:p>
          <w:p w14:paraId="0C86FA40">
            <w:pPr>
              <w:spacing w:line="200" w:lineRule="exact"/>
            </w:pPr>
            <w:r>
              <w:rPr>
                <w:rFonts w:ascii="方正黑体_GBK" w:hAnsi="方正黑体_GBK" w:eastAsia="方正黑体_GBK" w:cs="宋体"/>
                <w:b/>
                <w:sz w:val="18"/>
                <w:szCs w:val="18"/>
              </w:rPr>
              <w:t>R1份额：销售费年化0.05%</w:t>
            </w:r>
          </w:p>
          <w:p w14:paraId="4D79A8C1">
            <w:pPr>
              <w:spacing w:line="200" w:lineRule="exact"/>
            </w:pPr>
            <w:r>
              <w:rPr>
                <w:rFonts w:ascii="方正黑体_GBK" w:hAnsi="方正黑体_GBK" w:eastAsia="方正黑体_GBK" w:cs="宋体"/>
                <w:b/>
                <w:sz w:val="18"/>
                <w:szCs w:val="18"/>
              </w:rPr>
              <w:t>Q2份额：销售费年化0.2%</w:t>
            </w:r>
          </w:p>
          <w:p w14:paraId="2E8A6277">
            <w:pPr>
              <w:spacing w:line="200" w:lineRule="exact"/>
            </w:pPr>
            <w:r>
              <w:rPr>
                <w:rFonts w:ascii="方正黑体_GBK" w:hAnsi="方正黑体_GBK" w:eastAsia="方正黑体_GBK" w:cs="宋体"/>
                <w:b/>
                <w:sz w:val="18"/>
                <w:szCs w:val="18"/>
              </w:rPr>
              <w:t>R2份额：销售费年化0.05%</w:t>
            </w:r>
          </w:p>
          <w:p w14:paraId="30FC36B8">
            <w:pPr>
              <w:spacing w:line="200" w:lineRule="exact"/>
            </w:pPr>
            <w:r>
              <w:rPr>
                <w:rFonts w:ascii="方正黑体_GBK" w:hAnsi="方正黑体_GBK" w:eastAsia="方正黑体_GBK" w:cs="宋体"/>
                <w:b/>
                <w:sz w:val="18"/>
                <w:szCs w:val="18"/>
              </w:rPr>
              <w:t>Q3份额：销售费年化0.2%</w:t>
            </w:r>
          </w:p>
          <w:p w14:paraId="008E295B">
            <w:pPr>
              <w:spacing w:line="200" w:lineRule="exact"/>
            </w:pPr>
            <w:r>
              <w:rPr>
                <w:rFonts w:ascii="方正黑体_GBK" w:hAnsi="方正黑体_GBK" w:eastAsia="方正黑体_GBK" w:cs="宋体"/>
                <w:b/>
                <w:sz w:val="18"/>
                <w:szCs w:val="18"/>
              </w:rPr>
              <w:t>R3份额：销售费年化0.05%</w:t>
            </w:r>
          </w:p>
          <w:p w14:paraId="5D93AF2D">
            <w:pPr>
              <w:spacing w:line="200" w:lineRule="exact"/>
            </w:pPr>
            <w:r>
              <w:rPr>
                <w:rFonts w:ascii="方正黑体_GBK" w:hAnsi="方正黑体_GBK" w:eastAsia="方正黑体_GBK" w:cs="宋体"/>
                <w:b/>
                <w:sz w:val="18"/>
                <w:szCs w:val="18"/>
              </w:rPr>
              <w:t>Q4份额：销售费年化0.2%</w:t>
            </w:r>
          </w:p>
          <w:p w14:paraId="688CF2FD">
            <w:pPr>
              <w:spacing w:line="200" w:lineRule="exact"/>
            </w:pPr>
            <w:r>
              <w:rPr>
                <w:rFonts w:ascii="方正黑体_GBK" w:hAnsi="方正黑体_GBK" w:eastAsia="方正黑体_GBK" w:cs="宋体"/>
                <w:b/>
                <w:sz w:val="18"/>
                <w:szCs w:val="18"/>
              </w:rPr>
              <w:t>R4份额：销售费年化0.05%</w:t>
            </w:r>
          </w:p>
          <w:p w14:paraId="137C7800">
            <w:pPr>
              <w:spacing w:line="200" w:lineRule="exact"/>
            </w:pPr>
            <w:r>
              <w:rPr>
                <w:rFonts w:ascii="方正黑体_GBK" w:hAnsi="方正黑体_GBK" w:eastAsia="方正黑体_GBK" w:cs="宋体"/>
                <w:b/>
                <w:sz w:val="18"/>
                <w:szCs w:val="18"/>
              </w:rPr>
              <w:t>B1份额：销售费年化0.2%</w:t>
            </w:r>
          </w:p>
          <w:p w14:paraId="60B44793">
            <w:pPr>
              <w:spacing w:line="200" w:lineRule="exact"/>
            </w:pPr>
            <w:r>
              <w:rPr>
                <w:rFonts w:ascii="方正黑体_GBK" w:hAnsi="方正黑体_GBK" w:eastAsia="方正黑体_GBK" w:cs="宋体"/>
                <w:b/>
                <w:sz w:val="18"/>
                <w:szCs w:val="18"/>
              </w:rPr>
              <w:t>C1份额：销售费年化0.15%</w:t>
            </w:r>
          </w:p>
          <w:p w14:paraId="7A4ECF5C">
            <w:pPr>
              <w:spacing w:line="200" w:lineRule="exact"/>
            </w:pPr>
            <w:r>
              <w:rPr>
                <w:rFonts w:ascii="方正黑体_GBK" w:hAnsi="方正黑体_GBK" w:eastAsia="方正黑体_GBK" w:cs="宋体"/>
                <w:b/>
                <w:sz w:val="18"/>
                <w:szCs w:val="18"/>
              </w:rPr>
              <w:t>D1份额：销售费年化0.15%</w:t>
            </w:r>
          </w:p>
          <w:p w14:paraId="1548C403">
            <w:pPr>
              <w:spacing w:line="200" w:lineRule="exact"/>
            </w:pPr>
            <w:r>
              <w:rPr>
                <w:rFonts w:ascii="方正黑体_GBK" w:hAnsi="方正黑体_GBK" w:eastAsia="方正黑体_GBK" w:cs="宋体"/>
                <w:b/>
                <w:sz w:val="18"/>
                <w:szCs w:val="18"/>
              </w:rPr>
              <w:t>E1份额：销售费年化0.05%</w:t>
            </w:r>
          </w:p>
          <w:p w14:paraId="6A9A89E4">
            <w:pPr>
              <w:spacing w:line="200" w:lineRule="exact"/>
            </w:pPr>
            <w:r>
              <w:rPr>
                <w:rFonts w:ascii="方正黑体_GBK" w:hAnsi="方正黑体_GBK" w:eastAsia="方正黑体_GBK" w:cs="宋体"/>
                <w:b/>
                <w:sz w:val="18"/>
                <w:szCs w:val="18"/>
              </w:rPr>
              <w:t>F1份额：销售费年化0.15%</w:t>
            </w:r>
          </w:p>
          <w:p w14:paraId="6D83162A">
            <w:pPr>
              <w:spacing w:line="200" w:lineRule="exact"/>
            </w:pPr>
            <w:r>
              <w:rPr>
                <w:rFonts w:ascii="方正黑体_GBK" w:hAnsi="方正黑体_GBK" w:eastAsia="方正黑体_GBK" w:cs="宋体"/>
                <w:b/>
                <w:sz w:val="18"/>
                <w:szCs w:val="18"/>
              </w:rPr>
              <w:t>G1份额：销售费年化0.1%</w:t>
            </w:r>
          </w:p>
          <w:p w14:paraId="52A20825">
            <w:pPr>
              <w:spacing w:line="200" w:lineRule="exact"/>
            </w:pPr>
            <w:r>
              <w:rPr>
                <w:rFonts w:ascii="方正黑体_GBK" w:hAnsi="方正黑体_GBK" w:eastAsia="方正黑体_GBK" w:cs="宋体"/>
                <w:b/>
                <w:sz w:val="18"/>
                <w:szCs w:val="18"/>
              </w:rPr>
              <w:t>J1份额：销售费年化0.25%</w:t>
            </w:r>
          </w:p>
          <w:p w14:paraId="5AB1CE4E">
            <w:pPr>
              <w:spacing w:line="200" w:lineRule="exact"/>
            </w:pPr>
            <w:r>
              <w:rPr>
                <w:rFonts w:ascii="方正黑体_GBK" w:hAnsi="方正黑体_GBK" w:eastAsia="方正黑体_GBK" w:cs="宋体"/>
                <w:b/>
                <w:sz w:val="18"/>
                <w:szCs w:val="18"/>
              </w:rPr>
              <w:t>K1份额：销售费年化0.3%</w:t>
            </w:r>
          </w:p>
          <w:p w14:paraId="325892F9">
            <w:pPr>
              <w:spacing w:line="200" w:lineRule="exact"/>
            </w:pPr>
            <w:r>
              <w:rPr>
                <w:rFonts w:ascii="方正黑体_GBK" w:hAnsi="方正黑体_GBK" w:eastAsia="方正黑体_GBK" w:cs="宋体"/>
                <w:b/>
                <w:sz w:val="18"/>
                <w:szCs w:val="18"/>
              </w:rPr>
              <w:t>L1份额：销售费年化0.2%</w:t>
            </w:r>
          </w:p>
          <w:p w14:paraId="003C2606">
            <w:pPr>
              <w:spacing w:line="200" w:lineRule="exact"/>
            </w:pPr>
            <w:r>
              <w:rPr>
                <w:rFonts w:ascii="方正黑体_GBK" w:hAnsi="方正黑体_GBK" w:eastAsia="方正黑体_GBK" w:cs="宋体"/>
                <w:b/>
                <w:sz w:val="18"/>
                <w:szCs w:val="18"/>
              </w:rPr>
              <w:t>M1份额：销售费年化0.2%</w:t>
            </w:r>
          </w:p>
          <w:p w14:paraId="5E3A36CE">
            <w:pPr>
              <w:spacing w:line="200" w:lineRule="exact"/>
            </w:pPr>
            <w:r>
              <w:rPr>
                <w:rFonts w:ascii="方正黑体_GBK" w:hAnsi="方正黑体_GBK" w:eastAsia="方正黑体_GBK" w:cs="宋体"/>
                <w:b/>
                <w:sz w:val="18"/>
                <w:szCs w:val="18"/>
              </w:rPr>
              <w:t>N1份额：销售费年化0.05%</w:t>
            </w:r>
          </w:p>
          <w:p w14:paraId="126E0007">
            <w:pPr>
              <w:spacing w:line="200" w:lineRule="exact"/>
            </w:pPr>
            <w:r>
              <w:rPr>
                <w:rFonts w:ascii="方正黑体_GBK" w:hAnsi="方正黑体_GBK" w:eastAsia="方正黑体_GBK" w:cs="宋体"/>
                <w:b/>
                <w:sz w:val="18"/>
                <w:szCs w:val="18"/>
              </w:rPr>
              <w:t>O1份额：销售费年化0.2%</w:t>
            </w:r>
          </w:p>
          <w:p w14:paraId="17B6C026">
            <w:pPr>
              <w:spacing w:line="200" w:lineRule="exact"/>
            </w:pPr>
            <w:r>
              <w:rPr>
                <w:rFonts w:ascii="方正黑体_GBK" w:hAnsi="方正黑体_GBK" w:eastAsia="方正黑体_GBK" w:cs="宋体"/>
                <w:b/>
                <w:sz w:val="18"/>
                <w:szCs w:val="18"/>
              </w:rPr>
              <w:t>S1份额：销售费年化0.1%</w:t>
            </w:r>
          </w:p>
          <w:p w14:paraId="3336D69C">
            <w:pPr>
              <w:spacing w:line="200" w:lineRule="exact"/>
            </w:pPr>
            <w:r>
              <w:rPr>
                <w:rFonts w:ascii="方正黑体_GBK" w:hAnsi="方正黑体_GBK" w:eastAsia="方正黑体_GBK" w:cs="宋体"/>
                <w:b/>
                <w:sz w:val="18"/>
                <w:szCs w:val="18"/>
              </w:rPr>
              <w:t>S2份额：销售费年化0.1%</w:t>
            </w:r>
          </w:p>
          <w:p w14:paraId="638A4F31">
            <w:pPr>
              <w:spacing w:line="200" w:lineRule="exact"/>
            </w:pPr>
            <w:r>
              <w:rPr>
                <w:rFonts w:ascii="方正黑体_GBK" w:hAnsi="方正黑体_GBK" w:eastAsia="方正黑体_GBK" w:cs="宋体"/>
                <w:b/>
                <w:sz w:val="18"/>
                <w:szCs w:val="18"/>
              </w:rPr>
              <w:t>S3份额：销售费年化0.1%</w:t>
            </w:r>
          </w:p>
          <w:p w14:paraId="1DE3DD9E">
            <w:pPr>
              <w:spacing w:line="200" w:lineRule="exact"/>
            </w:pPr>
            <w:r>
              <w:rPr>
                <w:rFonts w:ascii="方正黑体_GBK" w:hAnsi="方正黑体_GBK" w:eastAsia="方正黑体_GBK" w:cs="宋体"/>
                <w:b/>
                <w:sz w:val="18"/>
                <w:szCs w:val="18"/>
              </w:rPr>
              <w:t>S4份额：销售费年化0.1%</w:t>
            </w:r>
          </w:p>
          <w:p w14:paraId="6CB8E5A7">
            <w:pPr>
              <w:spacing w:line="200" w:lineRule="exact"/>
            </w:pPr>
            <w:r>
              <w:rPr>
                <w:rFonts w:ascii="方正黑体_GBK" w:hAnsi="方正黑体_GBK" w:eastAsia="方正黑体_GBK" w:cs="宋体"/>
                <w:b/>
                <w:sz w:val="18"/>
                <w:szCs w:val="18"/>
              </w:rPr>
              <w:t>每日计提的销售费=前一日理财产品资产净值×年化销售费率÷365</w:t>
            </w:r>
          </w:p>
          <w:p w14:paraId="241F2D4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E4C6DB5">
            <w:pPr>
              <w:spacing w:line="200" w:lineRule="exact"/>
            </w:pPr>
            <w:r>
              <w:rPr>
                <w:rFonts w:ascii="方正黑体_GBK" w:hAnsi="方正黑体_GBK" w:eastAsia="方正黑体_GBK" w:cs="宋体"/>
                <w:b/>
                <w:sz w:val="18"/>
                <w:szCs w:val="18"/>
              </w:rPr>
              <w:t>A份额：固定管理费年化0.2%</w:t>
            </w:r>
          </w:p>
          <w:p w14:paraId="4AF8FDB7">
            <w:pPr>
              <w:spacing w:line="200" w:lineRule="exact"/>
            </w:pPr>
            <w:r>
              <w:rPr>
                <w:rFonts w:ascii="方正黑体_GBK" w:hAnsi="方正黑体_GBK" w:eastAsia="方正黑体_GBK" w:cs="宋体"/>
                <w:b/>
                <w:sz w:val="18"/>
                <w:szCs w:val="18"/>
              </w:rPr>
              <w:t>C份额：固定管理费年化0.2%</w:t>
            </w:r>
          </w:p>
          <w:p w14:paraId="2AF13316">
            <w:pPr>
              <w:spacing w:line="200" w:lineRule="exact"/>
            </w:pPr>
            <w:r>
              <w:rPr>
                <w:rFonts w:ascii="方正黑体_GBK" w:hAnsi="方正黑体_GBK" w:eastAsia="方正黑体_GBK" w:cs="宋体"/>
                <w:b/>
                <w:sz w:val="18"/>
                <w:szCs w:val="18"/>
              </w:rPr>
              <w:t>E份额：固定管理费年化0.2%</w:t>
            </w:r>
          </w:p>
          <w:p w14:paraId="1F17A258">
            <w:pPr>
              <w:spacing w:line="200" w:lineRule="exact"/>
            </w:pPr>
            <w:r>
              <w:rPr>
                <w:rFonts w:ascii="方正黑体_GBK" w:hAnsi="方正黑体_GBK" w:eastAsia="方正黑体_GBK" w:cs="宋体"/>
                <w:b/>
                <w:sz w:val="18"/>
                <w:szCs w:val="18"/>
              </w:rPr>
              <w:t>B2份额：固定管理费年化0.2%</w:t>
            </w:r>
          </w:p>
          <w:p w14:paraId="48A1F0E4">
            <w:pPr>
              <w:spacing w:line="200" w:lineRule="exact"/>
            </w:pPr>
            <w:r>
              <w:rPr>
                <w:rFonts w:ascii="方正黑体_GBK" w:hAnsi="方正黑体_GBK" w:eastAsia="方正黑体_GBK" w:cs="宋体"/>
                <w:b/>
                <w:sz w:val="18"/>
                <w:szCs w:val="18"/>
              </w:rPr>
              <w:t>C2份额：固定管理费年化0.2%</w:t>
            </w:r>
          </w:p>
          <w:p w14:paraId="521FC6A2">
            <w:pPr>
              <w:spacing w:line="200" w:lineRule="exact"/>
            </w:pPr>
            <w:r>
              <w:rPr>
                <w:rFonts w:ascii="方正黑体_GBK" w:hAnsi="方正黑体_GBK" w:eastAsia="方正黑体_GBK" w:cs="宋体"/>
                <w:b/>
                <w:sz w:val="18"/>
                <w:szCs w:val="18"/>
              </w:rPr>
              <w:t>D2份额：固定管理费年化0.15%</w:t>
            </w:r>
          </w:p>
          <w:p w14:paraId="2EB2598B">
            <w:pPr>
              <w:spacing w:line="200" w:lineRule="exact"/>
            </w:pPr>
            <w:r>
              <w:rPr>
                <w:rFonts w:ascii="方正黑体_GBK" w:hAnsi="方正黑体_GBK" w:eastAsia="方正黑体_GBK" w:cs="宋体"/>
                <w:b/>
                <w:sz w:val="18"/>
                <w:szCs w:val="18"/>
              </w:rPr>
              <w:t>E2份额：固定管理费年化0.15%</w:t>
            </w:r>
          </w:p>
          <w:p w14:paraId="7A690C2E">
            <w:pPr>
              <w:spacing w:line="200" w:lineRule="exact"/>
            </w:pPr>
            <w:r>
              <w:rPr>
                <w:rFonts w:ascii="方正黑体_GBK" w:hAnsi="方正黑体_GBK" w:eastAsia="方正黑体_GBK" w:cs="宋体"/>
                <w:b/>
                <w:sz w:val="18"/>
                <w:szCs w:val="18"/>
              </w:rPr>
              <w:t>B3份额：固定管理费年化0.2%</w:t>
            </w:r>
          </w:p>
          <w:p w14:paraId="25FF363D">
            <w:pPr>
              <w:spacing w:line="200" w:lineRule="exact"/>
            </w:pPr>
            <w:r>
              <w:rPr>
                <w:rFonts w:ascii="方正黑体_GBK" w:hAnsi="方正黑体_GBK" w:eastAsia="方正黑体_GBK" w:cs="宋体"/>
                <w:b/>
                <w:sz w:val="18"/>
                <w:szCs w:val="18"/>
              </w:rPr>
              <w:t>C3份额：固定管理费年化0.2%</w:t>
            </w:r>
          </w:p>
          <w:p w14:paraId="577BC2B6">
            <w:pPr>
              <w:spacing w:line="200" w:lineRule="exact"/>
            </w:pPr>
            <w:r>
              <w:rPr>
                <w:rFonts w:ascii="方正黑体_GBK" w:hAnsi="方正黑体_GBK" w:eastAsia="方正黑体_GBK" w:cs="宋体"/>
                <w:b/>
                <w:sz w:val="18"/>
                <w:szCs w:val="18"/>
              </w:rPr>
              <w:t>D3份额：固定管理费年化0.15%</w:t>
            </w:r>
          </w:p>
          <w:p w14:paraId="18A5337A">
            <w:pPr>
              <w:spacing w:line="200" w:lineRule="exact"/>
            </w:pPr>
            <w:r>
              <w:rPr>
                <w:rFonts w:ascii="方正黑体_GBK" w:hAnsi="方正黑体_GBK" w:eastAsia="方正黑体_GBK" w:cs="宋体"/>
                <w:b/>
                <w:sz w:val="18"/>
                <w:szCs w:val="18"/>
              </w:rPr>
              <w:t>E3份额：固定管理费年化0.15%</w:t>
            </w:r>
          </w:p>
          <w:p w14:paraId="437AB3DC">
            <w:pPr>
              <w:spacing w:line="200" w:lineRule="exact"/>
            </w:pPr>
            <w:r>
              <w:rPr>
                <w:rFonts w:ascii="方正黑体_GBK" w:hAnsi="方正黑体_GBK" w:eastAsia="方正黑体_GBK" w:cs="宋体"/>
                <w:b/>
                <w:sz w:val="18"/>
                <w:szCs w:val="18"/>
              </w:rPr>
              <w:t>A4份额：固定管理费年化0.2%</w:t>
            </w:r>
          </w:p>
          <w:p w14:paraId="7FEA9B3B">
            <w:pPr>
              <w:spacing w:line="200" w:lineRule="exact"/>
            </w:pPr>
            <w:r>
              <w:rPr>
                <w:rFonts w:ascii="方正黑体_GBK" w:hAnsi="方正黑体_GBK" w:eastAsia="方正黑体_GBK" w:cs="宋体"/>
                <w:b/>
                <w:sz w:val="18"/>
                <w:szCs w:val="18"/>
              </w:rPr>
              <w:t>B4份额：固定管理费年化0.2%</w:t>
            </w:r>
          </w:p>
          <w:p w14:paraId="2DDC546D">
            <w:pPr>
              <w:spacing w:line="200" w:lineRule="exact"/>
            </w:pPr>
            <w:r>
              <w:rPr>
                <w:rFonts w:ascii="方正黑体_GBK" w:hAnsi="方正黑体_GBK" w:eastAsia="方正黑体_GBK" w:cs="宋体"/>
                <w:b/>
                <w:sz w:val="18"/>
                <w:szCs w:val="18"/>
              </w:rPr>
              <w:t>C4份额：固定管理费年化0.2%</w:t>
            </w:r>
          </w:p>
          <w:p w14:paraId="64AB597B">
            <w:pPr>
              <w:spacing w:line="200" w:lineRule="exact"/>
            </w:pPr>
            <w:r>
              <w:rPr>
                <w:rFonts w:ascii="方正黑体_GBK" w:hAnsi="方正黑体_GBK" w:eastAsia="方正黑体_GBK" w:cs="宋体"/>
                <w:b/>
                <w:sz w:val="18"/>
                <w:szCs w:val="18"/>
              </w:rPr>
              <w:t>D4份额：固定管理费年化0.15%</w:t>
            </w:r>
          </w:p>
          <w:p w14:paraId="4CCF8401">
            <w:pPr>
              <w:spacing w:line="200" w:lineRule="exact"/>
            </w:pPr>
            <w:r>
              <w:rPr>
                <w:rFonts w:ascii="方正黑体_GBK" w:hAnsi="方正黑体_GBK" w:eastAsia="方正黑体_GBK" w:cs="宋体"/>
                <w:b/>
                <w:sz w:val="18"/>
                <w:szCs w:val="18"/>
              </w:rPr>
              <w:t>E4份额：固定管理费年化0.15%</w:t>
            </w:r>
          </w:p>
          <w:p w14:paraId="4FAF0581">
            <w:pPr>
              <w:spacing w:line="200" w:lineRule="exact"/>
            </w:pPr>
            <w:r>
              <w:rPr>
                <w:rFonts w:ascii="方正黑体_GBK" w:hAnsi="方正黑体_GBK" w:eastAsia="方正黑体_GBK" w:cs="宋体"/>
                <w:b/>
                <w:sz w:val="18"/>
                <w:szCs w:val="18"/>
              </w:rPr>
              <w:t>F2份额：固定管理费年化0.15%</w:t>
            </w:r>
          </w:p>
          <w:p w14:paraId="39D49D6A">
            <w:pPr>
              <w:spacing w:line="200" w:lineRule="exact"/>
            </w:pPr>
            <w:r>
              <w:rPr>
                <w:rFonts w:ascii="方正黑体_GBK" w:hAnsi="方正黑体_GBK" w:eastAsia="方正黑体_GBK" w:cs="宋体"/>
                <w:b/>
                <w:sz w:val="18"/>
                <w:szCs w:val="18"/>
              </w:rPr>
              <w:t>F3份额：固定管理费年化0.15%</w:t>
            </w:r>
          </w:p>
          <w:p w14:paraId="2B7565F5">
            <w:pPr>
              <w:spacing w:line="200" w:lineRule="exact"/>
            </w:pPr>
            <w:r>
              <w:rPr>
                <w:rFonts w:ascii="方正黑体_GBK" w:hAnsi="方正黑体_GBK" w:eastAsia="方正黑体_GBK" w:cs="宋体"/>
                <w:b/>
                <w:sz w:val="18"/>
                <w:szCs w:val="18"/>
              </w:rPr>
              <w:t>G2份额：固定管理费年化0.15%</w:t>
            </w:r>
          </w:p>
          <w:p w14:paraId="498C942C">
            <w:pPr>
              <w:spacing w:line="200" w:lineRule="exact"/>
            </w:pPr>
            <w:r>
              <w:rPr>
                <w:rFonts w:ascii="方正黑体_GBK" w:hAnsi="方正黑体_GBK" w:eastAsia="方正黑体_GBK" w:cs="宋体"/>
                <w:b/>
                <w:sz w:val="18"/>
                <w:szCs w:val="18"/>
              </w:rPr>
              <w:t>G3份额：固定管理费年化0.15%</w:t>
            </w:r>
          </w:p>
          <w:p w14:paraId="3601B9CB">
            <w:pPr>
              <w:spacing w:line="200" w:lineRule="exact"/>
            </w:pPr>
            <w:r>
              <w:rPr>
                <w:rFonts w:ascii="方正黑体_GBK" w:hAnsi="方正黑体_GBK" w:eastAsia="方正黑体_GBK" w:cs="宋体"/>
                <w:b/>
                <w:sz w:val="18"/>
                <w:szCs w:val="18"/>
              </w:rPr>
              <w:t>F4份额：固定管理费年化0.15%</w:t>
            </w:r>
          </w:p>
          <w:p w14:paraId="3D1038B9">
            <w:pPr>
              <w:spacing w:line="200" w:lineRule="exact"/>
            </w:pPr>
            <w:r>
              <w:rPr>
                <w:rFonts w:ascii="方正黑体_GBK" w:hAnsi="方正黑体_GBK" w:eastAsia="方正黑体_GBK" w:cs="宋体"/>
                <w:b/>
                <w:sz w:val="18"/>
                <w:szCs w:val="18"/>
              </w:rPr>
              <w:t>G4份额：固定管理费年化0.15%</w:t>
            </w:r>
          </w:p>
          <w:p w14:paraId="304FC74B">
            <w:pPr>
              <w:spacing w:line="200" w:lineRule="exact"/>
            </w:pPr>
            <w:r>
              <w:rPr>
                <w:rFonts w:ascii="方正黑体_GBK" w:hAnsi="方正黑体_GBK" w:eastAsia="方正黑体_GBK" w:cs="宋体"/>
                <w:b/>
                <w:sz w:val="18"/>
                <w:szCs w:val="18"/>
              </w:rPr>
              <w:t>H2份额：固定管理费年化0.1%</w:t>
            </w:r>
          </w:p>
          <w:p w14:paraId="13721A9F">
            <w:pPr>
              <w:spacing w:line="200" w:lineRule="exact"/>
            </w:pPr>
            <w:r>
              <w:rPr>
                <w:rFonts w:ascii="方正黑体_GBK" w:hAnsi="方正黑体_GBK" w:eastAsia="方正黑体_GBK" w:cs="宋体"/>
                <w:b/>
                <w:sz w:val="18"/>
                <w:szCs w:val="18"/>
              </w:rPr>
              <w:t>J2份额：固定管理费年化0.1%</w:t>
            </w:r>
          </w:p>
          <w:p w14:paraId="0AE0D26A">
            <w:pPr>
              <w:spacing w:line="200" w:lineRule="exact"/>
            </w:pPr>
            <w:r>
              <w:rPr>
                <w:rFonts w:ascii="方正黑体_GBK" w:hAnsi="方正黑体_GBK" w:eastAsia="方正黑体_GBK" w:cs="宋体"/>
                <w:b/>
                <w:sz w:val="18"/>
                <w:szCs w:val="18"/>
              </w:rPr>
              <w:t>K2份额：固定管理费年化0.1%</w:t>
            </w:r>
          </w:p>
          <w:p w14:paraId="7EF0626B">
            <w:pPr>
              <w:spacing w:line="200" w:lineRule="exact"/>
            </w:pPr>
            <w:r>
              <w:rPr>
                <w:rFonts w:ascii="方正黑体_GBK" w:hAnsi="方正黑体_GBK" w:eastAsia="方正黑体_GBK" w:cs="宋体"/>
                <w:b/>
                <w:sz w:val="18"/>
                <w:szCs w:val="18"/>
              </w:rPr>
              <w:t>J3份额：固定管理费年化0.1%</w:t>
            </w:r>
          </w:p>
          <w:p w14:paraId="1C65B941">
            <w:pPr>
              <w:spacing w:line="200" w:lineRule="exact"/>
            </w:pPr>
            <w:r>
              <w:rPr>
                <w:rFonts w:ascii="方正黑体_GBK" w:hAnsi="方正黑体_GBK" w:eastAsia="方正黑体_GBK" w:cs="宋体"/>
                <w:b/>
                <w:sz w:val="18"/>
                <w:szCs w:val="18"/>
              </w:rPr>
              <w:t>K3份额：固定管理费年化0.1%</w:t>
            </w:r>
          </w:p>
          <w:p w14:paraId="2D96D077">
            <w:pPr>
              <w:spacing w:line="200" w:lineRule="exact"/>
            </w:pPr>
            <w:r>
              <w:rPr>
                <w:rFonts w:ascii="方正黑体_GBK" w:hAnsi="方正黑体_GBK" w:eastAsia="方正黑体_GBK" w:cs="宋体"/>
                <w:b/>
                <w:sz w:val="18"/>
                <w:szCs w:val="18"/>
              </w:rPr>
              <w:t>L3份额：固定管理费年化0.1%</w:t>
            </w:r>
          </w:p>
          <w:p w14:paraId="3DFEF402">
            <w:pPr>
              <w:spacing w:line="200" w:lineRule="exact"/>
            </w:pPr>
            <w:r>
              <w:rPr>
                <w:rFonts w:ascii="方正黑体_GBK" w:hAnsi="方正黑体_GBK" w:eastAsia="方正黑体_GBK" w:cs="宋体"/>
                <w:b/>
                <w:sz w:val="18"/>
                <w:szCs w:val="18"/>
              </w:rPr>
              <w:t>J4份额：固定管理费年化0.1%</w:t>
            </w:r>
          </w:p>
          <w:p w14:paraId="7047570C">
            <w:pPr>
              <w:spacing w:line="200" w:lineRule="exact"/>
            </w:pPr>
            <w:r>
              <w:rPr>
                <w:rFonts w:ascii="方正黑体_GBK" w:hAnsi="方正黑体_GBK" w:eastAsia="方正黑体_GBK" w:cs="宋体"/>
                <w:b/>
                <w:sz w:val="18"/>
                <w:szCs w:val="18"/>
              </w:rPr>
              <w:t>K4份额：固定管理费年化0.1%</w:t>
            </w:r>
          </w:p>
          <w:p w14:paraId="2FDD6361">
            <w:pPr>
              <w:spacing w:line="200" w:lineRule="exact"/>
            </w:pPr>
            <w:r>
              <w:rPr>
                <w:rFonts w:ascii="方正黑体_GBK" w:hAnsi="方正黑体_GBK" w:eastAsia="方正黑体_GBK" w:cs="宋体"/>
                <w:b/>
                <w:sz w:val="18"/>
                <w:szCs w:val="18"/>
              </w:rPr>
              <w:t>I3份额：固定管理费年化0.1%</w:t>
            </w:r>
          </w:p>
          <w:p w14:paraId="242C0EEC">
            <w:pPr>
              <w:spacing w:line="200" w:lineRule="exact"/>
            </w:pPr>
            <w:r>
              <w:rPr>
                <w:rFonts w:ascii="方正黑体_GBK" w:hAnsi="方正黑体_GBK" w:eastAsia="方正黑体_GBK" w:cs="宋体"/>
                <w:b/>
                <w:sz w:val="18"/>
                <w:szCs w:val="18"/>
              </w:rPr>
              <w:t>M2份额：固定管理费年化0.2%</w:t>
            </w:r>
          </w:p>
          <w:p w14:paraId="202806BE">
            <w:pPr>
              <w:spacing w:line="200" w:lineRule="exact"/>
            </w:pPr>
            <w:r>
              <w:rPr>
                <w:rFonts w:ascii="方正黑体_GBK" w:hAnsi="方正黑体_GBK" w:eastAsia="方正黑体_GBK" w:cs="宋体"/>
                <w:b/>
                <w:sz w:val="18"/>
                <w:szCs w:val="18"/>
              </w:rPr>
              <w:t>M3份额：固定管理费年化0.2%</w:t>
            </w:r>
          </w:p>
          <w:p w14:paraId="089AAA16">
            <w:pPr>
              <w:spacing w:line="200" w:lineRule="exact"/>
            </w:pPr>
            <w:r>
              <w:rPr>
                <w:rFonts w:ascii="方正黑体_GBK" w:hAnsi="方正黑体_GBK" w:eastAsia="方正黑体_GBK" w:cs="宋体"/>
                <w:b/>
                <w:sz w:val="18"/>
                <w:szCs w:val="18"/>
              </w:rPr>
              <w:t>M4份额：固定管理费年化0.2%</w:t>
            </w:r>
          </w:p>
          <w:p w14:paraId="6E618397">
            <w:pPr>
              <w:spacing w:line="200" w:lineRule="exact"/>
            </w:pPr>
            <w:r>
              <w:rPr>
                <w:rFonts w:ascii="方正黑体_GBK" w:hAnsi="方正黑体_GBK" w:eastAsia="方正黑体_GBK" w:cs="宋体"/>
                <w:b/>
                <w:sz w:val="18"/>
                <w:szCs w:val="18"/>
              </w:rPr>
              <w:t>O2份额：固定管理费年化0.1%</w:t>
            </w:r>
          </w:p>
          <w:p w14:paraId="4B371D65">
            <w:pPr>
              <w:spacing w:line="200" w:lineRule="exact"/>
            </w:pPr>
            <w:r>
              <w:rPr>
                <w:rFonts w:ascii="方正黑体_GBK" w:hAnsi="方正黑体_GBK" w:eastAsia="方正黑体_GBK" w:cs="宋体"/>
                <w:b/>
                <w:sz w:val="18"/>
                <w:szCs w:val="18"/>
              </w:rPr>
              <w:t>O3份额：固定管理费年化0.1%</w:t>
            </w:r>
          </w:p>
          <w:p w14:paraId="5E8E07AE">
            <w:pPr>
              <w:spacing w:line="200" w:lineRule="exact"/>
            </w:pPr>
            <w:r>
              <w:rPr>
                <w:rFonts w:ascii="方正黑体_GBK" w:hAnsi="方正黑体_GBK" w:eastAsia="方正黑体_GBK" w:cs="宋体"/>
                <w:b/>
                <w:sz w:val="18"/>
                <w:szCs w:val="18"/>
              </w:rPr>
              <w:t>O4份额：固定管理费年化0.1%</w:t>
            </w:r>
          </w:p>
          <w:p w14:paraId="713DB8DE">
            <w:pPr>
              <w:spacing w:line="200" w:lineRule="exact"/>
            </w:pPr>
            <w:r>
              <w:rPr>
                <w:rFonts w:ascii="方正黑体_GBK" w:hAnsi="方正黑体_GBK" w:eastAsia="方正黑体_GBK" w:cs="宋体"/>
                <w:b/>
                <w:sz w:val="18"/>
                <w:szCs w:val="18"/>
              </w:rPr>
              <w:t>Q1份额：固定管理费年化0.2%</w:t>
            </w:r>
          </w:p>
          <w:p w14:paraId="65CD30E9">
            <w:pPr>
              <w:spacing w:line="200" w:lineRule="exact"/>
            </w:pPr>
            <w:r>
              <w:rPr>
                <w:rFonts w:ascii="方正黑体_GBK" w:hAnsi="方正黑体_GBK" w:eastAsia="方正黑体_GBK" w:cs="宋体"/>
                <w:b/>
                <w:sz w:val="18"/>
                <w:szCs w:val="18"/>
              </w:rPr>
              <w:t>R1份额：固定管理费年化0.15%</w:t>
            </w:r>
          </w:p>
          <w:p w14:paraId="7AFC8E61">
            <w:pPr>
              <w:spacing w:line="200" w:lineRule="exact"/>
            </w:pPr>
            <w:r>
              <w:rPr>
                <w:rFonts w:ascii="方正黑体_GBK" w:hAnsi="方正黑体_GBK" w:eastAsia="方正黑体_GBK" w:cs="宋体"/>
                <w:b/>
                <w:sz w:val="18"/>
                <w:szCs w:val="18"/>
              </w:rPr>
              <w:t>Q2份额：固定管理费年化0.2%</w:t>
            </w:r>
          </w:p>
          <w:p w14:paraId="32D06365">
            <w:pPr>
              <w:spacing w:line="200" w:lineRule="exact"/>
            </w:pPr>
            <w:r>
              <w:rPr>
                <w:rFonts w:ascii="方正黑体_GBK" w:hAnsi="方正黑体_GBK" w:eastAsia="方正黑体_GBK" w:cs="宋体"/>
                <w:b/>
                <w:sz w:val="18"/>
                <w:szCs w:val="18"/>
              </w:rPr>
              <w:t>R2份额：固定管理费年化0.15%</w:t>
            </w:r>
          </w:p>
          <w:p w14:paraId="6ED2427F">
            <w:pPr>
              <w:spacing w:line="200" w:lineRule="exact"/>
            </w:pPr>
            <w:r>
              <w:rPr>
                <w:rFonts w:ascii="方正黑体_GBK" w:hAnsi="方正黑体_GBK" w:eastAsia="方正黑体_GBK" w:cs="宋体"/>
                <w:b/>
                <w:sz w:val="18"/>
                <w:szCs w:val="18"/>
              </w:rPr>
              <w:t>Q3份额：固定管理费年化0.2%</w:t>
            </w:r>
          </w:p>
          <w:p w14:paraId="1E6E18F2">
            <w:pPr>
              <w:spacing w:line="200" w:lineRule="exact"/>
            </w:pPr>
            <w:r>
              <w:rPr>
                <w:rFonts w:ascii="方正黑体_GBK" w:hAnsi="方正黑体_GBK" w:eastAsia="方正黑体_GBK" w:cs="宋体"/>
                <w:b/>
                <w:sz w:val="18"/>
                <w:szCs w:val="18"/>
              </w:rPr>
              <w:t>R3份额：固定管理费年化0.15%</w:t>
            </w:r>
          </w:p>
          <w:p w14:paraId="05D86B00">
            <w:pPr>
              <w:spacing w:line="200" w:lineRule="exact"/>
            </w:pPr>
            <w:r>
              <w:rPr>
                <w:rFonts w:ascii="方正黑体_GBK" w:hAnsi="方正黑体_GBK" w:eastAsia="方正黑体_GBK" w:cs="宋体"/>
                <w:b/>
                <w:sz w:val="18"/>
                <w:szCs w:val="18"/>
              </w:rPr>
              <w:t>Q4份额：固定管理费年化0.2%</w:t>
            </w:r>
          </w:p>
          <w:p w14:paraId="235D7BEE">
            <w:pPr>
              <w:spacing w:line="200" w:lineRule="exact"/>
            </w:pPr>
            <w:r>
              <w:rPr>
                <w:rFonts w:ascii="方正黑体_GBK" w:hAnsi="方正黑体_GBK" w:eastAsia="方正黑体_GBK" w:cs="宋体"/>
                <w:b/>
                <w:sz w:val="18"/>
                <w:szCs w:val="18"/>
              </w:rPr>
              <w:t>R4份额：固定管理费年化0.15%</w:t>
            </w:r>
          </w:p>
          <w:p w14:paraId="6276BB4C">
            <w:pPr>
              <w:spacing w:line="200" w:lineRule="exact"/>
            </w:pPr>
            <w:r>
              <w:rPr>
                <w:rFonts w:ascii="方正黑体_GBK" w:hAnsi="方正黑体_GBK" w:eastAsia="方正黑体_GBK" w:cs="宋体"/>
                <w:b/>
                <w:sz w:val="18"/>
                <w:szCs w:val="18"/>
              </w:rPr>
              <w:t>B1份额：固定管理费年化0.2%</w:t>
            </w:r>
          </w:p>
          <w:p w14:paraId="3CDDF961">
            <w:pPr>
              <w:spacing w:line="200" w:lineRule="exact"/>
            </w:pPr>
            <w:r>
              <w:rPr>
                <w:rFonts w:ascii="方正黑体_GBK" w:hAnsi="方正黑体_GBK" w:eastAsia="方正黑体_GBK" w:cs="宋体"/>
                <w:b/>
                <w:sz w:val="18"/>
                <w:szCs w:val="18"/>
              </w:rPr>
              <w:t>C1份额：固定管理费年化0.2%</w:t>
            </w:r>
          </w:p>
          <w:p w14:paraId="48AF85B6">
            <w:pPr>
              <w:spacing w:line="200" w:lineRule="exact"/>
            </w:pPr>
            <w:r>
              <w:rPr>
                <w:rFonts w:ascii="方正黑体_GBK" w:hAnsi="方正黑体_GBK" w:eastAsia="方正黑体_GBK" w:cs="宋体"/>
                <w:b/>
                <w:sz w:val="18"/>
                <w:szCs w:val="18"/>
              </w:rPr>
              <w:t>D1份额：固定管理费年化0.15%</w:t>
            </w:r>
          </w:p>
          <w:p w14:paraId="39849A02">
            <w:pPr>
              <w:spacing w:line="200" w:lineRule="exact"/>
            </w:pPr>
            <w:r>
              <w:rPr>
                <w:rFonts w:ascii="方正黑体_GBK" w:hAnsi="方正黑体_GBK" w:eastAsia="方正黑体_GBK" w:cs="宋体"/>
                <w:b/>
                <w:sz w:val="18"/>
                <w:szCs w:val="18"/>
              </w:rPr>
              <w:t>E1份额：固定管理费年化0.15%</w:t>
            </w:r>
          </w:p>
          <w:p w14:paraId="2E6BEA5B">
            <w:pPr>
              <w:spacing w:line="200" w:lineRule="exact"/>
            </w:pPr>
            <w:r>
              <w:rPr>
                <w:rFonts w:ascii="方正黑体_GBK" w:hAnsi="方正黑体_GBK" w:eastAsia="方正黑体_GBK" w:cs="宋体"/>
                <w:b/>
                <w:sz w:val="18"/>
                <w:szCs w:val="18"/>
              </w:rPr>
              <w:t>F1份额：固定管理费年化0.15%</w:t>
            </w:r>
          </w:p>
          <w:p w14:paraId="2C332627">
            <w:pPr>
              <w:spacing w:line="200" w:lineRule="exact"/>
            </w:pPr>
            <w:r>
              <w:rPr>
                <w:rFonts w:ascii="方正黑体_GBK" w:hAnsi="方正黑体_GBK" w:eastAsia="方正黑体_GBK" w:cs="宋体"/>
                <w:b/>
                <w:sz w:val="18"/>
                <w:szCs w:val="18"/>
              </w:rPr>
              <w:t>G1份额：固定管理费年化0.15%</w:t>
            </w:r>
          </w:p>
          <w:p w14:paraId="38E9696A">
            <w:pPr>
              <w:spacing w:line="200" w:lineRule="exact"/>
            </w:pPr>
            <w:r>
              <w:rPr>
                <w:rFonts w:ascii="方正黑体_GBK" w:hAnsi="方正黑体_GBK" w:eastAsia="方正黑体_GBK" w:cs="宋体"/>
                <w:b/>
                <w:sz w:val="18"/>
                <w:szCs w:val="18"/>
              </w:rPr>
              <w:t>J1份额：固定管理费年化0.1%</w:t>
            </w:r>
          </w:p>
          <w:p w14:paraId="26DD7F6B">
            <w:pPr>
              <w:spacing w:line="200" w:lineRule="exact"/>
            </w:pPr>
            <w:r>
              <w:rPr>
                <w:rFonts w:ascii="方正黑体_GBK" w:hAnsi="方正黑体_GBK" w:eastAsia="方正黑体_GBK" w:cs="宋体"/>
                <w:b/>
                <w:sz w:val="18"/>
                <w:szCs w:val="18"/>
              </w:rPr>
              <w:t>K1份额：固定管理费年化0.1%</w:t>
            </w:r>
          </w:p>
          <w:p w14:paraId="2F9014BE">
            <w:pPr>
              <w:spacing w:line="200" w:lineRule="exact"/>
            </w:pPr>
            <w:r>
              <w:rPr>
                <w:rFonts w:ascii="方正黑体_GBK" w:hAnsi="方正黑体_GBK" w:eastAsia="方正黑体_GBK" w:cs="宋体"/>
                <w:b/>
                <w:sz w:val="18"/>
                <w:szCs w:val="18"/>
              </w:rPr>
              <w:t>L1份额：固定管理费年化0.1%</w:t>
            </w:r>
          </w:p>
          <w:p w14:paraId="5F639465">
            <w:pPr>
              <w:spacing w:line="200" w:lineRule="exact"/>
            </w:pPr>
            <w:r>
              <w:rPr>
                <w:rFonts w:ascii="方正黑体_GBK" w:hAnsi="方正黑体_GBK" w:eastAsia="方正黑体_GBK" w:cs="宋体"/>
                <w:b/>
                <w:sz w:val="18"/>
                <w:szCs w:val="18"/>
              </w:rPr>
              <w:t>M1份额：固定管理费年化0.2%</w:t>
            </w:r>
          </w:p>
          <w:p w14:paraId="4374B33C">
            <w:pPr>
              <w:spacing w:line="200" w:lineRule="exact"/>
            </w:pPr>
            <w:r>
              <w:rPr>
                <w:rFonts w:ascii="方正黑体_GBK" w:hAnsi="方正黑体_GBK" w:eastAsia="方正黑体_GBK" w:cs="宋体"/>
                <w:b/>
                <w:sz w:val="18"/>
                <w:szCs w:val="18"/>
              </w:rPr>
              <w:t>N1份额：固定管理费年化0.1%</w:t>
            </w:r>
          </w:p>
          <w:p w14:paraId="72DB2D0E">
            <w:pPr>
              <w:spacing w:line="200" w:lineRule="exact"/>
            </w:pPr>
            <w:r>
              <w:rPr>
                <w:rFonts w:ascii="方正黑体_GBK" w:hAnsi="方正黑体_GBK" w:eastAsia="方正黑体_GBK" w:cs="宋体"/>
                <w:b/>
                <w:sz w:val="18"/>
                <w:szCs w:val="18"/>
              </w:rPr>
              <w:t>O1份额：固定管理费年化0.1%</w:t>
            </w:r>
          </w:p>
          <w:p w14:paraId="497651AC">
            <w:pPr>
              <w:spacing w:line="200" w:lineRule="exact"/>
            </w:pPr>
            <w:r>
              <w:rPr>
                <w:rFonts w:ascii="方正黑体_GBK" w:hAnsi="方正黑体_GBK" w:eastAsia="方正黑体_GBK" w:cs="宋体"/>
                <w:b/>
                <w:sz w:val="18"/>
                <w:szCs w:val="18"/>
              </w:rPr>
              <w:t>S1份额：固定管理费年化0.15%</w:t>
            </w:r>
          </w:p>
          <w:p w14:paraId="1AA38CF7">
            <w:pPr>
              <w:spacing w:line="200" w:lineRule="exact"/>
            </w:pPr>
            <w:r>
              <w:rPr>
                <w:rFonts w:ascii="方正黑体_GBK" w:hAnsi="方正黑体_GBK" w:eastAsia="方正黑体_GBK" w:cs="宋体"/>
                <w:b/>
                <w:sz w:val="18"/>
                <w:szCs w:val="18"/>
              </w:rPr>
              <w:t>S2份额：固定管理费年化0.15%</w:t>
            </w:r>
          </w:p>
          <w:p w14:paraId="1424CEE4">
            <w:pPr>
              <w:spacing w:line="200" w:lineRule="exact"/>
            </w:pPr>
            <w:r>
              <w:rPr>
                <w:rFonts w:ascii="方正黑体_GBK" w:hAnsi="方正黑体_GBK" w:eastAsia="方正黑体_GBK" w:cs="宋体"/>
                <w:b/>
                <w:sz w:val="18"/>
                <w:szCs w:val="18"/>
              </w:rPr>
              <w:t>S3份额：固定管理费年化0.15%</w:t>
            </w:r>
          </w:p>
          <w:p w14:paraId="74D3663E">
            <w:pPr>
              <w:spacing w:line="200" w:lineRule="exact"/>
            </w:pPr>
            <w:r>
              <w:rPr>
                <w:rFonts w:ascii="方正黑体_GBK" w:hAnsi="方正黑体_GBK" w:eastAsia="方正黑体_GBK" w:cs="宋体"/>
                <w:b/>
                <w:sz w:val="18"/>
                <w:szCs w:val="18"/>
              </w:rPr>
              <w:t>S4份额：固定管理费年化0.15%</w:t>
            </w:r>
          </w:p>
          <w:p w14:paraId="481F8B0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D1BB302">
            <w:pPr>
              <w:spacing w:line="200" w:lineRule="exact"/>
            </w:pPr>
            <w:r>
              <w:rPr>
                <w:rFonts w:ascii="方正黑体_GBK" w:hAnsi="方正黑体_GBK" w:eastAsia="方正黑体_GBK" w:cs="宋体"/>
                <w:b/>
                <w:sz w:val="18"/>
                <w:szCs w:val="18"/>
              </w:rPr>
              <w:t>托管费：</w:t>
            </w:r>
          </w:p>
          <w:p w14:paraId="04C885F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0ABD84E">
            <w:pPr>
              <w:spacing w:line="200" w:lineRule="exact"/>
            </w:pPr>
            <w:r>
              <w:rPr>
                <w:rFonts w:ascii="方正黑体_GBK" w:hAnsi="方正黑体_GBK" w:eastAsia="方正黑体_GBK" w:cs="宋体"/>
                <w:b/>
                <w:sz w:val="18"/>
                <w:szCs w:val="18"/>
              </w:rPr>
              <w:t>每日计提的托管费=前一日理财产品资产净值×年化托管费率÷365</w:t>
            </w:r>
          </w:p>
          <w:p w14:paraId="37554E34">
            <w:pPr>
              <w:spacing w:line="200" w:lineRule="exact"/>
            </w:pPr>
            <w:r>
              <w:rPr>
                <w:rFonts w:ascii="方正黑体_GBK" w:hAnsi="方正黑体_GBK" w:eastAsia="方正黑体_GBK" w:cs="宋体"/>
                <w:b/>
                <w:sz w:val="18"/>
                <w:szCs w:val="18"/>
              </w:rPr>
              <w:t>业绩报酬：</w:t>
            </w:r>
          </w:p>
          <w:p w14:paraId="52F2D925">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70299C6">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17207A7">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4CDFC5FE">
            <w:pPr>
              <w:spacing w:line="200" w:lineRule="exact"/>
            </w:pPr>
            <w:r>
              <w:rPr>
                <w:rFonts w:ascii="方正黑体_GBK" w:hAnsi="方正黑体_GBK" w:eastAsia="方正黑体_GBK" w:cs="宋体"/>
                <w:b/>
                <w:sz w:val="18"/>
                <w:szCs w:val="18"/>
              </w:rPr>
              <w:t>B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5D3DA4D0">
            <w:pPr>
              <w:spacing w:line="200" w:lineRule="exact"/>
            </w:pPr>
            <w:r>
              <w:rPr>
                <w:rFonts w:ascii="方正黑体_GBK" w:hAnsi="方正黑体_GBK" w:eastAsia="方正黑体_GBK" w:cs="宋体"/>
                <w:b/>
                <w:sz w:val="18"/>
                <w:szCs w:val="18"/>
              </w:rPr>
              <w:t>C2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790F6D58">
            <w:pPr>
              <w:spacing w:line="200" w:lineRule="exact"/>
            </w:pPr>
            <w:r>
              <w:rPr>
                <w:rFonts w:ascii="方正黑体_GBK" w:hAnsi="方正黑体_GBK" w:eastAsia="方正黑体_GBK" w:cs="宋体"/>
                <w:b/>
                <w:sz w:val="18"/>
                <w:szCs w:val="18"/>
              </w:rPr>
              <w:t>D2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42F711F8">
            <w:pPr>
              <w:spacing w:line="200" w:lineRule="exact"/>
            </w:pPr>
            <w:r>
              <w:rPr>
                <w:rFonts w:ascii="方正黑体_GBK" w:hAnsi="方正黑体_GBK" w:eastAsia="方正黑体_GBK" w:cs="宋体"/>
                <w:b/>
                <w:sz w:val="18"/>
                <w:szCs w:val="18"/>
              </w:rPr>
              <w:t>E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68C30601">
            <w:pPr>
              <w:spacing w:line="200" w:lineRule="exact"/>
            </w:pPr>
            <w:r>
              <w:rPr>
                <w:rFonts w:ascii="方正黑体_GBK" w:hAnsi="方正黑体_GBK" w:eastAsia="方正黑体_GBK" w:cs="宋体"/>
                <w:b/>
                <w:sz w:val="18"/>
                <w:szCs w:val="18"/>
              </w:rPr>
              <w:t>B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36C9987">
            <w:pPr>
              <w:spacing w:line="200" w:lineRule="exact"/>
            </w:pPr>
            <w:r>
              <w:rPr>
                <w:rFonts w:ascii="方正黑体_GBK" w:hAnsi="方正黑体_GBK" w:eastAsia="方正黑体_GBK" w:cs="宋体"/>
                <w:b/>
                <w:sz w:val="18"/>
                <w:szCs w:val="18"/>
              </w:rPr>
              <w:t>C3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2DC9F513">
            <w:pPr>
              <w:spacing w:line="200" w:lineRule="exact"/>
            </w:pPr>
            <w:r>
              <w:rPr>
                <w:rFonts w:ascii="方正黑体_GBK" w:hAnsi="方正黑体_GBK" w:eastAsia="方正黑体_GBK" w:cs="宋体"/>
                <w:b/>
                <w:sz w:val="18"/>
                <w:szCs w:val="18"/>
              </w:rPr>
              <w:t>D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66E8DF52">
            <w:pPr>
              <w:spacing w:line="200" w:lineRule="exact"/>
            </w:pPr>
            <w:r>
              <w:rPr>
                <w:rFonts w:ascii="方正黑体_GBK" w:hAnsi="方正黑体_GBK" w:eastAsia="方正黑体_GBK" w:cs="宋体"/>
                <w:b/>
                <w:sz w:val="18"/>
                <w:szCs w:val="18"/>
              </w:rPr>
              <w:t>E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18E77CD">
            <w:pPr>
              <w:spacing w:line="200" w:lineRule="exact"/>
            </w:pPr>
            <w:r>
              <w:rPr>
                <w:rFonts w:ascii="方正黑体_GBK" w:hAnsi="方正黑体_GBK" w:eastAsia="方正黑体_GBK" w:cs="宋体"/>
                <w:b/>
                <w:sz w:val="18"/>
                <w:szCs w:val="18"/>
              </w:rPr>
              <w:t>A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BB3BADE">
            <w:pPr>
              <w:spacing w:line="200" w:lineRule="exact"/>
            </w:pPr>
            <w:r>
              <w:rPr>
                <w:rFonts w:ascii="方正黑体_GBK" w:hAnsi="方正黑体_GBK" w:eastAsia="方正黑体_GBK" w:cs="宋体"/>
                <w:b/>
                <w:sz w:val="18"/>
                <w:szCs w:val="18"/>
              </w:rPr>
              <w:t>B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D10D551">
            <w:pPr>
              <w:spacing w:line="200" w:lineRule="exact"/>
            </w:pPr>
            <w:r>
              <w:rPr>
                <w:rFonts w:ascii="方正黑体_GBK" w:hAnsi="方正黑体_GBK" w:eastAsia="方正黑体_GBK" w:cs="宋体"/>
                <w:b/>
                <w:sz w:val="18"/>
                <w:szCs w:val="18"/>
              </w:rPr>
              <w:t>C4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23936E01">
            <w:pPr>
              <w:spacing w:line="200" w:lineRule="exact"/>
            </w:pPr>
            <w:r>
              <w:rPr>
                <w:rFonts w:ascii="方正黑体_GBK" w:hAnsi="方正黑体_GBK" w:eastAsia="方正黑体_GBK" w:cs="宋体"/>
                <w:b/>
                <w:sz w:val="18"/>
                <w:szCs w:val="18"/>
              </w:rPr>
              <w:t>D4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0BD5A015">
            <w:pPr>
              <w:spacing w:line="200" w:lineRule="exact"/>
            </w:pPr>
            <w:r>
              <w:rPr>
                <w:rFonts w:ascii="方正黑体_GBK" w:hAnsi="方正黑体_GBK" w:eastAsia="方正黑体_GBK" w:cs="宋体"/>
                <w:b/>
                <w:sz w:val="18"/>
                <w:szCs w:val="18"/>
              </w:rPr>
              <w:t>E4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33117B2">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11187FB3">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248AE85C">
            <w:pPr>
              <w:spacing w:line="200" w:lineRule="exact"/>
            </w:pPr>
            <w:r>
              <w:rPr>
                <w:rFonts w:ascii="方正黑体_GBK" w:hAnsi="方正黑体_GBK" w:eastAsia="方正黑体_GBK" w:cs="宋体"/>
                <w:b/>
                <w:sz w:val="18"/>
                <w:szCs w:val="18"/>
              </w:rPr>
              <w:t>G2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4DC52FEB">
            <w:pPr>
              <w:spacing w:line="200" w:lineRule="exact"/>
            </w:pPr>
            <w:r>
              <w:rPr>
                <w:rFonts w:ascii="方正黑体_GBK" w:hAnsi="方正黑体_GBK" w:eastAsia="方正黑体_GBK" w:cs="宋体"/>
                <w:b/>
                <w:sz w:val="18"/>
                <w:szCs w:val="18"/>
              </w:rPr>
              <w:t>G3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5F1A4A37">
            <w:pPr>
              <w:spacing w:line="200" w:lineRule="exact"/>
            </w:pPr>
            <w:r>
              <w:rPr>
                <w:rFonts w:ascii="方正黑体_GBK" w:hAnsi="方正黑体_GBK" w:eastAsia="方正黑体_GBK" w:cs="宋体"/>
                <w:b/>
                <w:sz w:val="18"/>
                <w:szCs w:val="18"/>
              </w:rPr>
              <w:t>F4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5DDF6C03">
            <w:pPr>
              <w:spacing w:line="200" w:lineRule="exact"/>
            </w:pPr>
            <w:r>
              <w:rPr>
                <w:rFonts w:ascii="方正黑体_GBK" w:hAnsi="方正黑体_GBK" w:eastAsia="方正黑体_GBK" w:cs="宋体"/>
                <w:b/>
                <w:sz w:val="18"/>
                <w:szCs w:val="18"/>
              </w:rPr>
              <w:t>G4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68A619FD">
            <w:pPr>
              <w:spacing w:line="200" w:lineRule="exact"/>
            </w:pPr>
            <w:r>
              <w:rPr>
                <w:rFonts w:ascii="方正黑体_GBK" w:hAnsi="方正黑体_GBK" w:eastAsia="方正黑体_GBK" w:cs="宋体"/>
                <w:b/>
                <w:sz w:val="18"/>
                <w:szCs w:val="18"/>
              </w:rPr>
              <w:t>H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335345F">
            <w:pPr>
              <w:spacing w:line="200" w:lineRule="exact"/>
            </w:pPr>
            <w:r>
              <w:rPr>
                <w:rFonts w:ascii="方正黑体_GBK" w:hAnsi="方正黑体_GBK" w:eastAsia="方正黑体_GBK" w:cs="宋体"/>
                <w:b/>
                <w:sz w:val="18"/>
                <w:szCs w:val="18"/>
              </w:rPr>
              <w:t>J2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2636BF2A">
            <w:pPr>
              <w:spacing w:line="200" w:lineRule="exact"/>
            </w:pPr>
            <w:r>
              <w:rPr>
                <w:rFonts w:ascii="方正黑体_GBK" w:hAnsi="方正黑体_GBK" w:eastAsia="方正黑体_GBK" w:cs="宋体"/>
                <w:b/>
                <w:sz w:val="18"/>
                <w:szCs w:val="18"/>
              </w:rPr>
              <w:t>K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2399EC5">
            <w:pPr>
              <w:spacing w:line="200" w:lineRule="exact"/>
            </w:pPr>
            <w:r>
              <w:rPr>
                <w:rFonts w:ascii="方正黑体_GBK" w:hAnsi="方正黑体_GBK" w:eastAsia="方正黑体_GBK" w:cs="宋体"/>
                <w:b/>
                <w:sz w:val="18"/>
                <w:szCs w:val="18"/>
              </w:rPr>
              <w:t>J3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4D6C762C">
            <w:pPr>
              <w:spacing w:line="200" w:lineRule="exact"/>
            </w:pPr>
            <w:r>
              <w:rPr>
                <w:rFonts w:ascii="方正黑体_GBK" w:hAnsi="方正黑体_GBK" w:eastAsia="方正黑体_GBK" w:cs="宋体"/>
                <w:b/>
                <w:sz w:val="18"/>
                <w:szCs w:val="18"/>
              </w:rPr>
              <w:t>K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00A3E2F">
            <w:pPr>
              <w:spacing w:line="200" w:lineRule="exact"/>
            </w:pPr>
            <w:r>
              <w:rPr>
                <w:rFonts w:ascii="方正黑体_GBK" w:hAnsi="方正黑体_GBK" w:eastAsia="方正黑体_GBK" w:cs="宋体"/>
                <w:b/>
                <w:sz w:val="18"/>
                <w:szCs w:val="18"/>
              </w:rPr>
              <w:t>L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42DB3E14">
            <w:pPr>
              <w:spacing w:line="200" w:lineRule="exact"/>
            </w:pPr>
            <w:r>
              <w:rPr>
                <w:rFonts w:ascii="方正黑体_GBK" w:hAnsi="方正黑体_GBK" w:eastAsia="方正黑体_GBK" w:cs="宋体"/>
                <w:b/>
                <w:sz w:val="18"/>
                <w:szCs w:val="18"/>
              </w:rPr>
              <w:t>J4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3B30A046">
            <w:pPr>
              <w:spacing w:line="200" w:lineRule="exact"/>
            </w:pPr>
            <w:r>
              <w:rPr>
                <w:rFonts w:ascii="方正黑体_GBK" w:hAnsi="方正黑体_GBK" w:eastAsia="方正黑体_GBK" w:cs="宋体"/>
                <w:b/>
                <w:sz w:val="18"/>
                <w:szCs w:val="18"/>
              </w:rPr>
              <w:t>K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A3D3D56">
            <w:pPr>
              <w:spacing w:line="200" w:lineRule="exact"/>
            </w:pPr>
            <w:r>
              <w:rPr>
                <w:rFonts w:ascii="方正黑体_GBK" w:hAnsi="方正黑体_GBK" w:eastAsia="方正黑体_GBK" w:cs="宋体"/>
                <w:b/>
                <w:sz w:val="18"/>
                <w:szCs w:val="18"/>
              </w:rPr>
              <w:t>I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C7A61F6">
            <w:pPr>
              <w:spacing w:line="200" w:lineRule="exact"/>
            </w:pPr>
            <w:r>
              <w:rPr>
                <w:rFonts w:ascii="方正黑体_GBK" w:hAnsi="方正黑体_GBK" w:eastAsia="方正黑体_GBK" w:cs="宋体"/>
                <w:b/>
                <w:sz w:val="18"/>
                <w:szCs w:val="18"/>
              </w:rPr>
              <w:t>M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D3E8DF1">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EB46F64">
            <w:pPr>
              <w:spacing w:line="200" w:lineRule="exact"/>
            </w:pPr>
            <w:r>
              <w:rPr>
                <w:rFonts w:ascii="方正黑体_GBK" w:hAnsi="方正黑体_GBK" w:eastAsia="方正黑体_GBK" w:cs="宋体"/>
                <w:b/>
                <w:sz w:val="18"/>
                <w:szCs w:val="18"/>
              </w:rPr>
              <w:t>M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100BE939">
            <w:pPr>
              <w:spacing w:line="200" w:lineRule="exact"/>
            </w:pPr>
            <w:r>
              <w:rPr>
                <w:rFonts w:ascii="方正黑体_GBK" w:hAnsi="方正黑体_GBK" w:eastAsia="方正黑体_GBK" w:cs="宋体"/>
                <w:b/>
                <w:sz w:val="18"/>
                <w:szCs w:val="18"/>
              </w:rPr>
              <w:t>O2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5E075535">
            <w:pPr>
              <w:spacing w:line="200" w:lineRule="exact"/>
            </w:pPr>
            <w:r>
              <w:rPr>
                <w:rFonts w:ascii="方正黑体_GBK" w:hAnsi="方正黑体_GBK" w:eastAsia="方正黑体_GBK" w:cs="宋体"/>
                <w:b/>
                <w:sz w:val="18"/>
                <w:szCs w:val="18"/>
              </w:rPr>
              <w:t>O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7A54FE8D">
            <w:pPr>
              <w:spacing w:line="200" w:lineRule="exact"/>
            </w:pPr>
            <w:r>
              <w:rPr>
                <w:rFonts w:ascii="方正黑体_GBK" w:hAnsi="方正黑体_GBK" w:eastAsia="方正黑体_GBK" w:cs="宋体"/>
                <w:b/>
                <w:sz w:val="18"/>
                <w:szCs w:val="18"/>
              </w:rPr>
              <w:t>O4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3A252403">
            <w:pPr>
              <w:spacing w:line="200" w:lineRule="exact"/>
            </w:pPr>
            <w:r>
              <w:rPr>
                <w:rFonts w:ascii="方正黑体_GBK" w:hAnsi="方正黑体_GBK" w:eastAsia="方正黑体_GBK" w:cs="宋体"/>
                <w:b/>
                <w:sz w:val="18"/>
                <w:szCs w:val="18"/>
              </w:rPr>
              <w:t>Q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1CA3BE38">
            <w:pPr>
              <w:spacing w:line="200" w:lineRule="exact"/>
            </w:pPr>
            <w:r>
              <w:rPr>
                <w:rFonts w:ascii="方正黑体_GBK" w:hAnsi="方正黑体_GBK" w:eastAsia="方正黑体_GBK" w:cs="宋体"/>
                <w:b/>
                <w:sz w:val="18"/>
                <w:szCs w:val="18"/>
              </w:rPr>
              <w:t>R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DF38B58">
            <w:pPr>
              <w:spacing w:line="200" w:lineRule="exact"/>
            </w:pPr>
            <w:r>
              <w:rPr>
                <w:rFonts w:ascii="方正黑体_GBK" w:hAnsi="方正黑体_GBK" w:eastAsia="方正黑体_GBK" w:cs="宋体"/>
                <w:b/>
                <w:sz w:val="18"/>
                <w:szCs w:val="18"/>
              </w:rPr>
              <w:t>Q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047DDF21">
            <w:pPr>
              <w:spacing w:line="200" w:lineRule="exact"/>
            </w:pPr>
            <w:r>
              <w:rPr>
                <w:rFonts w:ascii="方正黑体_GBK" w:hAnsi="方正黑体_GBK" w:eastAsia="方正黑体_GBK" w:cs="宋体"/>
                <w:b/>
                <w:sz w:val="18"/>
                <w:szCs w:val="18"/>
              </w:rPr>
              <w:t>R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68BE27F">
            <w:pPr>
              <w:spacing w:line="200" w:lineRule="exact"/>
            </w:pPr>
            <w:r>
              <w:rPr>
                <w:rFonts w:ascii="方正黑体_GBK" w:hAnsi="方正黑体_GBK" w:eastAsia="方正黑体_GBK" w:cs="宋体"/>
                <w:b/>
                <w:sz w:val="18"/>
                <w:szCs w:val="18"/>
              </w:rPr>
              <w:t>Q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E7384BA">
            <w:pPr>
              <w:spacing w:line="200" w:lineRule="exact"/>
            </w:pPr>
            <w:r>
              <w:rPr>
                <w:rFonts w:ascii="方正黑体_GBK" w:hAnsi="方正黑体_GBK" w:eastAsia="方正黑体_GBK" w:cs="宋体"/>
                <w:b/>
                <w:sz w:val="18"/>
                <w:szCs w:val="18"/>
              </w:rPr>
              <w:t>R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919042F">
            <w:pPr>
              <w:spacing w:line="200" w:lineRule="exact"/>
            </w:pPr>
            <w:r>
              <w:rPr>
                <w:rFonts w:ascii="方正黑体_GBK" w:hAnsi="方正黑体_GBK" w:eastAsia="方正黑体_GBK" w:cs="宋体"/>
                <w:b/>
                <w:sz w:val="18"/>
                <w:szCs w:val="18"/>
              </w:rPr>
              <w:t>Q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879E94B">
            <w:pPr>
              <w:spacing w:line="200" w:lineRule="exact"/>
            </w:pPr>
            <w:r>
              <w:rPr>
                <w:rFonts w:ascii="方正黑体_GBK" w:hAnsi="方正黑体_GBK" w:eastAsia="方正黑体_GBK" w:cs="宋体"/>
                <w:b/>
                <w:sz w:val="18"/>
                <w:szCs w:val="18"/>
              </w:rPr>
              <w:t>R4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9CE70A5">
            <w:pPr>
              <w:spacing w:line="200" w:lineRule="exact"/>
            </w:pPr>
            <w:r>
              <w:rPr>
                <w:rFonts w:ascii="方正黑体_GBK" w:hAnsi="方正黑体_GBK" w:eastAsia="方正黑体_GBK" w:cs="宋体"/>
                <w:b/>
                <w:sz w:val="18"/>
                <w:szCs w:val="18"/>
              </w:rPr>
              <w:t>B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71C4FFFC">
            <w:pPr>
              <w:spacing w:line="200" w:lineRule="exact"/>
            </w:pPr>
            <w:r>
              <w:rPr>
                <w:rFonts w:ascii="方正黑体_GBK" w:hAnsi="方正黑体_GBK" w:eastAsia="方正黑体_GBK" w:cs="宋体"/>
                <w:b/>
                <w:sz w:val="18"/>
                <w:szCs w:val="18"/>
              </w:rPr>
              <w:t>C1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71772D96">
            <w:pPr>
              <w:spacing w:line="200" w:lineRule="exact"/>
            </w:pPr>
            <w:r>
              <w:rPr>
                <w:rFonts w:ascii="方正黑体_GBK" w:hAnsi="方正黑体_GBK" w:eastAsia="方正黑体_GBK" w:cs="宋体"/>
                <w:b/>
                <w:sz w:val="18"/>
                <w:szCs w:val="18"/>
              </w:rPr>
              <w:t>D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155808A4">
            <w:pPr>
              <w:spacing w:line="200" w:lineRule="exact"/>
            </w:pPr>
            <w:r>
              <w:rPr>
                <w:rFonts w:ascii="方正黑体_GBK" w:hAnsi="方正黑体_GBK" w:eastAsia="方正黑体_GBK" w:cs="宋体"/>
                <w:b/>
                <w:sz w:val="18"/>
                <w:szCs w:val="18"/>
              </w:rPr>
              <w:t>E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C30D35F">
            <w:pPr>
              <w:spacing w:line="200" w:lineRule="exact"/>
            </w:pPr>
            <w:r>
              <w:rPr>
                <w:rFonts w:ascii="方正黑体_GBK" w:hAnsi="方正黑体_GBK" w:eastAsia="方正黑体_GBK" w:cs="宋体"/>
                <w:b/>
                <w:sz w:val="18"/>
                <w:szCs w:val="18"/>
              </w:rPr>
              <w:t>F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0C363527">
            <w:pPr>
              <w:spacing w:line="200" w:lineRule="exact"/>
            </w:pPr>
            <w:r>
              <w:rPr>
                <w:rFonts w:ascii="方正黑体_GBK" w:hAnsi="方正黑体_GBK" w:eastAsia="方正黑体_GBK" w:cs="宋体"/>
                <w:b/>
                <w:sz w:val="18"/>
                <w:szCs w:val="18"/>
              </w:rPr>
              <w:t>G1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6B0CA7B6">
            <w:pPr>
              <w:spacing w:line="200" w:lineRule="exact"/>
            </w:pPr>
            <w:r>
              <w:rPr>
                <w:rFonts w:ascii="方正黑体_GBK" w:hAnsi="方正黑体_GBK" w:eastAsia="方正黑体_GBK" w:cs="宋体"/>
                <w:b/>
                <w:sz w:val="18"/>
                <w:szCs w:val="18"/>
              </w:rPr>
              <w:t>J1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0F212355">
            <w:pPr>
              <w:spacing w:line="200" w:lineRule="exact"/>
            </w:pPr>
            <w:r>
              <w:rPr>
                <w:rFonts w:ascii="方正黑体_GBK" w:hAnsi="方正黑体_GBK" w:eastAsia="方正黑体_GBK" w:cs="宋体"/>
                <w:b/>
                <w:sz w:val="18"/>
                <w:szCs w:val="18"/>
              </w:rPr>
              <w:t>K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F98731D">
            <w:pPr>
              <w:spacing w:line="200" w:lineRule="exact"/>
            </w:pPr>
            <w:r>
              <w:rPr>
                <w:rFonts w:ascii="方正黑体_GBK" w:hAnsi="方正黑体_GBK" w:eastAsia="方正黑体_GBK" w:cs="宋体"/>
                <w:b/>
                <w:sz w:val="18"/>
                <w:szCs w:val="18"/>
              </w:rPr>
              <w:t>L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55476A73">
            <w:pPr>
              <w:spacing w:line="200" w:lineRule="exact"/>
            </w:pPr>
            <w:r>
              <w:rPr>
                <w:rFonts w:ascii="方正黑体_GBK" w:hAnsi="方正黑体_GBK" w:eastAsia="方正黑体_GBK" w:cs="宋体"/>
                <w:b/>
                <w:sz w:val="18"/>
                <w:szCs w:val="18"/>
              </w:rPr>
              <w:t>M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51F29268">
            <w:pPr>
              <w:spacing w:line="200" w:lineRule="exact"/>
            </w:pPr>
            <w:r>
              <w:rPr>
                <w:rFonts w:ascii="方正黑体_GBK" w:hAnsi="方正黑体_GBK" w:eastAsia="方正黑体_GBK" w:cs="宋体"/>
                <w:b/>
                <w:sz w:val="18"/>
                <w:szCs w:val="18"/>
              </w:rPr>
              <w:t>N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A82362B">
            <w:pPr>
              <w:spacing w:line="200" w:lineRule="exact"/>
            </w:pPr>
            <w:r>
              <w:rPr>
                <w:rFonts w:ascii="方正黑体_GBK" w:hAnsi="方正黑体_GBK" w:eastAsia="方正黑体_GBK" w:cs="宋体"/>
                <w:b/>
                <w:sz w:val="18"/>
                <w:szCs w:val="18"/>
              </w:rPr>
              <w:t>O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3898636C">
            <w:pPr>
              <w:spacing w:line="200" w:lineRule="exact"/>
            </w:pPr>
            <w:r>
              <w:rPr>
                <w:rFonts w:ascii="方正黑体_GBK" w:hAnsi="方正黑体_GBK" w:eastAsia="方正黑体_GBK" w:cs="宋体"/>
                <w:b/>
                <w:sz w:val="18"/>
                <w:szCs w:val="18"/>
              </w:rPr>
              <w:t>S1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6916B172">
            <w:pPr>
              <w:spacing w:line="200" w:lineRule="exact"/>
            </w:pPr>
            <w:r>
              <w:rPr>
                <w:rFonts w:ascii="方正黑体_GBK" w:hAnsi="方正黑体_GBK" w:eastAsia="方正黑体_GBK" w:cs="宋体"/>
                <w:b/>
                <w:sz w:val="18"/>
                <w:szCs w:val="18"/>
              </w:rPr>
              <w:t>S2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5002BD4F">
            <w:pPr>
              <w:spacing w:line="200" w:lineRule="exact"/>
            </w:pPr>
            <w:r>
              <w:rPr>
                <w:rFonts w:ascii="方正黑体_GBK" w:hAnsi="方正黑体_GBK" w:eastAsia="方正黑体_GBK" w:cs="宋体"/>
                <w:b/>
                <w:sz w:val="18"/>
                <w:szCs w:val="18"/>
              </w:rPr>
              <w:t>S3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5A3D2C62">
            <w:pPr>
              <w:spacing w:line="200" w:lineRule="exact"/>
            </w:pPr>
            <w:r>
              <w:rPr>
                <w:rFonts w:ascii="方正黑体_GBK" w:hAnsi="方正黑体_GBK" w:eastAsia="方正黑体_GBK" w:cs="宋体"/>
                <w:b/>
                <w:sz w:val="18"/>
                <w:szCs w:val="18"/>
              </w:rPr>
              <w:t>S4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20B3601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3EF00B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6625CA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54615C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02FE6A9">
            <w:pPr>
              <w:spacing w:line="200" w:lineRule="exact"/>
            </w:pPr>
            <w:r>
              <w:rPr>
                <w:rFonts w:ascii="方正黑体_GBK" w:hAnsi="方正黑体_GBK" w:eastAsia="方正黑体_GBK" w:cs="宋体"/>
                <w:b/>
                <w:sz w:val="18"/>
                <w:szCs w:val="18"/>
              </w:rPr>
              <w:t>计算本区间业绩报酬的公式如下：</w:t>
            </w:r>
          </w:p>
          <w:p w14:paraId="0D74F0A3">
            <w:pPr>
              <w:spacing w:line="200" w:lineRule="exact"/>
            </w:pPr>
            <w:r>
              <w:rPr>
                <w:rFonts w:ascii="方正黑体_GBK" w:hAnsi="方正黑体_GBK" w:eastAsia="方正黑体_GBK" w:cs="宋体"/>
                <w:b/>
                <w:sz w:val="18"/>
                <w:szCs w:val="18"/>
              </w:rPr>
              <w:t>A={B-C*D*(1+E*F/365)}*G。</w:t>
            </w:r>
          </w:p>
          <w:p w14:paraId="28BBCD9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10119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BBF4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E522E6A">
            <w:pPr>
              <w:spacing w:line="200" w:lineRule="exact"/>
              <w:jc w:val="left"/>
            </w:pPr>
            <w:r>
              <w:rPr>
                <w:rFonts w:ascii="方正黑体_GBK" w:hAnsi="方正黑体_GBK" w:eastAsia="方正黑体_GBK" w:cs="宋体"/>
                <w:color w:val="000000"/>
                <w:sz w:val="18"/>
                <w:szCs w:val="18"/>
              </w:rPr>
              <w:t>具体参见本理财产品风险揭示书。</w:t>
            </w:r>
          </w:p>
          <w:p w14:paraId="11930185">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6276E488">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05CDF848">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7572D626">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1744F831">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201640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FCC9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619B08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245DD9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C7CA93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86270E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40C16C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BBE49A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A0867C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DEE50F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A499C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7BCA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05F83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句容农村商业银行股份有限公司、廊坊银行股份有限公司、乌鲁木齐银行股份有限公司、河北银行股份有限公司、江苏沛县农村商业银行股份有限公司、交通银行股份有限公司、台州银行股份有限公司、江苏仪征农村商业银行股份有限公司、成都银行股份有限公司、广发银行股份有限公司、江苏沭阳农村商业银行股份有限公司、成都农村商业银行股份有限公司。管理人有权调整本理财产品的销售机构并进行信息披露。</w:t>
            </w:r>
          </w:p>
          <w:p w14:paraId="52396684">
            <w:pPr>
              <w:spacing w:line="200" w:lineRule="exact"/>
              <w:jc w:val="left"/>
            </w:pPr>
            <w:r>
              <w:rPr>
                <w:rFonts w:ascii="方正黑体_GBK" w:hAnsi="方正黑体_GBK" w:eastAsia="方正黑体_GBK" w:cs="宋体"/>
                <w:sz w:val="18"/>
                <w:szCs w:val="18"/>
              </w:rPr>
              <w:t>销售机构主要职责如下：</w:t>
            </w:r>
          </w:p>
          <w:p w14:paraId="64B2319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FC4BC9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376993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DE1F62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019E01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ABDC1F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0008C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3600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31B537E">
            <w:pPr>
              <w:spacing w:line="200" w:lineRule="exact"/>
            </w:pPr>
            <w:r>
              <w:rPr>
                <w:rFonts w:ascii="方正黑体_GBK" w:hAnsi="方正黑体_GBK" w:eastAsia="方正黑体_GBK" w:cs="宋体"/>
                <w:sz w:val="18"/>
                <w:szCs w:val="18"/>
              </w:rPr>
              <w:t>本理财产品托管人为南京银行股份有限公司，主要职责如下：</w:t>
            </w:r>
          </w:p>
          <w:p w14:paraId="32403DDE">
            <w:pPr>
              <w:spacing w:line="200" w:lineRule="exact"/>
            </w:pPr>
            <w:r>
              <w:rPr>
                <w:rFonts w:ascii="方正黑体_GBK" w:hAnsi="方正黑体_GBK" w:eastAsia="方正黑体_GBK" w:cs="宋体"/>
                <w:sz w:val="18"/>
                <w:szCs w:val="18"/>
              </w:rPr>
              <w:t>1.安全保管理财产品财产；</w:t>
            </w:r>
          </w:p>
          <w:p w14:paraId="3CA3521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ABD8963">
            <w:pPr>
              <w:spacing w:line="200" w:lineRule="exact"/>
            </w:pPr>
            <w:r>
              <w:rPr>
                <w:rFonts w:ascii="方正黑体_GBK" w:hAnsi="方正黑体_GBK" w:eastAsia="方正黑体_GBK" w:cs="宋体"/>
                <w:sz w:val="18"/>
                <w:szCs w:val="18"/>
              </w:rPr>
              <w:t>3.按照托管协议约定和管理人的投资指令，及时办理清算、交割事宜；</w:t>
            </w:r>
          </w:p>
          <w:p w14:paraId="55A90E9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A8BFF0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266427E">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DCAEFF1">
            <w:pPr>
              <w:spacing w:line="200" w:lineRule="exact"/>
            </w:pPr>
            <w:r>
              <w:rPr>
                <w:rFonts w:ascii="方正黑体_GBK" w:hAnsi="方正黑体_GBK" w:eastAsia="方正黑体_GBK" w:cs="宋体"/>
                <w:sz w:val="18"/>
                <w:szCs w:val="18"/>
              </w:rPr>
              <w:t>7.理财托管业务活动的记录、账册、报表和其他相关资料保存20年以上；</w:t>
            </w:r>
          </w:p>
          <w:p w14:paraId="22D97E5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11A9EC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BEE84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8D9D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8FCA5A7">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7E9286EA">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14:paraId="48694A1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7489793">
            <w:pPr>
              <w:spacing w:line="200" w:lineRule="exact"/>
            </w:pPr>
            <w:r>
              <w:rPr>
                <w:rFonts w:ascii="方正黑体_GBK" w:hAnsi="方正黑体_GBK" w:eastAsia="方正黑体_GBK" w:cs="宋体"/>
                <w:sz w:val="18"/>
                <w:szCs w:val="18"/>
              </w:rPr>
              <w:t>上述投资合作机构简介：</w:t>
            </w:r>
          </w:p>
          <w:p w14:paraId="16FDDFB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BC72E3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53D8FBE">
            <w:pPr>
              <w:spacing w:line="200" w:lineRule="exact"/>
            </w:pPr>
            <w:r>
              <w:rPr>
                <w:rFonts w:ascii="方正黑体_GBK" w:hAnsi="方正黑体_GBK" w:eastAsia="方正黑体_GBK" w:cs="宋体"/>
                <w:sz w:val="18"/>
                <w:szCs w:val="18"/>
              </w:rPr>
              <w:t>广东粤财信托有限公司成立于1985年03月07日，注册资本金380000万元。</w:t>
            </w:r>
          </w:p>
          <w:p w14:paraId="0945D6B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5BC01B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AF20D5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9A355E1">
            <w:pPr>
              <w:spacing w:line="200" w:lineRule="exact"/>
            </w:pPr>
            <w:r>
              <w:rPr>
                <w:rFonts w:ascii="方正黑体_GBK" w:hAnsi="方正黑体_GBK" w:eastAsia="方正黑体_GBK" w:cs="宋体"/>
                <w:sz w:val="18"/>
                <w:szCs w:val="18"/>
              </w:rPr>
              <w:t>华鑫国际信托有限公司成立于1984年06月01日，注册资本金73.95亿元。</w:t>
            </w:r>
          </w:p>
          <w:p w14:paraId="68460F64">
            <w:pPr>
              <w:spacing w:line="200" w:lineRule="exact"/>
            </w:pPr>
            <w:r>
              <w:rPr>
                <w:rFonts w:ascii="方正黑体_GBK" w:hAnsi="方正黑体_GBK" w:eastAsia="方正黑体_GBK" w:cs="宋体"/>
                <w:sz w:val="18"/>
                <w:szCs w:val="18"/>
              </w:rPr>
              <w:t>建信保险资产管理有限公司成立于2016年04月27日，注册资本金3亿元。</w:t>
            </w:r>
          </w:p>
          <w:p w14:paraId="74B0521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AEBEEB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2FE8F4E">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3E3781A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5C8BA71">
            <w:pPr>
              <w:spacing w:line="200" w:lineRule="exact"/>
            </w:pPr>
            <w:r>
              <w:rPr>
                <w:rFonts w:ascii="方正黑体_GBK" w:hAnsi="方正黑体_GBK" w:eastAsia="方正黑体_GBK" w:cs="宋体"/>
                <w:sz w:val="18"/>
                <w:szCs w:val="18"/>
              </w:rPr>
              <w:t>中粮信托有限责任公司成立于2009年07月27日，注册资本金28.3亿元。</w:t>
            </w:r>
          </w:p>
          <w:p w14:paraId="37F0F06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85B78A8">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68A446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4A02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7EFDF26A">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A6B5321">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0D461B48">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47B460AF">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4F54BD1F">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CAB54B7">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1D7919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70F2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580F5FF9">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764811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D71D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11DD15C3">
            <w:pPr>
              <w:spacing w:line="200" w:lineRule="exact"/>
            </w:pPr>
            <w:r>
              <w:rPr>
                <w:rFonts w:ascii="方正黑体_GBK" w:hAnsi="方正黑体_GBK" w:eastAsia="方正黑体_GBK" w:cs="宋体"/>
                <w:sz w:val="18"/>
                <w:szCs w:val="18"/>
              </w:rPr>
              <w:t>发生下列情形时，管理人可暂停接受认申购申请：</w:t>
            </w:r>
          </w:p>
          <w:p w14:paraId="53F2811A">
            <w:pPr>
              <w:spacing w:line="200" w:lineRule="exact"/>
            </w:pPr>
            <w:r>
              <w:rPr>
                <w:rFonts w:ascii="方正黑体_GBK" w:hAnsi="方正黑体_GBK" w:eastAsia="方正黑体_GBK" w:cs="宋体"/>
                <w:sz w:val="18"/>
                <w:szCs w:val="18"/>
              </w:rPr>
              <w:t>1.因不可抗力导致理财产品无法正常运作；</w:t>
            </w:r>
          </w:p>
          <w:p w14:paraId="6717AFE8">
            <w:pPr>
              <w:spacing w:line="200" w:lineRule="exact"/>
            </w:pPr>
            <w:r>
              <w:rPr>
                <w:rFonts w:ascii="方正黑体_GBK" w:hAnsi="方正黑体_GBK" w:eastAsia="方正黑体_GBK" w:cs="宋体"/>
                <w:sz w:val="18"/>
                <w:szCs w:val="18"/>
              </w:rPr>
              <w:t>2.因监管政策、市场发生重大变化，导致理财产品无法正常运作；</w:t>
            </w:r>
          </w:p>
          <w:p w14:paraId="781458D9">
            <w:pPr>
              <w:spacing w:line="200" w:lineRule="exact"/>
            </w:pPr>
            <w:r>
              <w:rPr>
                <w:rFonts w:ascii="方正黑体_GBK" w:hAnsi="方正黑体_GBK" w:eastAsia="方正黑体_GBK" w:cs="宋体"/>
                <w:sz w:val="18"/>
                <w:szCs w:val="18"/>
              </w:rPr>
              <w:t>3.管理人认为需要暂停认申购的其他情形。</w:t>
            </w:r>
          </w:p>
          <w:p w14:paraId="14EB5015">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2D866F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3241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34ED25BC">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753385FA">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4BDA08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1B5C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6A904DD">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6BEDD5A9">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E469861">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608E42C0">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0B6AD0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87A0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5BE795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bookmarkEnd w:id="0"/>
    </w:tbl>
    <w:p w14:paraId="480A0A3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551895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680BBC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FFE000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1F6C8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9D8B906">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96830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9E64F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CE4FB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DB8E4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B4B743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AEE26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FC3F0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AA754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647A3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9150E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F8E3D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97DC7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5C88B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3C54D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C1F85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F1C43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B2629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39E76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74644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E8900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5D228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2C2A8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731B6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C3214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58423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DC1671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AFDABEC">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南银理财珠联璧合安稳1909一年定开公募人民币理财产品</w:t>
      </w:r>
      <w:r>
        <w:rPr>
          <w:rFonts w:hint="eastAsia" w:ascii="方正黑体_GBK" w:hAnsi="方正黑体_GBK" w:eastAsia="方正黑体_GBK"/>
          <w:vanish w:val="0"/>
          <w:color w:val="3D3D3D"/>
          <w:kern w:val="0"/>
          <w:sz w:val="15"/>
          <w:szCs w:val="15"/>
        </w:rPr>
        <w:t>。</w:t>
      </w:r>
    </w:p>
    <w:p w14:paraId="2912AC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61D0F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C0B56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20FB8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E669F4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27B89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043CB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A2160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9A782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C22AC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44D59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6DBF1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51993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65BB0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49399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1F068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73B55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5BEB4C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6CFE1D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B53019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A2D163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F63FA2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CEC64F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953D27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19C0F1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831AF9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7C37E1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0DE42C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C3E04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34E3463">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6E978D3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情景示例一：产品实际到期日，扣除所有税费后（如有业绩报酬，已扣除）的赎回确认每份额净值为1.0300，则客户在资金到帐日收到到期款项为103,000元。</w:t>
      </w:r>
    </w:p>
    <w:p w14:paraId="471F9DD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情景示例二：产品实际到期日，扣除所有税费后（如有业绩报酬，已扣除）的赎回确认每份额净值为0.9700，则客户在资金到帐日收到到期款项为97,000元。</w:t>
      </w:r>
    </w:p>
    <w:p w14:paraId="78B35CF7">
      <w:pPr>
        <w:spacing w:line="200" w:lineRule="exact"/>
      </w:pPr>
      <w:r>
        <w:rPr>
          <w:rFonts w:ascii="方正黑体_GBK" w:hAnsi="方正黑体_GBK" w:eastAsia="方正黑体_GBK" w:cs="宋体"/>
          <w:sz w:val="15"/>
          <w:szCs w:val="20"/>
        </w:rPr>
        <w:t xml:space="preserve"> 以上数据为假设情形中的模拟数据，不代表实际收益，投资需谨慎。</w:t>
      </w:r>
    </w:p>
    <w:p w14:paraId="23F385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5F2B3F1">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D34CD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CCBBD12">
      <w:pPr>
        <w:spacing w:line="200" w:lineRule="exact"/>
        <w:ind w:firstLine="300"/>
        <w:jc w:val="both"/>
      </w:pPr>
      <w:r>
        <w:rPr>
          <w:rFonts w:ascii="方正黑体_GBK" w:hAnsi="方正黑体_GBK" w:eastAsia="方正黑体_GBK" w:cs="宋体"/>
          <w:sz w:val="15"/>
          <w:szCs w:val="20"/>
        </w:rPr>
        <w:t>（一）估值日</w:t>
      </w:r>
    </w:p>
    <w:p w14:paraId="18555C61">
      <w:pPr>
        <w:spacing w:line="200" w:lineRule="exact"/>
        <w:ind w:firstLine="300"/>
        <w:jc w:val="both"/>
      </w:pPr>
      <w:r>
        <w:rPr>
          <w:rFonts w:ascii="方正黑体_GBK" w:hAnsi="方正黑体_GBK" w:eastAsia="方正黑体_GBK" w:cs="宋体"/>
          <w:sz w:val="15"/>
          <w:szCs w:val="20"/>
        </w:rPr>
        <w:t>本理财产品每个工作日进行估值。</w:t>
      </w:r>
    </w:p>
    <w:p w14:paraId="60D02F1C">
      <w:pPr>
        <w:spacing w:line="200" w:lineRule="exact"/>
        <w:ind w:firstLine="300"/>
        <w:jc w:val="both"/>
      </w:pPr>
      <w:r>
        <w:rPr>
          <w:rFonts w:ascii="方正黑体_GBK" w:hAnsi="方正黑体_GBK" w:eastAsia="方正黑体_GBK" w:cs="宋体"/>
          <w:sz w:val="15"/>
          <w:szCs w:val="20"/>
        </w:rPr>
        <w:t>（二）估值对象</w:t>
      </w:r>
    </w:p>
    <w:p w14:paraId="1EAC69D1">
      <w:pPr>
        <w:spacing w:line="200" w:lineRule="exact"/>
        <w:ind w:firstLine="300"/>
        <w:jc w:val="both"/>
      </w:pPr>
      <w:r>
        <w:rPr>
          <w:rFonts w:ascii="方正黑体_GBK" w:hAnsi="方正黑体_GBK" w:eastAsia="方正黑体_GBK" w:cs="宋体"/>
          <w:sz w:val="15"/>
          <w:szCs w:val="20"/>
        </w:rPr>
        <w:t>本理财产品所拥有的所有资产及负债。</w:t>
      </w:r>
    </w:p>
    <w:p w14:paraId="0BD9CD33">
      <w:pPr>
        <w:spacing w:line="200" w:lineRule="exact"/>
        <w:ind w:firstLine="300"/>
        <w:jc w:val="both"/>
      </w:pPr>
      <w:r>
        <w:rPr>
          <w:rFonts w:ascii="方正黑体_GBK" w:hAnsi="方正黑体_GBK" w:eastAsia="方正黑体_GBK" w:cs="宋体"/>
          <w:sz w:val="15"/>
          <w:szCs w:val="20"/>
        </w:rPr>
        <w:t>（三）估值目的</w:t>
      </w:r>
    </w:p>
    <w:p w14:paraId="6816FC2A">
      <w:pPr>
        <w:spacing w:line="200" w:lineRule="exact"/>
        <w:ind w:firstLine="300"/>
        <w:jc w:val="both"/>
      </w:pPr>
      <w:r>
        <w:rPr>
          <w:rFonts w:ascii="方正黑体_GBK" w:hAnsi="方正黑体_GBK" w:eastAsia="方正黑体_GBK" w:cs="宋体"/>
          <w:sz w:val="15"/>
          <w:szCs w:val="20"/>
        </w:rPr>
        <w:t>客观、准确反映理财产品的价值。</w:t>
      </w:r>
    </w:p>
    <w:p w14:paraId="36EFAEC6">
      <w:pPr>
        <w:spacing w:line="200" w:lineRule="exact"/>
        <w:ind w:firstLine="300"/>
        <w:jc w:val="both"/>
      </w:pPr>
      <w:r>
        <w:rPr>
          <w:rFonts w:ascii="方正黑体_GBK" w:hAnsi="方正黑体_GBK" w:eastAsia="方正黑体_GBK" w:cs="宋体"/>
          <w:sz w:val="15"/>
          <w:szCs w:val="20"/>
        </w:rPr>
        <w:t>（四）估值原则</w:t>
      </w:r>
    </w:p>
    <w:p w14:paraId="1770D98A">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2CAAC454">
      <w:pPr>
        <w:spacing w:line="200" w:lineRule="exact"/>
        <w:ind w:firstLine="300"/>
        <w:jc w:val="both"/>
      </w:pPr>
      <w:r>
        <w:rPr>
          <w:rFonts w:ascii="方正黑体_GBK" w:hAnsi="方正黑体_GBK" w:eastAsia="方正黑体_GBK" w:cs="宋体"/>
          <w:sz w:val="15"/>
          <w:szCs w:val="20"/>
        </w:rPr>
        <w:t>（五）估值方法</w:t>
      </w:r>
    </w:p>
    <w:p w14:paraId="5475C77A">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77158E87">
      <w:pPr>
        <w:spacing w:line="200" w:lineRule="exact"/>
        <w:ind w:firstLine="280"/>
        <w:jc w:val="left"/>
      </w:pPr>
      <w:r>
        <w:rPr>
          <w:rFonts w:ascii="方正黑体_GBK" w:hAnsi="方正黑体_GBK" w:eastAsia="方正黑体_GBK" w:cs="宋体"/>
          <w:sz w:val="15"/>
          <w:szCs w:val="20"/>
        </w:rPr>
        <w:t>1.银行存款、回购等货币市场工具</w:t>
      </w:r>
    </w:p>
    <w:p w14:paraId="024A2F42">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26895BB4">
      <w:pPr>
        <w:spacing w:line="200" w:lineRule="exact"/>
        <w:ind w:firstLine="280"/>
        <w:jc w:val="left"/>
      </w:pPr>
      <w:r>
        <w:rPr>
          <w:rFonts w:ascii="方正黑体_GBK" w:hAnsi="方正黑体_GBK" w:eastAsia="方正黑体_GBK" w:cs="宋体"/>
          <w:color w:val="3D3D3D"/>
          <w:sz w:val="15"/>
          <w:szCs w:val="20"/>
        </w:rPr>
        <w:t>2.债券类资产</w:t>
      </w:r>
    </w:p>
    <w:p w14:paraId="4590F652">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51A75625">
      <w:pPr>
        <w:spacing w:line="200" w:lineRule="exact"/>
        <w:ind w:firstLine="280"/>
        <w:jc w:val="left"/>
      </w:pPr>
      <w:r>
        <w:rPr>
          <w:rFonts w:ascii="方正黑体_GBK" w:hAnsi="方正黑体_GBK" w:eastAsia="方正黑体_GBK" w:cs="宋体"/>
          <w:color w:val="3D3D3D"/>
          <w:sz w:val="15"/>
          <w:szCs w:val="20"/>
        </w:rPr>
        <w:t>3.非标准化债权类资产</w:t>
      </w:r>
    </w:p>
    <w:p w14:paraId="5487C2BF">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6D2A017B">
      <w:pPr>
        <w:spacing w:line="200" w:lineRule="exact"/>
        <w:ind w:firstLine="280"/>
        <w:jc w:val="left"/>
      </w:pPr>
      <w:r>
        <w:rPr>
          <w:rFonts w:ascii="方正黑体_GBK" w:hAnsi="方正黑体_GBK" w:eastAsia="方正黑体_GBK" w:cs="宋体"/>
          <w:color w:val="3D3D3D"/>
          <w:sz w:val="15"/>
          <w:szCs w:val="20"/>
        </w:rPr>
        <w:t>4.证券投资基金</w:t>
      </w:r>
    </w:p>
    <w:p w14:paraId="4DE4C3DE">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33E4590">
      <w:pPr>
        <w:spacing w:line="200" w:lineRule="exact"/>
        <w:ind w:firstLine="280"/>
        <w:jc w:val="left"/>
      </w:pPr>
      <w:r>
        <w:rPr>
          <w:rFonts w:ascii="方正黑体_GBK" w:hAnsi="方正黑体_GBK" w:eastAsia="方正黑体_GBK" w:cs="宋体"/>
          <w:color w:val="3D3D3D"/>
          <w:sz w:val="15"/>
          <w:szCs w:val="20"/>
        </w:rPr>
        <w:t>5.股权类资产</w:t>
      </w:r>
    </w:p>
    <w:p w14:paraId="00BEFF5B">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1E7815C7">
      <w:pPr>
        <w:spacing w:line="200" w:lineRule="exact"/>
        <w:ind w:firstLine="280"/>
        <w:jc w:val="left"/>
      </w:pPr>
      <w:r>
        <w:rPr>
          <w:rFonts w:ascii="方正黑体_GBK" w:hAnsi="方正黑体_GBK" w:eastAsia="方正黑体_GBK" w:cs="宋体"/>
          <w:color w:val="3D3D3D"/>
          <w:sz w:val="15"/>
          <w:szCs w:val="20"/>
        </w:rPr>
        <w:t>6.资管计划、信托计划等资产</w:t>
      </w:r>
    </w:p>
    <w:p w14:paraId="207D9A97">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187AFC30">
      <w:pPr>
        <w:spacing w:line="200" w:lineRule="exact"/>
        <w:ind w:firstLine="280"/>
        <w:jc w:val="left"/>
      </w:pPr>
      <w:r>
        <w:rPr>
          <w:rFonts w:ascii="方正黑体_GBK" w:hAnsi="方正黑体_GBK" w:eastAsia="方正黑体_GBK" w:cs="宋体"/>
          <w:color w:val="3D3D3D"/>
          <w:sz w:val="15"/>
          <w:szCs w:val="20"/>
        </w:rPr>
        <w:t>7.其他资产</w:t>
      </w:r>
    </w:p>
    <w:p w14:paraId="26FC1C5D">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174BB801">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1EA463C5">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38BC7780">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1DB590E9">
      <w:pPr>
        <w:spacing w:line="200" w:lineRule="exact"/>
        <w:ind w:firstLine="300"/>
        <w:jc w:val="both"/>
      </w:pPr>
      <w:r>
        <w:rPr>
          <w:rFonts w:ascii="方正黑体_GBK" w:hAnsi="方正黑体_GBK" w:eastAsia="方正黑体_GBK" w:cs="宋体"/>
          <w:sz w:val="15"/>
          <w:szCs w:val="20"/>
        </w:rPr>
        <w:t>（六）估值错误及暂停估值</w:t>
      </w:r>
    </w:p>
    <w:p w14:paraId="74861656">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444D19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B69871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153038E">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29138B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6A492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2C029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25000C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1A345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1D08A9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1DFA5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7AEC7B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E2618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B4E28B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FAA07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C1B19C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A1A9D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1B41A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3C51E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3846F2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84340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4A1004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7FA66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68A12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EE032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8BB151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92D9C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71F1F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48B2F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AE63F6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EDD4E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6EEB41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15B82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43924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ED789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EC8C0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97DB2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7774B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047D29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8198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1">
    <w:nsid w:val="B8CEF35B"/>
    <w:multiLevelType w:val="multilevel"/>
    <w:tmpl w:val="B8CEF35B"/>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1ACDE60F"/>
    <w:multiLevelType w:val="multilevel"/>
    <w:tmpl w:val="1ACDE60F"/>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5E29AB5A"/>
    <w:multiLevelType w:val="multilevel"/>
    <w:tmpl w:val="5E29AB5A"/>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1C6025A"/>
    <w:rsid w:val="4EF17E4E"/>
    <w:rsid w:val="544E7B7F"/>
    <w:rsid w:val="642B5904"/>
    <w:rsid w:val="684609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08c11b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dd01f1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4e8ac9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207d61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88c2d93"/>
    <w:qFormat/>
    <w:uiPriority w:val="0"/>
  </w:style>
  <w:style w:type="paragraph" w:customStyle="1" w:styleId="20">
    <w:name w:val="toc 16c539ecf"/>
    <w:basedOn w:val="15"/>
    <w:next w:val="1"/>
    <w:autoRedefine/>
    <w:qFormat/>
    <w:uiPriority w:val="0"/>
  </w:style>
  <w:style w:type="paragraph" w:customStyle="1" w:styleId="21">
    <w:name w:val="toc 2d8fbe6c5"/>
    <w:basedOn w:val="15"/>
    <w:next w:val="1"/>
    <w:autoRedefine/>
    <w:qFormat/>
    <w:uiPriority w:val="0"/>
    <w:pPr>
      <w:ind w:left="420"/>
    </w:pPr>
  </w:style>
  <w:style w:type="paragraph" w:customStyle="1" w:styleId="22">
    <w:name w:val="toc 36add9663"/>
    <w:basedOn w:val="15"/>
    <w:next w:val="1"/>
    <w:autoRedefine/>
    <w:qFormat/>
    <w:uiPriority w:val="0"/>
    <w:pPr>
      <w:ind w:left="840"/>
    </w:pPr>
  </w:style>
  <w:style w:type="paragraph" w:customStyle="1" w:styleId="23">
    <w:name w:val="toc 46197a100"/>
    <w:basedOn w:val="15"/>
    <w:next w:val="1"/>
    <w:autoRedefine/>
    <w:qFormat/>
    <w:uiPriority w:val="0"/>
    <w:pPr>
      <w:ind w:left="1260"/>
    </w:pPr>
  </w:style>
  <w:style w:type="paragraph" w:customStyle="1" w:styleId="24">
    <w:name w:val="toc 5533b6c38"/>
    <w:basedOn w:val="15"/>
    <w:next w:val="1"/>
    <w:autoRedefine/>
    <w:qFormat/>
    <w:uiPriority w:val="0"/>
    <w:pPr>
      <w:ind w:left="1680"/>
    </w:pPr>
  </w:style>
  <w:style w:type="paragraph" w:customStyle="1" w:styleId="25">
    <w:name w:val="header4af592a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061bf37"/>
    <w:basedOn w:val="15"/>
    <w:qFormat/>
    <w:uiPriority w:val="0"/>
    <w:pPr>
      <w:tabs>
        <w:tab w:val="center" w:pos="4153"/>
        <w:tab w:val="right" w:pos="8307"/>
      </w:tabs>
      <w:adjustRightInd/>
      <w:snapToGrid w:val="0"/>
      <w:contextualSpacing w:val="0"/>
      <w:jc w:val="left"/>
    </w:pPr>
    <w:rPr>
      <w:sz w:val="18"/>
    </w:rPr>
  </w:style>
  <w:style w:type="character" w:customStyle="1" w:styleId="27">
    <w:name w:val="Strong6aaa808b"/>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a01fa2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f1b33e5"/>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660bf2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cd20a7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61d0fe0"/>
    <w:qFormat/>
    <w:uiPriority w:val="0"/>
  </w:style>
  <w:style w:type="paragraph" w:customStyle="1" w:styleId="34">
    <w:name w:val="Normal Indent0fc429df"/>
    <w:basedOn w:val="29"/>
    <w:qFormat/>
    <w:uiPriority w:val="0"/>
    <w:pPr>
      <w:ind w:firstLine="200" w:firstLineChars="200"/>
    </w:pPr>
  </w:style>
  <w:style w:type="paragraph" w:customStyle="1" w:styleId="35">
    <w:name w:val="toc 5d487465f"/>
    <w:basedOn w:val="29"/>
    <w:next w:val="1"/>
    <w:qFormat/>
    <w:uiPriority w:val="0"/>
    <w:pPr>
      <w:ind w:left="1680"/>
    </w:pPr>
  </w:style>
  <w:style w:type="paragraph" w:customStyle="1" w:styleId="36">
    <w:name w:val="toc 383bb9211"/>
    <w:basedOn w:val="29"/>
    <w:next w:val="1"/>
    <w:qFormat/>
    <w:uiPriority w:val="0"/>
    <w:pPr>
      <w:ind w:left="840"/>
    </w:pPr>
  </w:style>
  <w:style w:type="paragraph" w:customStyle="1" w:styleId="37">
    <w:name w:val="footer05cad034"/>
    <w:basedOn w:val="29"/>
    <w:qFormat/>
    <w:uiPriority w:val="0"/>
    <w:pPr>
      <w:tabs>
        <w:tab w:val="center" w:pos="4153"/>
        <w:tab w:val="right" w:pos="8307"/>
      </w:tabs>
      <w:adjustRightInd/>
      <w:snapToGrid w:val="0"/>
      <w:contextualSpacing w:val="0"/>
      <w:jc w:val="left"/>
    </w:pPr>
    <w:rPr>
      <w:sz w:val="18"/>
    </w:rPr>
  </w:style>
  <w:style w:type="paragraph" w:customStyle="1" w:styleId="38">
    <w:name w:val="headercad1456e"/>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1240d2f"/>
    <w:basedOn w:val="29"/>
    <w:next w:val="1"/>
    <w:qFormat/>
    <w:uiPriority w:val="0"/>
  </w:style>
  <w:style w:type="paragraph" w:customStyle="1" w:styleId="40">
    <w:name w:val="toc 4d654414c"/>
    <w:basedOn w:val="29"/>
    <w:next w:val="1"/>
    <w:qFormat/>
    <w:uiPriority w:val="0"/>
    <w:pPr>
      <w:ind w:left="1260"/>
    </w:pPr>
  </w:style>
  <w:style w:type="paragraph" w:customStyle="1" w:styleId="41">
    <w:name w:val="toc 20e4e4a24"/>
    <w:basedOn w:val="29"/>
    <w:next w:val="1"/>
    <w:qFormat/>
    <w:uiPriority w:val="0"/>
    <w:pPr>
      <w:ind w:left="420"/>
    </w:pPr>
  </w:style>
  <w:style w:type="paragraph" w:customStyle="1" w:styleId="42">
    <w:name w:val="Normal (Web)dc61fed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9d202eb69d202e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22c6f45822c6f4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ecb5eaf8ecb5ea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94c979dc94c979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c8362a87c8362a8"/>
    <w:qFormat/>
    <w:uiPriority w:val="0"/>
  </w:style>
  <w:style w:type="paragraph" w:customStyle="1" w:styleId="49">
    <w:name w:val="引文目录11ed99fd01ed99fd0"/>
    <w:basedOn w:val="44"/>
    <w:next w:val="1"/>
    <w:qFormat/>
    <w:uiPriority w:val="0"/>
    <w:pPr>
      <w:ind w:left="200" w:leftChars="200"/>
    </w:pPr>
  </w:style>
  <w:style w:type="paragraph" w:customStyle="1" w:styleId="50">
    <w:name w:val="toc 5c08a7922c08a7922"/>
    <w:basedOn w:val="44"/>
    <w:next w:val="1"/>
    <w:qFormat/>
    <w:uiPriority w:val="0"/>
    <w:pPr>
      <w:ind w:left="1680"/>
    </w:pPr>
  </w:style>
  <w:style w:type="paragraph" w:customStyle="1" w:styleId="51">
    <w:name w:val="toc 307cbb8e307cbb8e3"/>
    <w:basedOn w:val="44"/>
    <w:next w:val="1"/>
    <w:qFormat/>
    <w:uiPriority w:val="0"/>
    <w:pPr>
      <w:ind w:left="840"/>
    </w:pPr>
  </w:style>
  <w:style w:type="paragraph" w:customStyle="1" w:styleId="52">
    <w:name w:val="footerb7781e11b7781e11"/>
    <w:basedOn w:val="44"/>
    <w:qFormat/>
    <w:uiPriority w:val="0"/>
    <w:pPr>
      <w:tabs>
        <w:tab w:val="center" w:pos="4153"/>
        <w:tab w:val="right" w:pos="8307"/>
      </w:tabs>
      <w:adjustRightInd/>
      <w:snapToGrid w:val="0"/>
      <w:contextualSpacing w:val="0"/>
      <w:jc w:val="left"/>
    </w:pPr>
    <w:rPr>
      <w:sz w:val="18"/>
    </w:rPr>
  </w:style>
  <w:style w:type="paragraph" w:customStyle="1" w:styleId="53">
    <w:name w:val="header775354d7775354d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a5dcd241a5dcd24"/>
    <w:basedOn w:val="44"/>
    <w:next w:val="1"/>
    <w:qFormat/>
    <w:uiPriority w:val="0"/>
  </w:style>
  <w:style w:type="paragraph" w:customStyle="1" w:styleId="55">
    <w:name w:val="toc 411868adf11868adf"/>
    <w:basedOn w:val="44"/>
    <w:next w:val="1"/>
    <w:qFormat/>
    <w:uiPriority w:val="0"/>
    <w:pPr>
      <w:ind w:left="1260"/>
    </w:pPr>
  </w:style>
  <w:style w:type="paragraph" w:customStyle="1" w:styleId="56">
    <w:name w:val="toc 24892ad334892ad33"/>
    <w:basedOn w:val="44"/>
    <w:next w:val="1"/>
    <w:qFormat/>
    <w:uiPriority w:val="0"/>
    <w:pPr>
      <w:ind w:left="420"/>
    </w:pPr>
  </w:style>
  <w:style w:type="paragraph" w:customStyle="1" w:styleId="57">
    <w:name w:val="列出段落1233f62cf233f62c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31</Pages>
  <Words>4074</Words>
  <Characters>4086</Characters>
  <Lines>81</Lines>
  <Paragraphs>27</Paragraphs>
  <TotalTime>2</TotalTime>
  <ScaleCrop>false</ScaleCrop>
  <LinksUpToDate>false</LinksUpToDate>
  <CharactersWithSpaces>4087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PC</cp:lastModifiedBy>
  <dcterms:modified xsi:type="dcterms:W3CDTF">2025-11-07T02:53:12Z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