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ADC5CD">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46924379">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11A17326">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4CB8D18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19C8D9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726C55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南银理财珠联璧合安稳1909一年定开公募人民币理财产品</w:t>
            </w:r>
          </w:p>
        </w:tc>
      </w:tr>
      <w:tr w14:paraId="1D1A34F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986B3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4D3CAB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定期开放式、固定收益类、公募、净值型</w:t>
            </w:r>
          </w:p>
        </w:tc>
      </w:tr>
      <w:tr w14:paraId="2AB6194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D9E2B0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3FC794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5D15598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4D5C71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29EBE5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ZC108691944636</w:t>
            </w:r>
          </w:p>
        </w:tc>
      </w:tr>
      <w:tr w14:paraId="1D9880C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130F5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51E06E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Z7003221000022(投资者可依据该编码在中国理财网www.chinawealth.com.cn查询理财产品相关信息）</w:t>
            </w:r>
          </w:p>
        </w:tc>
      </w:tr>
      <w:tr w14:paraId="2501C1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75DF1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383E5B62">
            <w:pPr>
              <w:spacing w:line="200" w:lineRule="exact"/>
            </w:pPr>
            <w:r>
              <w:rPr>
                <w:rFonts w:ascii="方正黑体_GBK" w:hAnsi="方正黑体_GBK" w:eastAsia="方正黑体_GBK" w:cs="宋体"/>
                <w:sz w:val="18"/>
                <w:szCs w:val="18"/>
              </w:rPr>
              <w:t>A份额：Z30005</w:t>
            </w:r>
          </w:p>
          <w:p w14:paraId="1BD78D2F">
            <w:pPr>
              <w:spacing w:line="200" w:lineRule="exact"/>
            </w:pPr>
            <w:r>
              <w:rPr>
                <w:rFonts w:ascii="方正黑体_GBK" w:hAnsi="方正黑体_GBK" w:eastAsia="方正黑体_GBK" w:cs="宋体"/>
                <w:sz w:val="18"/>
                <w:szCs w:val="18"/>
              </w:rPr>
              <w:t>C份额：Z31005</w:t>
            </w:r>
          </w:p>
          <w:p w14:paraId="5F985D7D">
            <w:pPr>
              <w:spacing w:line="200" w:lineRule="exact"/>
            </w:pPr>
            <w:r>
              <w:rPr>
                <w:rFonts w:ascii="方正黑体_GBK" w:hAnsi="方正黑体_GBK" w:eastAsia="方正黑体_GBK" w:cs="宋体"/>
                <w:sz w:val="18"/>
                <w:szCs w:val="18"/>
              </w:rPr>
              <w:t>E份额：Z32005</w:t>
            </w:r>
          </w:p>
          <w:p w14:paraId="4B4E1373">
            <w:pPr>
              <w:spacing w:line="200" w:lineRule="exact"/>
            </w:pPr>
            <w:r>
              <w:rPr>
                <w:rFonts w:ascii="方正黑体_GBK" w:hAnsi="方正黑体_GBK" w:eastAsia="方正黑体_GBK" w:cs="宋体"/>
                <w:sz w:val="18"/>
                <w:szCs w:val="18"/>
              </w:rPr>
              <w:t>B2份额：ZB31005</w:t>
            </w:r>
          </w:p>
          <w:p w14:paraId="77318075">
            <w:pPr>
              <w:spacing w:line="200" w:lineRule="exact"/>
            </w:pPr>
            <w:r>
              <w:rPr>
                <w:rFonts w:ascii="方正黑体_GBK" w:hAnsi="方正黑体_GBK" w:eastAsia="方正黑体_GBK" w:cs="宋体"/>
                <w:sz w:val="18"/>
                <w:szCs w:val="18"/>
              </w:rPr>
              <w:t>C2份额：ZC31005</w:t>
            </w:r>
          </w:p>
          <w:p w14:paraId="0087FDD2">
            <w:pPr>
              <w:spacing w:line="200" w:lineRule="exact"/>
            </w:pPr>
            <w:r>
              <w:rPr>
                <w:rFonts w:ascii="方正黑体_GBK" w:hAnsi="方正黑体_GBK" w:eastAsia="方正黑体_GBK" w:cs="宋体"/>
                <w:sz w:val="18"/>
                <w:szCs w:val="18"/>
              </w:rPr>
              <w:t>D2份额：ZD31005</w:t>
            </w:r>
          </w:p>
          <w:p w14:paraId="6E4AD189">
            <w:pPr>
              <w:spacing w:line="200" w:lineRule="exact"/>
            </w:pPr>
            <w:r>
              <w:rPr>
                <w:rFonts w:ascii="方正黑体_GBK" w:hAnsi="方正黑体_GBK" w:eastAsia="方正黑体_GBK" w:cs="宋体"/>
                <w:sz w:val="18"/>
                <w:szCs w:val="18"/>
              </w:rPr>
              <w:t>E2份额：ZE31005</w:t>
            </w:r>
          </w:p>
          <w:p w14:paraId="64E36A96">
            <w:pPr>
              <w:spacing w:line="200" w:lineRule="exact"/>
            </w:pPr>
            <w:r>
              <w:rPr>
                <w:rFonts w:ascii="方正黑体_GBK" w:hAnsi="方正黑体_GBK" w:eastAsia="方正黑体_GBK" w:cs="宋体"/>
                <w:sz w:val="18"/>
                <w:szCs w:val="18"/>
              </w:rPr>
              <w:t>B3份额：ZB32005</w:t>
            </w:r>
          </w:p>
          <w:p w14:paraId="250BFA4C">
            <w:pPr>
              <w:spacing w:line="200" w:lineRule="exact"/>
            </w:pPr>
            <w:r>
              <w:rPr>
                <w:rFonts w:ascii="方正黑体_GBK" w:hAnsi="方正黑体_GBK" w:eastAsia="方正黑体_GBK" w:cs="宋体"/>
                <w:sz w:val="18"/>
                <w:szCs w:val="18"/>
              </w:rPr>
              <w:t>C3份额：ZC32005</w:t>
            </w:r>
          </w:p>
          <w:p w14:paraId="4898538D">
            <w:pPr>
              <w:spacing w:line="200" w:lineRule="exact"/>
            </w:pPr>
            <w:r>
              <w:rPr>
                <w:rFonts w:ascii="方正黑体_GBK" w:hAnsi="方正黑体_GBK" w:eastAsia="方正黑体_GBK" w:cs="宋体"/>
                <w:sz w:val="18"/>
                <w:szCs w:val="18"/>
              </w:rPr>
              <w:t>D3份额：ZD32005</w:t>
            </w:r>
          </w:p>
          <w:p w14:paraId="35F9ED53">
            <w:pPr>
              <w:spacing w:line="200" w:lineRule="exact"/>
            </w:pPr>
            <w:r>
              <w:rPr>
                <w:rFonts w:ascii="方正黑体_GBK" w:hAnsi="方正黑体_GBK" w:eastAsia="方正黑体_GBK" w:cs="宋体"/>
                <w:sz w:val="18"/>
                <w:szCs w:val="18"/>
              </w:rPr>
              <w:t>E3份额：ZE32005</w:t>
            </w:r>
          </w:p>
          <w:p w14:paraId="1FCEE6EC">
            <w:pPr>
              <w:spacing w:line="200" w:lineRule="exact"/>
            </w:pPr>
            <w:r>
              <w:rPr>
                <w:rFonts w:ascii="方正黑体_GBK" w:hAnsi="方正黑体_GBK" w:eastAsia="方正黑体_GBK" w:cs="宋体"/>
                <w:sz w:val="18"/>
                <w:szCs w:val="18"/>
              </w:rPr>
              <w:t>A4份额：Z33005</w:t>
            </w:r>
          </w:p>
          <w:p w14:paraId="1040798A">
            <w:pPr>
              <w:spacing w:line="200" w:lineRule="exact"/>
            </w:pPr>
            <w:r>
              <w:rPr>
                <w:rFonts w:ascii="方正黑体_GBK" w:hAnsi="方正黑体_GBK" w:eastAsia="方正黑体_GBK" w:cs="宋体"/>
                <w:sz w:val="18"/>
                <w:szCs w:val="18"/>
              </w:rPr>
              <w:t>B4份额：ZB33005</w:t>
            </w:r>
          </w:p>
          <w:p w14:paraId="06F96268">
            <w:pPr>
              <w:spacing w:line="200" w:lineRule="exact"/>
            </w:pPr>
            <w:r>
              <w:rPr>
                <w:rFonts w:ascii="方正黑体_GBK" w:hAnsi="方正黑体_GBK" w:eastAsia="方正黑体_GBK" w:cs="宋体"/>
                <w:sz w:val="18"/>
                <w:szCs w:val="18"/>
              </w:rPr>
              <w:t>C4份额：ZC33005</w:t>
            </w:r>
          </w:p>
          <w:p w14:paraId="43738786">
            <w:pPr>
              <w:spacing w:line="200" w:lineRule="exact"/>
            </w:pPr>
            <w:r>
              <w:rPr>
                <w:rFonts w:ascii="方正黑体_GBK" w:hAnsi="方正黑体_GBK" w:eastAsia="方正黑体_GBK" w:cs="宋体"/>
                <w:sz w:val="18"/>
                <w:szCs w:val="18"/>
              </w:rPr>
              <w:t>D4份额：ZD33005</w:t>
            </w:r>
          </w:p>
          <w:p w14:paraId="0C80A1BE">
            <w:pPr>
              <w:spacing w:line="200" w:lineRule="exact"/>
            </w:pPr>
            <w:r>
              <w:rPr>
                <w:rFonts w:ascii="方正黑体_GBK" w:hAnsi="方正黑体_GBK" w:eastAsia="方正黑体_GBK" w:cs="宋体"/>
                <w:sz w:val="18"/>
                <w:szCs w:val="18"/>
              </w:rPr>
              <w:t>E4份额：ZE33005</w:t>
            </w:r>
          </w:p>
          <w:p w14:paraId="5EEEDEFE">
            <w:pPr>
              <w:spacing w:line="200" w:lineRule="exact"/>
            </w:pPr>
            <w:r>
              <w:rPr>
                <w:rFonts w:ascii="方正黑体_GBK" w:hAnsi="方正黑体_GBK" w:eastAsia="方正黑体_GBK" w:cs="宋体"/>
                <w:sz w:val="18"/>
                <w:szCs w:val="18"/>
              </w:rPr>
              <w:t>F2份额：ZF31005</w:t>
            </w:r>
          </w:p>
          <w:p w14:paraId="0E7F937E">
            <w:pPr>
              <w:spacing w:line="200" w:lineRule="exact"/>
            </w:pPr>
            <w:r>
              <w:rPr>
                <w:rFonts w:ascii="方正黑体_GBK" w:hAnsi="方正黑体_GBK" w:eastAsia="方正黑体_GBK" w:cs="宋体"/>
                <w:sz w:val="18"/>
                <w:szCs w:val="18"/>
              </w:rPr>
              <w:t>F3份额：ZF32005</w:t>
            </w:r>
          </w:p>
          <w:p w14:paraId="4E5B54D2">
            <w:pPr>
              <w:spacing w:line="200" w:lineRule="exact"/>
            </w:pPr>
            <w:r>
              <w:rPr>
                <w:rFonts w:ascii="方正黑体_GBK" w:hAnsi="方正黑体_GBK" w:eastAsia="方正黑体_GBK" w:cs="宋体"/>
                <w:sz w:val="18"/>
                <w:szCs w:val="18"/>
              </w:rPr>
              <w:t>G2份额：ZG31005</w:t>
            </w:r>
          </w:p>
          <w:p w14:paraId="45F46511">
            <w:pPr>
              <w:spacing w:line="200" w:lineRule="exact"/>
            </w:pPr>
            <w:r>
              <w:rPr>
                <w:rFonts w:ascii="方正黑体_GBK" w:hAnsi="方正黑体_GBK" w:eastAsia="方正黑体_GBK" w:cs="宋体"/>
                <w:sz w:val="18"/>
                <w:szCs w:val="18"/>
              </w:rPr>
              <w:t>G3份额：ZG32005</w:t>
            </w:r>
          </w:p>
          <w:p w14:paraId="1EB04106">
            <w:pPr>
              <w:spacing w:line="200" w:lineRule="exact"/>
            </w:pPr>
            <w:r>
              <w:rPr>
                <w:rFonts w:ascii="方正黑体_GBK" w:hAnsi="方正黑体_GBK" w:eastAsia="方正黑体_GBK" w:cs="宋体"/>
                <w:sz w:val="18"/>
                <w:szCs w:val="18"/>
              </w:rPr>
              <w:t>F4份额：ZF33005</w:t>
            </w:r>
          </w:p>
          <w:p w14:paraId="369F0DF4">
            <w:pPr>
              <w:spacing w:line="200" w:lineRule="exact"/>
            </w:pPr>
            <w:r>
              <w:rPr>
                <w:rFonts w:ascii="方正黑体_GBK" w:hAnsi="方正黑体_GBK" w:eastAsia="方正黑体_GBK" w:cs="宋体"/>
                <w:sz w:val="18"/>
                <w:szCs w:val="18"/>
              </w:rPr>
              <w:t>G4份额：ZG33005</w:t>
            </w:r>
          </w:p>
          <w:p w14:paraId="12048C7B">
            <w:pPr>
              <w:spacing w:line="200" w:lineRule="exact"/>
            </w:pPr>
            <w:r>
              <w:rPr>
                <w:rFonts w:ascii="方正黑体_GBK" w:hAnsi="方正黑体_GBK" w:eastAsia="方正黑体_GBK" w:cs="宋体"/>
                <w:sz w:val="18"/>
                <w:szCs w:val="18"/>
              </w:rPr>
              <w:t>H2份额：ZH31005</w:t>
            </w:r>
          </w:p>
          <w:p w14:paraId="2E372ACD">
            <w:pPr>
              <w:spacing w:line="200" w:lineRule="exact"/>
            </w:pPr>
            <w:r>
              <w:rPr>
                <w:rFonts w:ascii="方正黑体_GBK" w:hAnsi="方正黑体_GBK" w:eastAsia="方正黑体_GBK" w:cs="宋体"/>
                <w:sz w:val="18"/>
                <w:szCs w:val="18"/>
              </w:rPr>
              <w:t>J2份额：ZJ31005</w:t>
            </w:r>
          </w:p>
          <w:p w14:paraId="715349AC">
            <w:pPr>
              <w:spacing w:line="200" w:lineRule="exact"/>
            </w:pPr>
            <w:r>
              <w:rPr>
                <w:rFonts w:ascii="方正黑体_GBK" w:hAnsi="方正黑体_GBK" w:eastAsia="方正黑体_GBK" w:cs="宋体"/>
                <w:sz w:val="18"/>
                <w:szCs w:val="18"/>
              </w:rPr>
              <w:t>K2份额：ZK31005</w:t>
            </w:r>
          </w:p>
          <w:p w14:paraId="7B8006E5">
            <w:pPr>
              <w:spacing w:line="200" w:lineRule="exact"/>
            </w:pPr>
            <w:r>
              <w:rPr>
                <w:rFonts w:ascii="方正黑体_GBK" w:hAnsi="方正黑体_GBK" w:eastAsia="方正黑体_GBK" w:cs="宋体"/>
                <w:sz w:val="18"/>
                <w:szCs w:val="18"/>
              </w:rPr>
              <w:t>J3份额：ZJ32005</w:t>
            </w:r>
          </w:p>
          <w:p w14:paraId="62FF83A6">
            <w:pPr>
              <w:spacing w:line="200" w:lineRule="exact"/>
            </w:pPr>
            <w:r>
              <w:rPr>
                <w:rFonts w:ascii="方正黑体_GBK" w:hAnsi="方正黑体_GBK" w:eastAsia="方正黑体_GBK" w:cs="宋体"/>
                <w:sz w:val="18"/>
                <w:szCs w:val="18"/>
              </w:rPr>
              <w:t>K3份额：ZK32005</w:t>
            </w:r>
          </w:p>
          <w:p w14:paraId="4456781E">
            <w:pPr>
              <w:spacing w:line="200" w:lineRule="exact"/>
            </w:pPr>
            <w:r>
              <w:rPr>
                <w:rFonts w:ascii="方正黑体_GBK" w:hAnsi="方正黑体_GBK" w:eastAsia="方正黑体_GBK" w:cs="宋体"/>
                <w:sz w:val="18"/>
                <w:szCs w:val="18"/>
              </w:rPr>
              <w:t>L3份额：ZL32005</w:t>
            </w:r>
          </w:p>
          <w:p w14:paraId="2CBF2F49">
            <w:pPr>
              <w:spacing w:line="200" w:lineRule="exact"/>
            </w:pPr>
            <w:r>
              <w:rPr>
                <w:rFonts w:ascii="方正黑体_GBK" w:hAnsi="方正黑体_GBK" w:eastAsia="方正黑体_GBK" w:cs="宋体"/>
                <w:sz w:val="18"/>
                <w:szCs w:val="18"/>
              </w:rPr>
              <w:t>J4份额：ZJ33005</w:t>
            </w:r>
          </w:p>
          <w:p w14:paraId="225422D6">
            <w:pPr>
              <w:spacing w:line="200" w:lineRule="exact"/>
            </w:pPr>
            <w:r>
              <w:rPr>
                <w:rFonts w:ascii="方正黑体_GBK" w:hAnsi="方正黑体_GBK" w:eastAsia="方正黑体_GBK" w:cs="宋体"/>
                <w:sz w:val="18"/>
                <w:szCs w:val="18"/>
              </w:rPr>
              <w:t>K4份额：ZK33005</w:t>
            </w:r>
          </w:p>
          <w:p w14:paraId="7D382F2F">
            <w:pPr>
              <w:spacing w:line="200" w:lineRule="exact"/>
            </w:pPr>
            <w:r>
              <w:rPr>
                <w:rFonts w:ascii="方正黑体_GBK" w:hAnsi="方正黑体_GBK" w:eastAsia="方正黑体_GBK" w:cs="宋体"/>
                <w:sz w:val="18"/>
                <w:szCs w:val="18"/>
              </w:rPr>
              <w:t>I3份额：ZI32005</w:t>
            </w:r>
          </w:p>
          <w:p w14:paraId="2B9EFBAC">
            <w:pPr>
              <w:spacing w:line="200" w:lineRule="exact"/>
            </w:pPr>
            <w:r>
              <w:rPr>
                <w:rFonts w:ascii="方正黑体_GBK" w:hAnsi="方正黑体_GBK" w:eastAsia="方正黑体_GBK" w:cs="宋体"/>
                <w:sz w:val="18"/>
                <w:szCs w:val="18"/>
              </w:rPr>
              <w:t>M2份额：ZM31005</w:t>
            </w:r>
          </w:p>
          <w:p w14:paraId="5DD7535D">
            <w:pPr>
              <w:spacing w:line="200" w:lineRule="exact"/>
            </w:pPr>
            <w:r>
              <w:rPr>
                <w:rFonts w:ascii="方正黑体_GBK" w:hAnsi="方正黑体_GBK" w:eastAsia="方正黑体_GBK" w:cs="宋体"/>
                <w:sz w:val="18"/>
                <w:szCs w:val="18"/>
              </w:rPr>
              <w:t>M3份额：ZM32005</w:t>
            </w:r>
          </w:p>
          <w:p w14:paraId="52A520FB">
            <w:pPr>
              <w:spacing w:line="200" w:lineRule="exact"/>
            </w:pPr>
            <w:r>
              <w:rPr>
                <w:rFonts w:ascii="方正黑体_GBK" w:hAnsi="方正黑体_GBK" w:eastAsia="方正黑体_GBK" w:cs="宋体"/>
                <w:sz w:val="18"/>
                <w:szCs w:val="18"/>
              </w:rPr>
              <w:t>M4份额：ZM33005</w:t>
            </w:r>
          </w:p>
          <w:p w14:paraId="30FA61AD">
            <w:pPr>
              <w:spacing w:line="200" w:lineRule="exact"/>
            </w:pPr>
            <w:r>
              <w:rPr>
                <w:rFonts w:ascii="方正黑体_GBK" w:hAnsi="方正黑体_GBK" w:eastAsia="方正黑体_GBK" w:cs="宋体"/>
                <w:sz w:val="18"/>
                <w:szCs w:val="18"/>
              </w:rPr>
              <w:t>O2份额：ZO31005</w:t>
            </w:r>
          </w:p>
          <w:p w14:paraId="3488DF8E">
            <w:pPr>
              <w:spacing w:line="200" w:lineRule="exact"/>
            </w:pPr>
            <w:r>
              <w:rPr>
                <w:rFonts w:ascii="方正黑体_GBK" w:hAnsi="方正黑体_GBK" w:eastAsia="方正黑体_GBK" w:cs="宋体"/>
                <w:sz w:val="18"/>
                <w:szCs w:val="18"/>
              </w:rPr>
              <w:t>O3份额：ZO32005</w:t>
            </w:r>
          </w:p>
          <w:p w14:paraId="22611B0E">
            <w:pPr>
              <w:spacing w:line="200" w:lineRule="exact"/>
            </w:pPr>
            <w:r>
              <w:rPr>
                <w:rFonts w:ascii="方正黑体_GBK" w:hAnsi="方正黑体_GBK" w:eastAsia="方正黑体_GBK" w:cs="宋体"/>
                <w:sz w:val="18"/>
                <w:szCs w:val="18"/>
              </w:rPr>
              <w:t>O4份额：ZO33005</w:t>
            </w:r>
          </w:p>
          <w:p w14:paraId="7EFC71D3">
            <w:pPr>
              <w:spacing w:line="200" w:lineRule="exact"/>
            </w:pPr>
            <w:r>
              <w:rPr>
                <w:rFonts w:ascii="方正黑体_GBK" w:hAnsi="方正黑体_GBK" w:eastAsia="方正黑体_GBK" w:cs="宋体"/>
                <w:sz w:val="18"/>
                <w:szCs w:val="18"/>
              </w:rPr>
              <w:t>Q1份额：ZQ30005</w:t>
            </w:r>
          </w:p>
          <w:p w14:paraId="3B83861F">
            <w:pPr>
              <w:spacing w:line="200" w:lineRule="exact"/>
            </w:pPr>
            <w:r>
              <w:rPr>
                <w:rFonts w:ascii="方正黑体_GBK" w:hAnsi="方正黑体_GBK" w:eastAsia="方正黑体_GBK" w:cs="宋体"/>
                <w:sz w:val="18"/>
                <w:szCs w:val="18"/>
              </w:rPr>
              <w:t>R1份额：ZR30005</w:t>
            </w:r>
          </w:p>
          <w:p w14:paraId="782128AC">
            <w:pPr>
              <w:spacing w:line="200" w:lineRule="exact"/>
            </w:pPr>
            <w:r>
              <w:rPr>
                <w:rFonts w:ascii="方正黑体_GBK" w:hAnsi="方正黑体_GBK" w:eastAsia="方正黑体_GBK" w:cs="宋体"/>
                <w:sz w:val="18"/>
                <w:szCs w:val="18"/>
              </w:rPr>
              <w:t>Q2份额：ZQ31005</w:t>
            </w:r>
          </w:p>
          <w:p w14:paraId="0E3FE115">
            <w:pPr>
              <w:spacing w:line="200" w:lineRule="exact"/>
            </w:pPr>
            <w:r>
              <w:rPr>
                <w:rFonts w:ascii="方正黑体_GBK" w:hAnsi="方正黑体_GBK" w:eastAsia="方正黑体_GBK" w:cs="宋体"/>
                <w:sz w:val="18"/>
                <w:szCs w:val="18"/>
              </w:rPr>
              <w:t>R2份额：ZR31005</w:t>
            </w:r>
          </w:p>
          <w:p w14:paraId="6028ADC0">
            <w:pPr>
              <w:spacing w:line="200" w:lineRule="exact"/>
            </w:pPr>
            <w:r>
              <w:rPr>
                <w:rFonts w:ascii="方正黑体_GBK" w:hAnsi="方正黑体_GBK" w:eastAsia="方正黑体_GBK" w:cs="宋体"/>
                <w:sz w:val="18"/>
                <w:szCs w:val="18"/>
              </w:rPr>
              <w:t>Q3份额：ZQ32005</w:t>
            </w:r>
          </w:p>
          <w:p w14:paraId="68A1793A">
            <w:pPr>
              <w:spacing w:line="200" w:lineRule="exact"/>
            </w:pPr>
            <w:r>
              <w:rPr>
                <w:rFonts w:ascii="方正黑体_GBK" w:hAnsi="方正黑体_GBK" w:eastAsia="方正黑体_GBK" w:cs="宋体"/>
                <w:sz w:val="18"/>
                <w:szCs w:val="18"/>
              </w:rPr>
              <w:t>R3份额：ZR32005</w:t>
            </w:r>
          </w:p>
          <w:p w14:paraId="458F64D7">
            <w:pPr>
              <w:spacing w:line="200" w:lineRule="exact"/>
            </w:pPr>
            <w:r>
              <w:rPr>
                <w:rFonts w:ascii="方正黑体_GBK" w:hAnsi="方正黑体_GBK" w:eastAsia="方正黑体_GBK" w:cs="宋体"/>
                <w:sz w:val="18"/>
                <w:szCs w:val="18"/>
              </w:rPr>
              <w:t>Q4份额：ZQ33005</w:t>
            </w:r>
          </w:p>
          <w:p w14:paraId="707D05B7">
            <w:pPr>
              <w:spacing w:line="200" w:lineRule="exact"/>
            </w:pPr>
            <w:r>
              <w:rPr>
                <w:rFonts w:ascii="方正黑体_GBK" w:hAnsi="方正黑体_GBK" w:eastAsia="方正黑体_GBK" w:cs="宋体"/>
                <w:sz w:val="18"/>
                <w:szCs w:val="18"/>
              </w:rPr>
              <w:t>R4份额：ZR33005</w:t>
            </w:r>
          </w:p>
          <w:p w14:paraId="350972A0">
            <w:pPr>
              <w:spacing w:line="200" w:lineRule="exact"/>
            </w:pPr>
            <w:r>
              <w:rPr>
                <w:rFonts w:ascii="方正黑体_GBK" w:hAnsi="方正黑体_GBK" w:eastAsia="方正黑体_GBK" w:cs="宋体"/>
                <w:sz w:val="18"/>
                <w:szCs w:val="18"/>
              </w:rPr>
              <w:t>B1份额：ZB30005</w:t>
            </w:r>
          </w:p>
          <w:p w14:paraId="1BDD0B7F">
            <w:pPr>
              <w:spacing w:line="200" w:lineRule="exact"/>
            </w:pPr>
            <w:r>
              <w:rPr>
                <w:rFonts w:ascii="方正黑体_GBK" w:hAnsi="方正黑体_GBK" w:eastAsia="方正黑体_GBK" w:cs="宋体"/>
                <w:sz w:val="18"/>
                <w:szCs w:val="18"/>
              </w:rPr>
              <w:t>C1份额：ZC30005</w:t>
            </w:r>
          </w:p>
          <w:p w14:paraId="16461226">
            <w:pPr>
              <w:spacing w:line="200" w:lineRule="exact"/>
            </w:pPr>
            <w:r>
              <w:rPr>
                <w:rFonts w:ascii="方正黑体_GBK" w:hAnsi="方正黑体_GBK" w:eastAsia="方正黑体_GBK" w:cs="宋体"/>
                <w:sz w:val="18"/>
                <w:szCs w:val="18"/>
              </w:rPr>
              <w:t>D1份额：ZD30005</w:t>
            </w:r>
          </w:p>
          <w:p w14:paraId="608C84C7">
            <w:pPr>
              <w:spacing w:line="200" w:lineRule="exact"/>
            </w:pPr>
            <w:r>
              <w:rPr>
                <w:rFonts w:ascii="方正黑体_GBK" w:hAnsi="方正黑体_GBK" w:eastAsia="方正黑体_GBK" w:cs="宋体"/>
                <w:sz w:val="18"/>
                <w:szCs w:val="18"/>
              </w:rPr>
              <w:t>E1份额：ZE30005</w:t>
            </w:r>
          </w:p>
          <w:p w14:paraId="4649B03D">
            <w:pPr>
              <w:spacing w:line="200" w:lineRule="exact"/>
            </w:pPr>
            <w:r>
              <w:rPr>
                <w:rFonts w:ascii="方正黑体_GBK" w:hAnsi="方正黑体_GBK" w:eastAsia="方正黑体_GBK" w:cs="宋体"/>
                <w:sz w:val="18"/>
                <w:szCs w:val="18"/>
              </w:rPr>
              <w:t>F1份额：ZF30005</w:t>
            </w:r>
          </w:p>
          <w:p w14:paraId="59F9922D">
            <w:pPr>
              <w:spacing w:line="200" w:lineRule="exact"/>
            </w:pPr>
            <w:r>
              <w:rPr>
                <w:rFonts w:ascii="方正黑体_GBK" w:hAnsi="方正黑体_GBK" w:eastAsia="方正黑体_GBK" w:cs="宋体"/>
                <w:sz w:val="18"/>
                <w:szCs w:val="18"/>
              </w:rPr>
              <w:t>G1份额：ZG30005</w:t>
            </w:r>
          </w:p>
          <w:p w14:paraId="380DB8E6">
            <w:pPr>
              <w:spacing w:line="200" w:lineRule="exact"/>
            </w:pPr>
            <w:r>
              <w:rPr>
                <w:rFonts w:ascii="方正黑体_GBK" w:hAnsi="方正黑体_GBK" w:eastAsia="方正黑体_GBK" w:cs="宋体"/>
                <w:sz w:val="18"/>
                <w:szCs w:val="18"/>
              </w:rPr>
              <w:t>J1份额：ZJ30005</w:t>
            </w:r>
          </w:p>
          <w:p w14:paraId="7BE4E898">
            <w:pPr>
              <w:spacing w:line="200" w:lineRule="exact"/>
            </w:pPr>
            <w:r>
              <w:rPr>
                <w:rFonts w:ascii="方正黑体_GBK" w:hAnsi="方正黑体_GBK" w:eastAsia="方正黑体_GBK" w:cs="宋体"/>
                <w:sz w:val="18"/>
                <w:szCs w:val="18"/>
              </w:rPr>
              <w:t>K1份额：ZK30005</w:t>
            </w:r>
          </w:p>
          <w:p w14:paraId="745C33DB">
            <w:pPr>
              <w:spacing w:line="200" w:lineRule="exact"/>
            </w:pPr>
            <w:r>
              <w:rPr>
                <w:rFonts w:ascii="方正黑体_GBK" w:hAnsi="方正黑体_GBK" w:eastAsia="方正黑体_GBK" w:cs="宋体"/>
                <w:sz w:val="18"/>
                <w:szCs w:val="18"/>
              </w:rPr>
              <w:t>L1份额：ZL30005</w:t>
            </w:r>
          </w:p>
          <w:p w14:paraId="78D646F3">
            <w:pPr>
              <w:spacing w:line="200" w:lineRule="exact"/>
            </w:pPr>
            <w:r>
              <w:rPr>
                <w:rFonts w:ascii="方正黑体_GBK" w:hAnsi="方正黑体_GBK" w:eastAsia="方正黑体_GBK" w:cs="宋体"/>
                <w:sz w:val="18"/>
                <w:szCs w:val="18"/>
              </w:rPr>
              <w:t>M1份额：ZM30005</w:t>
            </w:r>
          </w:p>
          <w:p w14:paraId="6DC1207B">
            <w:pPr>
              <w:spacing w:line="200" w:lineRule="exact"/>
            </w:pPr>
            <w:r>
              <w:rPr>
                <w:rFonts w:ascii="方正黑体_GBK" w:hAnsi="方正黑体_GBK" w:eastAsia="方正黑体_GBK" w:cs="宋体"/>
                <w:sz w:val="18"/>
                <w:szCs w:val="18"/>
              </w:rPr>
              <w:t>N1份额：ZN30005</w:t>
            </w:r>
          </w:p>
          <w:p w14:paraId="5DF75239">
            <w:pPr>
              <w:spacing w:line="200" w:lineRule="exact"/>
            </w:pPr>
            <w:r>
              <w:rPr>
                <w:rFonts w:ascii="方正黑体_GBK" w:hAnsi="方正黑体_GBK" w:eastAsia="方正黑体_GBK" w:cs="宋体"/>
                <w:sz w:val="18"/>
                <w:szCs w:val="18"/>
              </w:rPr>
              <w:t>O1份额：ZO30005</w:t>
            </w:r>
          </w:p>
          <w:p w14:paraId="2AB55583">
            <w:pPr>
              <w:spacing w:line="200" w:lineRule="exact"/>
            </w:pPr>
            <w:r>
              <w:rPr>
                <w:rFonts w:ascii="方正黑体_GBK" w:hAnsi="方正黑体_GBK" w:eastAsia="方正黑体_GBK" w:cs="宋体"/>
                <w:sz w:val="18"/>
                <w:szCs w:val="18"/>
              </w:rPr>
              <w:t>S1份额：ZS30005</w:t>
            </w:r>
          </w:p>
          <w:p w14:paraId="3ECB4BAA">
            <w:pPr>
              <w:spacing w:line="200" w:lineRule="exact"/>
            </w:pPr>
            <w:r>
              <w:rPr>
                <w:rFonts w:ascii="方正黑体_GBK" w:hAnsi="方正黑体_GBK" w:eastAsia="方正黑体_GBK" w:cs="宋体"/>
                <w:sz w:val="18"/>
                <w:szCs w:val="18"/>
              </w:rPr>
              <w:t>S2份额：ZS31005</w:t>
            </w:r>
          </w:p>
          <w:p w14:paraId="5ED9D04F">
            <w:pPr>
              <w:spacing w:line="200" w:lineRule="exact"/>
            </w:pPr>
            <w:r>
              <w:rPr>
                <w:rFonts w:ascii="方正黑体_GBK" w:hAnsi="方正黑体_GBK" w:eastAsia="方正黑体_GBK" w:cs="宋体"/>
                <w:sz w:val="18"/>
                <w:szCs w:val="18"/>
              </w:rPr>
              <w:t>S3份额：ZS32005</w:t>
            </w:r>
          </w:p>
          <w:p w14:paraId="41A9E0DF">
            <w:pPr>
              <w:spacing w:line="200" w:lineRule="exact"/>
            </w:pPr>
            <w:r>
              <w:rPr>
                <w:rFonts w:ascii="方正黑体_GBK" w:hAnsi="方正黑体_GBK" w:eastAsia="方正黑体_GBK" w:cs="宋体"/>
                <w:sz w:val="18"/>
                <w:szCs w:val="18"/>
              </w:rPr>
              <w:t>S4份额：ZS33005</w:t>
            </w:r>
          </w:p>
          <w:p w14:paraId="2693706A">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0E942B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7B3E39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理财期限</w:t>
            </w:r>
          </w:p>
        </w:tc>
        <w:tc>
          <w:tcPr>
            <w:tcW w:w="5543" w:type="dxa"/>
            <w:tcBorders>
              <w:top w:val="single" w:color="auto" w:sz="4" w:space="0"/>
              <w:left w:val="nil"/>
              <w:bottom w:val="single" w:color="auto" w:sz="4" w:space="0"/>
              <w:right w:val="single" w:color="auto" w:sz="4" w:space="0"/>
              <w:tl2br w:val="nil"/>
              <w:tr2bl w:val="nil"/>
            </w:tcBorders>
            <w:vAlign w:val="center"/>
          </w:tcPr>
          <w:p w14:paraId="1E39963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sz w:val="18"/>
                <w:szCs w:val="18"/>
              </w:rPr>
              <w:t>10年</w:t>
            </w:r>
            <w:r>
              <w:rPr>
                <w:rFonts w:hint="eastAsia" w:ascii="方正黑体_GBK" w:hAnsi="方正黑体_GBK" w:eastAsia="方正黑体_GBK" w:cs="宋体"/>
                <w:kern w:val="0"/>
                <w:sz w:val="18"/>
                <w:szCs w:val="18"/>
                <w:lang w:val="en-US" w:eastAsia="zh-CN"/>
              </w:rPr>
              <w:t>（管理人有权提前终止或延期终止）</w:t>
            </w:r>
          </w:p>
        </w:tc>
      </w:tr>
      <w:tr w14:paraId="2146766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F6C9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2EF3B22E">
            <w:pPr>
              <w:spacing w:line="200" w:lineRule="exact"/>
            </w:pPr>
            <w:r>
              <w:rPr>
                <w:rFonts w:ascii="方正黑体_GBK" w:hAnsi="方正黑体_GBK" w:eastAsia="方正黑体_GBK" w:cs="宋体"/>
                <w:sz w:val="18"/>
                <w:szCs w:val="18"/>
              </w:rPr>
              <w:t>全国</w:t>
            </w:r>
          </w:p>
        </w:tc>
      </w:tr>
      <w:tr w14:paraId="5065850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C334D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1798415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01B7AFF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1F75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6613561F">
            <w:pPr>
              <w:spacing w:line="200" w:lineRule="exact"/>
            </w:pPr>
            <w:r>
              <w:rPr>
                <w:rFonts w:ascii="方正黑体_GBK" w:hAnsi="方正黑体_GBK" w:eastAsia="方正黑体_GBK" w:cs="宋体"/>
                <w:sz w:val="18"/>
                <w:szCs w:val="18"/>
              </w:rPr>
              <w:t>本理财产品规模上限为500亿元。理财产品管理人有权对上述规模上限根据实际业务需求进行调整。</w:t>
            </w:r>
          </w:p>
        </w:tc>
      </w:tr>
      <w:tr w14:paraId="7AA3AD4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F663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3DD6F885">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58B2779A">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01005FB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D0E7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71DAAB51">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23A2791C">
            <w:pPr>
              <w:spacing w:line="200" w:lineRule="exact"/>
            </w:pPr>
            <w:r>
              <w:rPr>
                <w:rFonts w:ascii="方正黑体_GBK" w:hAnsi="方正黑体_GBK" w:eastAsia="方正黑体_GBK" w:cs="宋体"/>
                <w:sz w:val="18"/>
                <w:szCs w:val="18"/>
              </w:rPr>
              <w:t>A份额：南京银行股份有限公司、南银理财有限责任公司、江苏常熟农村商业银行股份有限公司、日照银行股份有限公司、齐鲁银行股份有限公司、深圳前海微众银行股份有限公司、云南红塔银行股份有限公司、九江银行股份有限公司、互金平台、无锡锡商银行股份有限公司、江苏南通农村商业银行股份有限公司、江苏扬州农村商业银行股份有限公司、江苏如皋农村商业银行股份有限公司客户。</w:t>
            </w:r>
          </w:p>
          <w:p w14:paraId="42B26310">
            <w:pPr>
              <w:spacing w:line="200" w:lineRule="exact"/>
            </w:pPr>
            <w:r>
              <w:rPr>
                <w:rFonts w:ascii="方正黑体_GBK" w:hAnsi="方正黑体_GBK" w:eastAsia="方正黑体_GBK" w:cs="宋体"/>
                <w:sz w:val="18"/>
                <w:szCs w:val="18"/>
              </w:rPr>
              <w:t>C份额：南京银行股份有限公司、南银理财有限责任公司、江苏常熟农村商业银行股份有限公司、日照银行股份有限公司、齐鲁银行股份有限公司、深圳前海微众银行股份有限公司、云南红塔银行股份有限公司、九江银行股份有限公司、互金平台、无锡锡商银行股份有限公司、江苏南通农村商业银行股份有限公司、江苏扬州农村商业银行股份有限公司、江苏如皋农村商业银行股份有限公司客户。</w:t>
            </w:r>
          </w:p>
          <w:p w14:paraId="51D7C5DD">
            <w:pPr>
              <w:spacing w:line="200" w:lineRule="exact"/>
            </w:pPr>
            <w:r>
              <w:rPr>
                <w:rFonts w:ascii="方正黑体_GBK" w:hAnsi="方正黑体_GBK" w:eastAsia="方正黑体_GBK" w:cs="宋体"/>
                <w:sz w:val="18"/>
                <w:szCs w:val="18"/>
              </w:rPr>
              <w:t>E份额：南京银行股份有限公司、南银理财有限责任公司、江苏常熟农村商业银行股份有限公司、日照银行股份有限公司、齐鲁银行股份有限公司、深圳前海微众银行股份有限公司、云南红塔银行股份有限公司、九江银行股份有限公司、互金平台、无锡锡商银行股份有限公司、江苏南通农村商业银行股份有限公司、江苏扬州农村商业银行股份有限公司、江苏如皋农村商业银行股份有限公司客户。</w:t>
            </w:r>
          </w:p>
          <w:p w14:paraId="4D64F437">
            <w:pPr>
              <w:spacing w:line="200" w:lineRule="exact"/>
            </w:pPr>
            <w:r>
              <w:rPr>
                <w:rFonts w:ascii="方正黑体_GBK" w:hAnsi="方正黑体_GBK" w:eastAsia="方正黑体_GBK" w:cs="宋体"/>
                <w:sz w:val="18"/>
                <w:szCs w:val="18"/>
              </w:rPr>
              <w:t>B2份额：江苏常熟农村商业银行股份有限公司、江苏苏州农村商业银行股份有限公司、齐鲁银行股份有限公司、贵阳银行股份有限公司、天津农村商业银行股份有限公司（大众客群）、云南红塔银行股份有限公司（代发客户）、中原银行股份有限公司、廊坊银行股份有限公司、乌鲁木齐银行股份有限公司、桂林银行股份有限公司(常规客户)、石嘴山银行股份有限公司、江苏苏商银行股份有限公司、江苏丹阳农村商业银行股份有限公司、江苏靖江农村商业银行股份有限公司、江苏民丰农村商业银行股份有限公司、江苏建湖农村商业银行股份有限公司、江苏南通农村商业银行股份有限公司、江苏大丰农村商业银行股份有限公司（普通客户）、江苏镇江农村商业银行股份有限公司、徐州农村商业银行股份有限公司、江苏丰县农村商业银行股份有限公司、江苏仪征农村商业银行股份有限公司、江苏沭阳农村商业银行股份有限公司客户。</w:t>
            </w:r>
          </w:p>
          <w:p w14:paraId="21CEFCA6">
            <w:pPr>
              <w:spacing w:line="200" w:lineRule="exact"/>
            </w:pPr>
            <w:r>
              <w:rPr>
                <w:rFonts w:ascii="方正黑体_GBK" w:hAnsi="方正黑体_GBK" w:eastAsia="方正黑体_GBK" w:cs="宋体"/>
                <w:sz w:val="18"/>
                <w:szCs w:val="18"/>
              </w:rPr>
              <w:t>C2份额：江苏常熟农村商业银行股份有限公司（特定客群）、河北银行股份有限公司（常规客户）、天津农村商业银行股份有限公司（社保专属）、云南红塔银行股份有限公司（财富客户）、江苏扬州农村商业银行股份有限公司、江苏大丰农村商业银行股份有限公司客户（特邀企业客户）。</w:t>
            </w:r>
          </w:p>
          <w:p w14:paraId="3FEE542C">
            <w:pPr>
              <w:spacing w:line="200" w:lineRule="exact"/>
            </w:pPr>
            <w:r>
              <w:rPr>
                <w:rFonts w:ascii="方正黑体_GBK" w:hAnsi="方正黑体_GBK" w:eastAsia="方正黑体_GBK" w:cs="宋体"/>
                <w:sz w:val="18"/>
                <w:szCs w:val="18"/>
              </w:rPr>
              <w:t>D2份额：河北银行股份有限公司（分行特供）、秦皇岛银行股份有限公司、天津农村商业银行股份有限公司（专属客户）、云南红塔银行股份有限公司（新客户）、桂林银行股份有限公司（高净值客户）、甘肃银行股份有限公司（常规客群）、江苏宜兴农村商业银行股份有限公司、江苏镇江农村商业银行股份有限公司（20万元起购）、江苏紫金农村商业银行股份有限公司、江苏沛县农村商业银行股份有限公司客户。</w:t>
            </w:r>
          </w:p>
          <w:p w14:paraId="17A272F4">
            <w:pPr>
              <w:spacing w:line="200" w:lineRule="exact"/>
            </w:pPr>
            <w:r>
              <w:rPr>
                <w:rFonts w:ascii="方正黑体_GBK" w:hAnsi="方正黑体_GBK" w:eastAsia="方正黑体_GBK" w:cs="宋体"/>
                <w:sz w:val="18"/>
                <w:szCs w:val="18"/>
              </w:rPr>
              <w:t>E2份额：天津农村商业银行股份有限公司（特邀客户）、云南红塔银行股份有限公司（财富300万客户）、甘肃银行股份有限公司（教师节特供）、江苏镇江农村商业银行股份有限公司（100万元起购）、江苏句容农村商业银行股份有限公司、江苏沛县农村商业银行股份有限公司（高端客户专属）客户。</w:t>
            </w:r>
          </w:p>
          <w:p w14:paraId="5A23A9B1">
            <w:pPr>
              <w:spacing w:line="200" w:lineRule="exact"/>
            </w:pPr>
            <w:r>
              <w:rPr>
                <w:rFonts w:ascii="方正黑体_GBK" w:hAnsi="方正黑体_GBK" w:eastAsia="方正黑体_GBK" w:cs="宋体"/>
                <w:sz w:val="18"/>
                <w:szCs w:val="18"/>
              </w:rPr>
              <w:t>B3份额：江苏常熟农村商业银行股份有限公司、江苏苏州农村商业银行股份有限公司、齐鲁银行股份有限公司、贵阳银行股份有限公司、天津农村商业银行股份有限公司（大众客群）、云南红塔银行股份有限公司（代发客户）、中原银行股份有限公司、廊坊银行股份有限公司、乌鲁木齐银行股份有限公司、桂林银行股份有限公司(常规客户)、石嘴山银行股份有限公司、江苏苏商银行股份有限公司、江苏丹阳农村商业银行股份有限公司、江苏靖江农村商业银行股份有限公司、江苏民丰农村商业银行股份有限公司、江苏建湖农村商业银行股份有限公司、江苏南通农村商业银行股份有限公司、江苏大丰农村商业银行股份有限公司（普通客户）、江苏镇江农村商业银行股份有限公司、徐州农村商业银行股份有限公司、江苏丰县农村商业银行股份有限公司、江苏仪征农村商业银行股份有限公司、江苏沭阳农村商业银行股份有限公司客户。</w:t>
            </w:r>
          </w:p>
          <w:p w14:paraId="46E89C1A">
            <w:pPr>
              <w:spacing w:line="200" w:lineRule="exact"/>
            </w:pPr>
            <w:r>
              <w:rPr>
                <w:rFonts w:ascii="方正黑体_GBK" w:hAnsi="方正黑体_GBK" w:eastAsia="方正黑体_GBK" w:cs="宋体"/>
                <w:sz w:val="18"/>
                <w:szCs w:val="18"/>
              </w:rPr>
              <w:t>C3份额：江苏常熟农村商业银行股份有限公司（特定客群）、河北银行股份有限公司（常规客户）、天津农村商业银行股份有限公司（社保专属）、云南红塔银行股份有限公司（财富客户）、江苏扬州农村商业银行股份有限公司、江苏大丰农村商业银行股份有限公司客户（特邀企业客户）。</w:t>
            </w:r>
          </w:p>
          <w:p w14:paraId="40261412">
            <w:pPr>
              <w:spacing w:line="200" w:lineRule="exact"/>
            </w:pPr>
            <w:r>
              <w:rPr>
                <w:rFonts w:ascii="方正黑体_GBK" w:hAnsi="方正黑体_GBK" w:eastAsia="方正黑体_GBK" w:cs="宋体"/>
                <w:sz w:val="18"/>
                <w:szCs w:val="18"/>
              </w:rPr>
              <w:t>D3份额：河北银行股份有限公司（分行特供）、秦皇岛银行股份有限公司、天津农村商业银行股份有限公司（专属客户）、云南红塔银行股份有限公司（新客户）、桂林银行股份有限公司（高净值客户）、甘肃银行股份有限公司（常规客群）、江苏宜兴农村商业银行股份有限公司、江苏镇江农村商业银行股份有限公司（20万元起购）、江苏紫金农村商业银行股份有限公司、江苏沛县农村商业银行股份有限公司客户。</w:t>
            </w:r>
          </w:p>
          <w:p w14:paraId="218930A6">
            <w:pPr>
              <w:spacing w:line="200" w:lineRule="exact"/>
            </w:pPr>
            <w:r>
              <w:rPr>
                <w:rFonts w:ascii="方正黑体_GBK" w:hAnsi="方正黑体_GBK" w:eastAsia="方正黑体_GBK" w:cs="宋体"/>
                <w:sz w:val="18"/>
                <w:szCs w:val="18"/>
              </w:rPr>
              <w:t>E3份额：天津农村商业银行股份有限公司（特邀客户）、云南红塔银行股份有限公司（财富300万客户）、甘肃银行股份有限公司（教师节特供）、江苏镇江农村商业银行股份有限公司（100万元起购）、江苏句容农村商业银行股份有限公司、江苏沛县农村商业银行股份有限公司（高端客户专属）客户。</w:t>
            </w:r>
          </w:p>
          <w:p w14:paraId="7864AF20">
            <w:pPr>
              <w:spacing w:line="200" w:lineRule="exact"/>
            </w:pPr>
            <w:r>
              <w:rPr>
                <w:rFonts w:ascii="方正黑体_GBK" w:hAnsi="方正黑体_GBK" w:eastAsia="方正黑体_GBK" w:cs="宋体"/>
                <w:sz w:val="18"/>
                <w:szCs w:val="18"/>
              </w:rPr>
              <w:t>A4份额：南京银行股份有限公司、南银理财有限责任公司、江苏常熟农村商业银行股份有限公司、日照银行股份有限公司、齐鲁银行股份有限公司、深圳前海微众银行股份有限公司、云南红塔银行股份有限公司、九江银行股份有限公司、互金平台、无锡锡商银行股份有限公司、江苏南通农村商业银行股份有限公司、江苏扬州农村商业银行股份有限公司、江苏如皋农村商业银行股份有限公司客户。</w:t>
            </w:r>
          </w:p>
          <w:p w14:paraId="72C0CDFE">
            <w:pPr>
              <w:spacing w:line="200" w:lineRule="exact"/>
            </w:pPr>
            <w:r>
              <w:rPr>
                <w:rFonts w:ascii="方正黑体_GBK" w:hAnsi="方正黑体_GBK" w:eastAsia="方正黑体_GBK" w:cs="宋体"/>
                <w:sz w:val="18"/>
                <w:szCs w:val="18"/>
              </w:rPr>
              <w:t>B4份额：江苏常熟农村商业银行股份有限公司、江苏苏州农村商业银行股份有限公司、齐鲁银行股份有限公司、贵阳银行股份有限公司、天津农村商业银行股份有限公司（大众客群）、云南红塔银行股份有限公司（代发客户）、中原银行股份有限公司、廊坊银行股份有限公司、乌鲁木齐银行股份有限公司、桂林银行股份有限公司(常规客户)、石嘴山银行股份有限公司、江苏苏商银行股份有限公司、江苏丹阳农村商业银行股份有限公司、江苏靖江农村商业银行股份有限公司、江苏民丰农村商业银行股份有限公司、江苏建湖农村商业银行股份有限公司、江苏南通农村商业银行股份有限公司、江苏大丰农村商业银行股份有限公司（普通客户）、江苏镇江农村商业银行股份有限公司、徐州农村商业银行股份有限公司、江苏丰县农村商业银行股份有限公司、江苏仪征农村商业银行股份有限公司、江苏沭阳农村商业银行股份有限公司客户。</w:t>
            </w:r>
          </w:p>
          <w:p w14:paraId="46FAB452">
            <w:pPr>
              <w:spacing w:line="200" w:lineRule="exact"/>
            </w:pPr>
            <w:r>
              <w:rPr>
                <w:rFonts w:ascii="方正黑体_GBK" w:hAnsi="方正黑体_GBK" w:eastAsia="方正黑体_GBK" w:cs="宋体"/>
                <w:sz w:val="18"/>
                <w:szCs w:val="18"/>
              </w:rPr>
              <w:t>C4份额：江苏常熟农村商业银行股份有限公司（特定客群）、河北银行股份有限公司（常规客户）、天津农村商业银行股份有限公司（社保专属）、云南红塔银行股份有限公司（财富客户）、江苏扬州农村商业银行股份有限公司、江苏大丰农村商业银行股份有限公司客户（特邀企业客户）。</w:t>
            </w:r>
          </w:p>
          <w:p w14:paraId="6A49649D">
            <w:pPr>
              <w:spacing w:line="200" w:lineRule="exact"/>
            </w:pPr>
            <w:r>
              <w:rPr>
                <w:rFonts w:ascii="方正黑体_GBK" w:hAnsi="方正黑体_GBK" w:eastAsia="方正黑体_GBK" w:cs="宋体"/>
                <w:sz w:val="18"/>
                <w:szCs w:val="18"/>
              </w:rPr>
              <w:t>D4份额：南京银行股份有限公司（新客新资金20万元）、河北银行股份有限公司（分行特供）、秦皇岛银行股份有限公司、天津农村商业银行股份有限公司（专属客户）、云南红塔银行股份有限公司（新客户）、桂林银行股份有限公司（高净值客户）、甘肃银行股份有限公司（常规客群）、江苏宜兴农村商业银行股份有限公司、江苏镇江农村商业银行股份有限公司（20万元起购）、江苏紫金农村商业银行股份有限公司、江苏沛县农村商业银行股份有限公司客户。</w:t>
            </w:r>
          </w:p>
          <w:p w14:paraId="41FFD88A">
            <w:pPr>
              <w:spacing w:line="200" w:lineRule="exact"/>
            </w:pPr>
            <w:r>
              <w:rPr>
                <w:rFonts w:ascii="方正黑体_GBK" w:hAnsi="方正黑体_GBK" w:eastAsia="方正黑体_GBK" w:cs="宋体"/>
                <w:sz w:val="18"/>
                <w:szCs w:val="18"/>
              </w:rPr>
              <w:t>E4份额：天津农村商业银行股份有限公司（特邀客户）、云南红塔银行股份有限公司（财富300万客户）、甘肃银行股份有限公司（教师节特供）、江苏镇江农村商业银行股份有限公司（100万元起购）、江苏句容农村商业银行股份有限公司、江苏沛县农村商业银行股份有限公司（高端客户专属）客户。</w:t>
            </w:r>
          </w:p>
          <w:p w14:paraId="26E1BC67">
            <w:pPr>
              <w:spacing w:line="200" w:lineRule="exact"/>
            </w:pPr>
            <w:r>
              <w:rPr>
                <w:rFonts w:ascii="方正黑体_GBK" w:hAnsi="方正黑体_GBK" w:eastAsia="方正黑体_GBK" w:cs="宋体"/>
                <w:sz w:val="18"/>
                <w:szCs w:val="18"/>
              </w:rPr>
              <w:t>F2份额：南京银行私行客户、钻石客户、新晋私行客户、新晋钻石户及南京银行认定的其他符合标准的客户。</w:t>
            </w:r>
          </w:p>
          <w:p w14:paraId="39F1EB68">
            <w:pPr>
              <w:spacing w:line="200" w:lineRule="exact"/>
            </w:pPr>
            <w:r>
              <w:rPr>
                <w:rFonts w:ascii="方正黑体_GBK" w:hAnsi="方正黑体_GBK" w:eastAsia="方正黑体_GBK" w:cs="宋体"/>
                <w:sz w:val="18"/>
                <w:szCs w:val="18"/>
              </w:rPr>
              <w:t>F3份额：南京银行私行客户、钻石客户、新晋私行客户、新晋钻石户及南京银行认定的其他符合标准的客户。</w:t>
            </w:r>
          </w:p>
          <w:p w14:paraId="380A0CCB">
            <w:pPr>
              <w:spacing w:line="200" w:lineRule="exact"/>
            </w:pPr>
            <w:r>
              <w:rPr>
                <w:rFonts w:ascii="方正黑体_GBK" w:hAnsi="方正黑体_GBK" w:eastAsia="方正黑体_GBK" w:cs="宋体"/>
                <w:sz w:val="18"/>
                <w:szCs w:val="18"/>
              </w:rPr>
              <w:t>G2份额：成都银行股份有限公司客户。</w:t>
            </w:r>
          </w:p>
          <w:p w14:paraId="72CA116C">
            <w:pPr>
              <w:spacing w:line="200" w:lineRule="exact"/>
            </w:pPr>
            <w:r>
              <w:rPr>
                <w:rFonts w:ascii="方正黑体_GBK" w:hAnsi="方正黑体_GBK" w:eastAsia="方正黑体_GBK" w:cs="宋体"/>
                <w:sz w:val="18"/>
                <w:szCs w:val="18"/>
              </w:rPr>
              <w:t>G3份额：成都银行股份有限公司客户。</w:t>
            </w:r>
          </w:p>
          <w:p w14:paraId="6B783D2E">
            <w:pPr>
              <w:spacing w:line="200" w:lineRule="exact"/>
            </w:pPr>
            <w:r>
              <w:rPr>
                <w:rFonts w:ascii="方正黑体_GBK" w:hAnsi="方正黑体_GBK" w:eastAsia="方正黑体_GBK" w:cs="宋体"/>
                <w:sz w:val="18"/>
                <w:szCs w:val="18"/>
              </w:rPr>
              <w:t>F4份额：南京银行私行客户、钻石客户、新晋私行客户、新晋钻石户及南京银行认定的其他符合标准的客户。</w:t>
            </w:r>
          </w:p>
          <w:p w14:paraId="0C02D364">
            <w:pPr>
              <w:spacing w:line="200" w:lineRule="exact"/>
            </w:pPr>
            <w:r>
              <w:rPr>
                <w:rFonts w:ascii="方正黑体_GBK" w:hAnsi="方正黑体_GBK" w:eastAsia="方正黑体_GBK" w:cs="宋体"/>
                <w:sz w:val="18"/>
                <w:szCs w:val="18"/>
              </w:rPr>
              <w:t>G4份额：成都银行股份有限公司客户。</w:t>
            </w:r>
          </w:p>
          <w:p w14:paraId="3B2352AE">
            <w:pPr>
              <w:spacing w:line="200" w:lineRule="exact"/>
            </w:pPr>
            <w:r>
              <w:rPr>
                <w:rFonts w:ascii="方正黑体_GBK" w:hAnsi="方正黑体_GBK" w:eastAsia="方正黑体_GBK" w:cs="宋体"/>
                <w:sz w:val="18"/>
                <w:szCs w:val="18"/>
              </w:rPr>
              <w:t>H2份额：南京银行股份有限公司代发客户。</w:t>
            </w:r>
          </w:p>
          <w:p w14:paraId="6D3D9778">
            <w:pPr>
              <w:spacing w:line="200" w:lineRule="exact"/>
            </w:pPr>
            <w:r>
              <w:rPr>
                <w:rFonts w:ascii="方正黑体_GBK" w:hAnsi="方正黑体_GBK" w:eastAsia="方正黑体_GBK" w:cs="宋体"/>
                <w:sz w:val="18"/>
                <w:szCs w:val="18"/>
              </w:rPr>
              <w:t>J2份额：兴业银行股份有限公司客户。</w:t>
            </w:r>
          </w:p>
          <w:p w14:paraId="2935E335">
            <w:pPr>
              <w:spacing w:line="200" w:lineRule="exact"/>
            </w:pPr>
            <w:r>
              <w:rPr>
                <w:rFonts w:ascii="方正黑体_GBK" w:hAnsi="方正黑体_GBK" w:eastAsia="方正黑体_GBK" w:cs="宋体"/>
                <w:sz w:val="18"/>
                <w:szCs w:val="18"/>
              </w:rPr>
              <w:t>K2份额：交通银行股份有限公司客户。</w:t>
            </w:r>
          </w:p>
          <w:p w14:paraId="4E9B0C88">
            <w:pPr>
              <w:spacing w:line="200" w:lineRule="exact"/>
            </w:pPr>
            <w:r>
              <w:rPr>
                <w:rFonts w:ascii="方正黑体_GBK" w:hAnsi="方正黑体_GBK" w:eastAsia="方正黑体_GBK" w:cs="宋体"/>
                <w:sz w:val="18"/>
                <w:szCs w:val="18"/>
              </w:rPr>
              <w:t>J3份额：兴业银行股份有限公司客户。</w:t>
            </w:r>
          </w:p>
          <w:p w14:paraId="07DABFD9">
            <w:pPr>
              <w:spacing w:line="200" w:lineRule="exact"/>
            </w:pPr>
            <w:r>
              <w:rPr>
                <w:rFonts w:ascii="方正黑体_GBK" w:hAnsi="方正黑体_GBK" w:eastAsia="方正黑体_GBK" w:cs="宋体"/>
                <w:sz w:val="18"/>
                <w:szCs w:val="18"/>
              </w:rPr>
              <w:t>K3份额：交通银行股份有限公司客户。</w:t>
            </w:r>
          </w:p>
          <w:p w14:paraId="30A42483">
            <w:pPr>
              <w:spacing w:line="200" w:lineRule="exact"/>
            </w:pPr>
            <w:r>
              <w:rPr>
                <w:rFonts w:ascii="方正黑体_GBK" w:hAnsi="方正黑体_GBK" w:eastAsia="方正黑体_GBK" w:cs="宋体"/>
                <w:sz w:val="18"/>
                <w:szCs w:val="18"/>
              </w:rPr>
              <w:t>L3份额：兴业银行股份有限公司南京分行客户。</w:t>
            </w:r>
          </w:p>
          <w:p w14:paraId="7F3F0B0F">
            <w:pPr>
              <w:spacing w:line="200" w:lineRule="exact"/>
            </w:pPr>
            <w:r>
              <w:rPr>
                <w:rFonts w:ascii="方正黑体_GBK" w:hAnsi="方正黑体_GBK" w:eastAsia="方正黑体_GBK" w:cs="宋体"/>
                <w:sz w:val="18"/>
                <w:szCs w:val="18"/>
              </w:rPr>
              <w:t>J4份额：兴业银行股份有限公司客户。</w:t>
            </w:r>
          </w:p>
          <w:p w14:paraId="321D1887">
            <w:pPr>
              <w:spacing w:line="200" w:lineRule="exact"/>
            </w:pPr>
            <w:r>
              <w:rPr>
                <w:rFonts w:ascii="方正黑体_GBK" w:hAnsi="方正黑体_GBK" w:eastAsia="方正黑体_GBK" w:cs="宋体"/>
                <w:sz w:val="18"/>
                <w:szCs w:val="18"/>
              </w:rPr>
              <w:t>K4份额：交通银行股份有限公司客户。</w:t>
            </w:r>
          </w:p>
          <w:p w14:paraId="4950CAFE">
            <w:pPr>
              <w:spacing w:line="200" w:lineRule="exact"/>
            </w:pPr>
            <w:r>
              <w:rPr>
                <w:rFonts w:ascii="方正黑体_GBK" w:hAnsi="方正黑体_GBK" w:eastAsia="方正黑体_GBK" w:cs="宋体"/>
                <w:sz w:val="18"/>
                <w:szCs w:val="18"/>
              </w:rPr>
              <w:t>I3份额：南京银行股份有限公司（特定分行新客、新资金（5万）、代发）客户。</w:t>
            </w:r>
          </w:p>
          <w:p w14:paraId="3503DC85">
            <w:pPr>
              <w:spacing w:line="200" w:lineRule="exact"/>
            </w:pPr>
            <w:r>
              <w:rPr>
                <w:rFonts w:ascii="方正黑体_GBK" w:hAnsi="方正黑体_GBK" w:eastAsia="方正黑体_GBK" w:cs="宋体"/>
                <w:sz w:val="18"/>
                <w:szCs w:val="18"/>
              </w:rPr>
              <w:t>M2份额：苏州银行股份有限公司、嘉兴银行股份有限公司、宁波通商银行股份有限公司客户。</w:t>
            </w:r>
          </w:p>
          <w:p w14:paraId="038D6722">
            <w:pPr>
              <w:spacing w:line="200" w:lineRule="exact"/>
            </w:pPr>
            <w:r>
              <w:rPr>
                <w:rFonts w:ascii="方正黑体_GBK" w:hAnsi="方正黑体_GBK" w:eastAsia="方正黑体_GBK" w:cs="宋体"/>
                <w:sz w:val="18"/>
                <w:szCs w:val="18"/>
              </w:rPr>
              <w:t>M3份额：苏州银行股份有限公司、嘉兴银行股份有限公司、宁波通商银行股份有限公司客户。</w:t>
            </w:r>
          </w:p>
          <w:p w14:paraId="03A9ED7D">
            <w:pPr>
              <w:spacing w:line="200" w:lineRule="exact"/>
            </w:pPr>
            <w:r>
              <w:rPr>
                <w:rFonts w:ascii="方正黑体_GBK" w:hAnsi="方正黑体_GBK" w:eastAsia="方正黑体_GBK" w:cs="宋体"/>
                <w:sz w:val="18"/>
                <w:szCs w:val="18"/>
              </w:rPr>
              <w:t>M4份额：苏州银行股份有限公司、嘉兴银行股份有限公司、宁波通商银行股份有限公司客户。</w:t>
            </w:r>
          </w:p>
          <w:p w14:paraId="582F84E9">
            <w:pPr>
              <w:spacing w:line="200" w:lineRule="exact"/>
            </w:pPr>
            <w:r>
              <w:rPr>
                <w:rFonts w:ascii="方正黑体_GBK" w:hAnsi="方正黑体_GBK" w:eastAsia="方正黑体_GBK" w:cs="宋体"/>
                <w:sz w:val="18"/>
                <w:szCs w:val="18"/>
              </w:rPr>
              <w:t>O2份额：广发银行股份有限公司所有个人客户。</w:t>
            </w:r>
          </w:p>
          <w:p w14:paraId="298E77D3">
            <w:pPr>
              <w:spacing w:line="200" w:lineRule="exact"/>
            </w:pPr>
            <w:r>
              <w:rPr>
                <w:rFonts w:ascii="方正黑体_GBK" w:hAnsi="方正黑体_GBK" w:eastAsia="方正黑体_GBK" w:cs="宋体"/>
                <w:sz w:val="18"/>
                <w:szCs w:val="18"/>
              </w:rPr>
              <w:t>O3份额：广发银行股份有限公司所有个人客户。</w:t>
            </w:r>
          </w:p>
          <w:p w14:paraId="49EFB5E9">
            <w:pPr>
              <w:spacing w:line="200" w:lineRule="exact"/>
            </w:pPr>
            <w:r>
              <w:rPr>
                <w:rFonts w:ascii="方正黑体_GBK" w:hAnsi="方正黑体_GBK" w:eastAsia="方正黑体_GBK" w:cs="宋体"/>
                <w:sz w:val="18"/>
                <w:szCs w:val="18"/>
              </w:rPr>
              <w:t>O4份额：广发银行股份有限公司所有个人客户。</w:t>
            </w:r>
          </w:p>
          <w:p w14:paraId="2D7E9190">
            <w:pPr>
              <w:spacing w:line="200" w:lineRule="exact"/>
            </w:pPr>
            <w:r>
              <w:rPr>
                <w:rFonts w:ascii="方正黑体_GBK" w:hAnsi="方正黑体_GBK" w:eastAsia="方正黑体_GBK" w:cs="宋体"/>
                <w:sz w:val="18"/>
                <w:szCs w:val="18"/>
              </w:rPr>
              <w:t>Q1份额：台州银行股份有限公司所有客户。</w:t>
            </w:r>
          </w:p>
          <w:p w14:paraId="1FE7CA59">
            <w:pPr>
              <w:spacing w:line="200" w:lineRule="exact"/>
            </w:pPr>
            <w:r>
              <w:rPr>
                <w:rFonts w:ascii="方正黑体_GBK" w:hAnsi="方正黑体_GBK" w:eastAsia="方正黑体_GBK" w:cs="宋体"/>
                <w:sz w:val="18"/>
                <w:szCs w:val="18"/>
              </w:rPr>
              <w:t>R1份额：台州银行股份有限公司白名单客户。</w:t>
            </w:r>
          </w:p>
          <w:p w14:paraId="00B25AAF">
            <w:pPr>
              <w:spacing w:line="200" w:lineRule="exact"/>
            </w:pPr>
            <w:r>
              <w:rPr>
                <w:rFonts w:ascii="方正黑体_GBK" w:hAnsi="方正黑体_GBK" w:eastAsia="方正黑体_GBK" w:cs="宋体"/>
                <w:sz w:val="18"/>
                <w:szCs w:val="18"/>
              </w:rPr>
              <w:t>Q2份额：台州银行股份有限公司所有客户。</w:t>
            </w:r>
          </w:p>
          <w:p w14:paraId="5D6B29EA">
            <w:pPr>
              <w:spacing w:line="200" w:lineRule="exact"/>
            </w:pPr>
            <w:r>
              <w:rPr>
                <w:rFonts w:ascii="方正黑体_GBK" w:hAnsi="方正黑体_GBK" w:eastAsia="方正黑体_GBK" w:cs="宋体"/>
                <w:sz w:val="18"/>
                <w:szCs w:val="18"/>
              </w:rPr>
              <w:t>R2份额：台州银行股份有限公司白名单客户。</w:t>
            </w:r>
          </w:p>
          <w:p w14:paraId="4F630190">
            <w:pPr>
              <w:spacing w:line="200" w:lineRule="exact"/>
            </w:pPr>
            <w:r>
              <w:rPr>
                <w:rFonts w:ascii="方正黑体_GBK" w:hAnsi="方正黑体_GBK" w:eastAsia="方正黑体_GBK" w:cs="宋体"/>
                <w:sz w:val="18"/>
                <w:szCs w:val="18"/>
              </w:rPr>
              <w:t>Q3份额：台州银行股份有限公司所有客户。</w:t>
            </w:r>
          </w:p>
          <w:p w14:paraId="584A35FB">
            <w:pPr>
              <w:spacing w:line="200" w:lineRule="exact"/>
            </w:pPr>
            <w:r>
              <w:rPr>
                <w:rFonts w:ascii="方正黑体_GBK" w:hAnsi="方正黑体_GBK" w:eastAsia="方正黑体_GBK" w:cs="宋体"/>
                <w:sz w:val="18"/>
                <w:szCs w:val="18"/>
              </w:rPr>
              <w:t>R3份额：台州银行股份有限公司白名单客户。</w:t>
            </w:r>
          </w:p>
          <w:p w14:paraId="31C8631D">
            <w:pPr>
              <w:spacing w:line="200" w:lineRule="exact"/>
            </w:pPr>
            <w:r>
              <w:rPr>
                <w:rFonts w:ascii="方正黑体_GBK" w:hAnsi="方正黑体_GBK" w:eastAsia="方正黑体_GBK" w:cs="宋体"/>
                <w:sz w:val="18"/>
                <w:szCs w:val="18"/>
              </w:rPr>
              <w:t>Q4份额：台州银行股份有限公司所有客户。</w:t>
            </w:r>
          </w:p>
          <w:p w14:paraId="1F9AE4D1">
            <w:pPr>
              <w:spacing w:line="200" w:lineRule="exact"/>
            </w:pPr>
            <w:r>
              <w:rPr>
                <w:rFonts w:ascii="方正黑体_GBK" w:hAnsi="方正黑体_GBK" w:eastAsia="方正黑体_GBK" w:cs="宋体"/>
                <w:sz w:val="18"/>
                <w:szCs w:val="18"/>
              </w:rPr>
              <w:t>R4份额：台州银行股份有限公司白名单客户。</w:t>
            </w:r>
          </w:p>
          <w:p w14:paraId="6D74248A">
            <w:pPr>
              <w:spacing w:line="200" w:lineRule="exact"/>
            </w:pPr>
            <w:r>
              <w:rPr>
                <w:rFonts w:ascii="方正黑体_GBK" w:hAnsi="方正黑体_GBK" w:eastAsia="方正黑体_GBK" w:cs="宋体"/>
                <w:sz w:val="18"/>
                <w:szCs w:val="18"/>
              </w:rPr>
              <w:t>B1份额：江苏常熟农村商业银行股份有限公司、江苏苏州农村商业银行股份有限公司、齐鲁银行股份有限公司、贵阳银行股份有限公司、天津农村商业银行股份有限公司（大众客群）、云南红塔银行股份有限公司（代发客户）、中原银行股份有限公司、廊坊银行股份有限公司、乌鲁木齐银行股份有限公司、桂林银行股份有限公司(常规客户)、石嘴山银行股份有限公司、江苏苏商银行股份有限公司、江苏丹阳农村商业银行股份有限公司、江苏靖江农村商业银行股份有限公司、江苏民丰农村商业银行股份有限公司、江苏建湖农村商业银行股份有限公司、江苏南通农村商业银行股份有限公司、江苏大丰农村商业银行股份有限公司（普通客户）、江苏镇江农村商业银行股份有限公司、徐州农村商业银行股份有限公司、江苏丰县农村商业银行股份有限公司、江苏仪征农村商业银行股份有限公司、江苏沭阳农村商业银行股份有限公司客户。</w:t>
            </w:r>
          </w:p>
          <w:p w14:paraId="62E09FF8">
            <w:pPr>
              <w:spacing w:line="200" w:lineRule="exact"/>
            </w:pPr>
            <w:r>
              <w:rPr>
                <w:rFonts w:ascii="方正黑体_GBK" w:hAnsi="方正黑体_GBK" w:eastAsia="方正黑体_GBK" w:cs="宋体"/>
                <w:sz w:val="18"/>
                <w:szCs w:val="18"/>
              </w:rPr>
              <w:t>C1份额：江苏常熟农村商业银行股份有限公司（特定客群）、河北银行股份有限公司（常规客户）、天津农村商业银行股份有限公司（社保专属）、云南红塔银行股份有限公司（财富客户）、江苏扬州农村商业银行股份有限公司、江苏大丰农村商业银行股份有限公司客户（特邀企业客户）。</w:t>
            </w:r>
          </w:p>
          <w:p w14:paraId="3C4300BF">
            <w:pPr>
              <w:spacing w:line="200" w:lineRule="exact"/>
            </w:pPr>
            <w:r>
              <w:rPr>
                <w:rFonts w:ascii="方正黑体_GBK" w:hAnsi="方正黑体_GBK" w:eastAsia="方正黑体_GBK" w:cs="宋体"/>
                <w:sz w:val="18"/>
                <w:szCs w:val="18"/>
              </w:rPr>
              <w:t>D1份额：南京银行股份有限公司（新客、新资金（20万元））、河北银行股份有限公司（分行特供）、秦皇岛银行股份有限公司、天津农村商业银行股份有限公司（专属客户）、云南红塔银行股份有限公司（新客户）、桂林银行股份有限公司（高净值客户）、甘肃银行股份有限公司（常规客群）、江苏宜兴农村商业银行股份有限公司、江苏镇江农村商业银行股份有限公司（20万元起购）、江苏紫金农村商业银行股份有限公司、江苏沛县农村商业银行股份有限公司客户。</w:t>
            </w:r>
          </w:p>
          <w:p w14:paraId="183BDAE7">
            <w:pPr>
              <w:spacing w:line="200" w:lineRule="exact"/>
            </w:pPr>
            <w:r>
              <w:rPr>
                <w:rFonts w:ascii="方正黑体_GBK" w:hAnsi="方正黑体_GBK" w:eastAsia="方正黑体_GBK" w:cs="宋体"/>
                <w:sz w:val="18"/>
                <w:szCs w:val="18"/>
              </w:rPr>
              <w:t>E1份额：天津农村商业银行股份有限公司（特邀客户）、云南红塔银行股份有限公司（财富300万客户）、甘肃银行股份有限公司（教师节特供）、江苏镇江农村商业银行股份有限公司（100万元起购）、江苏句容农村商业银行股份有限公司、江苏沛县农村商业银行股份有限公司（高端客户专属）客户。</w:t>
            </w:r>
          </w:p>
          <w:p w14:paraId="66ABF32E">
            <w:pPr>
              <w:spacing w:line="200" w:lineRule="exact"/>
            </w:pPr>
            <w:r>
              <w:rPr>
                <w:rFonts w:ascii="方正黑体_GBK" w:hAnsi="方正黑体_GBK" w:eastAsia="方正黑体_GBK" w:cs="宋体"/>
                <w:sz w:val="18"/>
                <w:szCs w:val="18"/>
              </w:rPr>
              <w:t>F1份额：南京银行私行客户、钻石客户、新晋私行客户、新晋钻石户及南京银行认定的其他符合标准的客户。</w:t>
            </w:r>
          </w:p>
          <w:p w14:paraId="0ADB4CE0">
            <w:pPr>
              <w:spacing w:line="200" w:lineRule="exact"/>
            </w:pPr>
            <w:r>
              <w:rPr>
                <w:rFonts w:ascii="方正黑体_GBK" w:hAnsi="方正黑体_GBK" w:eastAsia="方正黑体_GBK" w:cs="宋体"/>
                <w:sz w:val="18"/>
                <w:szCs w:val="18"/>
              </w:rPr>
              <w:t>G1份额：成都银行股份有限公司客户。</w:t>
            </w:r>
          </w:p>
          <w:p w14:paraId="23F52616">
            <w:pPr>
              <w:spacing w:line="200" w:lineRule="exact"/>
            </w:pPr>
            <w:r>
              <w:rPr>
                <w:rFonts w:ascii="方正黑体_GBK" w:hAnsi="方正黑体_GBK" w:eastAsia="方正黑体_GBK" w:cs="宋体"/>
                <w:sz w:val="18"/>
                <w:szCs w:val="18"/>
              </w:rPr>
              <w:t>J1份额：兴业银行股份有限公司客户。</w:t>
            </w:r>
          </w:p>
          <w:p w14:paraId="5D2A57D4">
            <w:pPr>
              <w:spacing w:line="200" w:lineRule="exact"/>
            </w:pPr>
            <w:r>
              <w:rPr>
                <w:rFonts w:ascii="方正黑体_GBK" w:hAnsi="方正黑体_GBK" w:eastAsia="方正黑体_GBK" w:cs="宋体"/>
                <w:sz w:val="18"/>
                <w:szCs w:val="18"/>
              </w:rPr>
              <w:t>K1份额：交通银行股份有限公司客户。</w:t>
            </w:r>
          </w:p>
          <w:p w14:paraId="6A551FF3">
            <w:pPr>
              <w:spacing w:line="200" w:lineRule="exact"/>
            </w:pPr>
            <w:r>
              <w:rPr>
                <w:rFonts w:ascii="方正黑体_GBK" w:hAnsi="方正黑体_GBK" w:eastAsia="方正黑体_GBK" w:cs="宋体"/>
                <w:sz w:val="18"/>
                <w:szCs w:val="18"/>
              </w:rPr>
              <w:t>L1份额：兴业银行股份有限公司南京分行客户。</w:t>
            </w:r>
          </w:p>
          <w:p w14:paraId="0A949696">
            <w:pPr>
              <w:spacing w:line="200" w:lineRule="exact"/>
            </w:pPr>
            <w:r>
              <w:rPr>
                <w:rFonts w:ascii="方正黑体_GBK" w:hAnsi="方正黑体_GBK" w:eastAsia="方正黑体_GBK" w:cs="宋体"/>
                <w:sz w:val="18"/>
                <w:szCs w:val="18"/>
              </w:rPr>
              <w:t>M1份额：苏州银行股份有限公司、嘉兴银行股份有限公司、宁波通商银行股份有限公司客户。</w:t>
            </w:r>
          </w:p>
          <w:p w14:paraId="3C48E561">
            <w:pPr>
              <w:spacing w:line="200" w:lineRule="exact"/>
            </w:pPr>
            <w:r>
              <w:rPr>
                <w:rFonts w:ascii="方正黑体_GBK" w:hAnsi="方正黑体_GBK" w:eastAsia="方正黑体_GBK" w:cs="宋体"/>
                <w:sz w:val="18"/>
                <w:szCs w:val="18"/>
              </w:rPr>
              <w:t>N1份额：苏州银行股份有限公司（代发与新资金专属）客户。</w:t>
            </w:r>
          </w:p>
          <w:p w14:paraId="3117E091">
            <w:pPr>
              <w:spacing w:line="200" w:lineRule="exact"/>
            </w:pPr>
            <w:r>
              <w:rPr>
                <w:rFonts w:ascii="方正黑体_GBK" w:hAnsi="方正黑体_GBK" w:eastAsia="方正黑体_GBK" w:cs="宋体"/>
                <w:sz w:val="18"/>
                <w:szCs w:val="18"/>
              </w:rPr>
              <w:t>O1份额：广发银行股份有限公司所有个人客户。</w:t>
            </w:r>
          </w:p>
          <w:p w14:paraId="270ABDB9">
            <w:pPr>
              <w:spacing w:line="200" w:lineRule="exact"/>
            </w:pPr>
            <w:r>
              <w:rPr>
                <w:rFonts w:ascii="方正黑体_GBK" w:hAnsi="方正黑体_GBK" w:eastAsia="方正黑体_GBK" w:cs="宋体"/>
                <w:sz w:val="18"/>
                <w:szCs w:val="18"/>
              </w:rPr>
              <w:t>S1份额：成都农村商业银行股份有限公司客户。</w:t>
            </w:r>
          </w:p>
          <w:p w14:paraId="53D1852F">
            <w:pPr>
              <w:spacing w:line="200" w:lineRule="exact"/>
            </w:pPr>
            <w:r>
              <w:rPr>
                <w:rFonts w:ascii="方正黑体_GBK" w:hAnsi="方正黑体_GBK" w:eastAsia="方正黑体_GBK" w:cs="宋体"/>
                <w:sz w:val="18"/>
                <w:szCs w:val="18"/>
              </w:rPr>
              <w:t>S2份额：成都农村商业银行股份有限公司客户。</w:t>
            </w:r>
          </w:p>
          <w:p w14:paraId="74E3BAB7">
            <w:pPr>
              <w:spacing w:line="200" w:lineRule="exact"/>
            </w:pPr>
            <w:r>
              <w:rPr>
                <w:rFonts w:ascii="方正黑体_GBK" w:hAnsi="方正黑体_GBK" w:eastAsia="方正黑体_GBK" w:cs="宋体"/>
                <w:sz w:val="18"/>
                <w:szCs w:val="18"/>
              </w:rPr>
              <w:t>S3份额：成都农村商业银行股份有限公司客户。</w:t>
            </w:r>
          </w:p>
          <w:p w14:paraId="6C6205E1">
            <w:pPr>
              <w:spacing w:line="200" w:lineRule="exact"/>
            </w:pPr>
            <w:r>
              <w:rPr>
                <w:rFonts w:ascii="方正黑体_GBK" w:hAnsi="方正黑体_GBK" w:eastAsia="方正黑体_GBK" w:cs="宋体"/>
                <w:sz w:val="18"/>
                <w:szCs w:val="18"/>
              </w:rPr>
              <w:t>S4份额：成都农村商业银行股份有限公司客户。</w:t>
            </w:r>
          </w:p>
          <w:p w14:paraId="172655E9">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160BE91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9DD1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44ADD9A0">
            <w:pPr>
              <w:spacing w:line="200" w:lineRule="exact"/>
            </w:pPr>
            <w:r>
              <w:rPr>
                <w:rFonts w:ascii="方正黑体_GBK" w:hAnsi="方正黑体_GBK" w:eastAsia="方正黑体_GBK" w:cs="宋体"/>
                <w:sz w:val="18"/>
                <w:szCs w:val="18"/>
              </w:rPr>
              <w:t>A份额/C份额/E份额/B2份额/C2份额/D2份额/E2份额/B3份额/C3份额/D3份额/E3份额/A4份额/B4份额/C4份额/D4份额/E4份额/F2份额/F3份额/G2份额/G3份额/F4份额/G4份额/H2份额/J2份额/K2份额/J3份额/K3份额/L3份额/J4份额/K4份额/I3份额/M2份额/M3份额/M4份额/Q1份额/R1份额/Q2份额/R2份额/Q3份额/R3份额/Q4份额/R4份额/B1份额/C1份额/D1份额/E1份额/F1份额/G1份额/J1份额/K1份额/L1份额/M1份额/N1份额/S1份额/S2份额/S3份额/S4份额：</w:t>
            </w:r>
          </w:p>
          <w:p w14:paraId="0B017967">
            <w:pPr>
              <w:spacing w:line="200" w:lineRule="exact"/>
            </w:pPr>
            <w:r>
              <w:rPr>
                <w:rFonts w:ascii="方正黑体_GBK" w:hAnsi="方正黑体_GBK" w:eastAsia="方正黑体_GBK" w:cs="宋体"/>
                <w:sz w:val="18"/>
                <w:szCs w:val="18"/>
              </w:rPr>
              <w:t>个人投资者投资起点金额1元人民币，以1元的整数倍递增；</w:t>
            </w:r>
          </w:p>
          <w:p w14:paraId="0CC4C794">
            <w:pPr>
              <w:spacing w:line="200" w:lineRule="exact"/>
            </w:pPr>
            <w:r>
              <w:rPr>
                <w:rFonts w:ascii="方正黑体_GBK" w:hAnsi="方正黑体_GBK" w:eastAsia="方正黑体_GBK" w:cs="宋体"/>
                <w:sz w:val="18"/>
                <w:szCs w:val="18"/>
              </w:rPr>
              <w:t>机构投资者投资起点金额1元人民币，以1元的整数倍递增；</w:t>
            </w:r>
          </w:p>
          <w:p w14:paraId="7D8E29F0">
            <w:pPr>
              <w:spacing w:line="200" w:lineRule="exact"/>
            </w:pPr>
            <w:r>
              <w:rPr>
                <w:rFonts w:ascii="方正黑体_GBK" w:hAnsi="方正黑体_GBK" w:eastAsia="方正黑体_GBK" w:cs="宋体"/>
                <w:sz w:val="18"/>
                <w:szCs w:val="18"/>
              </w:rPr>
              <w:t>O2份额/O3份额/O4份额/O1份额：</w:t>
            </w:r>
          </w:p>
          <w:p w14:paraId="71A85AFF">
            <w:pPr>
              <w:spacing w:line="200" w:lineRule="exact"/>
            </w:pPr>
            <w:r>
              <w:rPr>
                <w:rFonts w:ascii="方正黑体_GBK" w:hAnsi="方正黑体_GBK" w:eastAsia="方正黑体_GBK" w:cs="宋体"/>
                <w:sz w:val="18"/>
                <w:szCs w:val="18"/>
              </w:rPr>
              <w:t>个人投资者投资起点金额1元人民币，以1元的整数倍递增；</w:t>
            </w:r>
          </w:p>
          <w:p w14:paraId="6D31FD76">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183077E7">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3A64BB1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5565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00D434B1">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73BE35B3">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065B01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6F710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5DCCB98D">
            <w:pPr>
              <w:spacing w:line="200" w:lineRule="exact"/>
            </w:pPr>
            <w:r>
              <w:rPr>
                <w:rFonts w:ascii="方正黑体_GBK" w:hAnsi="方正黑体_GBK" w:eastAsia="方正黑体_GBK" w:cs="宋体"/>
                <w:color w:val="000000"/>
                <w:sz w:val="18"/>
                <w:szCs w:val="18"/>
              </w:rPr>
              <w:t>2019年08月28日 09:00—2019年09月04日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75F3B7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86FB50">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5F20D65">
            <w:pPr>
              <w:spacing w:line="200" w:lineRule="exact"/>
            </w:pPr>
            <w:r>
              <w:rPr>
                <w:rFonts w:ascii="方正黑体_GBK" w:hAnsi="方正黑体_GBK" w:eastAsia="方正黑体_GBK" w:cs="宋体"/>
                <w:sz w:val="18"/>
                <w:szCs w:val="18"/>
              </w:rPr>
              <w:t>认购份额=确认认购金额/1。（认购份额以去尾法保留两位小数）</w:t>
            </w:r>
          </w:p>
        </w:tc>
      </w:tr>
      <w:tr w14:paraId="3906655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1B801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741DF1F">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1F430C8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6AA039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546340FC">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2019年09月05日</w:t>
            </w:r>
          </w:p>
        </w:tc>
      </w:tr>
      <w:tr w14:paraId="26D326D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6554E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1048BF75">
            <w:pPr>
              <w:spacing w:line="200" w:lineRule="exact"/>
            </w:pPr>
            <w:r>
              <w:rPr>
                <w:rFonts w:ascii="方正黑体_GBK" w:hAnsi="方正黑体_GBK" w:eastAsia="方正黑体_GBK" w:cs="宋体"/>
                <w:sz w:val="18"/>
                <w:szCs w:val="18"/>
              </w:rPr>
              <w:t>2019年09月05日—实际到期日（若本理财产品未被提前终止或延期终止，则实际到期日即为名义到期日，存续期限10年；若本理财产品被提前终止或延期终止，则实际到期日为提前终止日或延期终止日。</w:t>
            </w:r>
            <w:r>
              <w:rPr>
                <w:rFonts w:ascii="方正黑体_GBK" w:hAnsi="方正黑体_GBK" w:eastAsia="方正黑体_GBK" w:cs="宋体"/>
                <w:b/>
                <w:sz w:val="18"/>
                <w:szCs w:val="18"/>
              </w:rPr>
              <w:t>理财产品管理人有权根据市场变化情况调整产品存续期，届时管理人将调整相关日期并进行信息披露。）</w:t>
            </w:r>
          </w:p>
        </w:tc>
      </w:tr>
      <w:tr w14:paraId="7265527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5E6C8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260BE0C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2029年12月28日</w:t>
            </w:r>
            <w:r>
              <w:rPr>
                <w:rFonts w:hint="eastAsia" w:ascii="方正黑体_GBK" w:hAnsi="方正黑体_GBK" w:eastAsia="方正黑体_GBK" w:cs="Times New Roman"/>
                <w:b/>
                <w:bCs/>
                <w:caps w:val="0"/>
                <w:smallCaps w:val="0"/>
                <w:snapToGrid/>
                <w:vanish w:val="0"/>
                <w:color w:val="auto"/>
                <w:kern w:val="0"/>
                <w:sz w:val="18"/>
                <w:szCs w:val="18"/>
                <w:vertAlign w:val="baseline"/>
              </w:rPr>
              <w:t>（如遇国家法定节假日，管理人可结合国家法定节假日安排进行调整，并进行</w:t>
            </w:r>
            <w:r>
              <w:rPr>
                <w:rFonts w:hint="eastAsia" w:ascii="方正黑体_GBK" w:hAnsi="方正黑体_GBK" w:eastAsia="方正黑体_GBK"/>
                <w:b/>
                <w:bCs/>
                <w:caps w:val="0"/>
                <w:smallCaps w:val="0"/>
                <w:snapToGrid/>
                <w:vanish w:val="0"/>
                <w:color w:val="auto"/>
                <w:kern w:val="0"/>
                <w:sz w:val="18"/>
                <w:szCs w:val="18"/>
                <w:vertAlign w:val="baseline"/>
              </w:rPr>
              <w:t>信息披露</w:t>
            </w:r>
            <w:r>
              <w:rPr>
                <w:rFonts w:hint="eastAsia" w:ascii="方正黑体_GBK" w:hAnsi="方正黑体_GBK" w:eastAsia="方正黑体_GBK" w:cs="Times New Roman"/>
                <w:b/>
                <w:bCs/>
                <w:caps w:val="0"/>
                <w:smallCaps w:val="0"/>
                <w:snapToGrid/>
                <w:vanish w:val="0"/>
                <w:color w:val="auto"/>
                <w:kern w:val="0"/>
                <w:sz w:val="18"/>
                <w:szCs w:val="18"/>
                <w:vertAlign w:val="baseline"/>
              </w:rPr>
              <w:t>）</w:t>
            </w:r>
          </w:p>
        </w:tc>
      </w:tr>
      <w:tr w14:paraId="141CA66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D3F8B5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9711589">
            <w:pPr>
              <w:spacing w:line="200" w:lineRule="exact"/>
            </w:pPr>
            <w:r>
              <w:rPr>
                <w:rFonts w:ascii="方正黑体_GBK" w:hAnsi="方正黑体_GBK" w:eastAsia="方正黑体_GBK" w:cs="宋体"/>
                <w:sz w:val="18"/>
                <w:szCs w:val="18"/>
              </w:rPr>
              <w:t>本理财产品存续期内按每一年开放申购，如遇节假日调整，申购开放日和申购确认日以公告为准。</w:t>
            </w:r>
          </w:p>
        </w:tc>
      </w:tr>
      <w:tr w14:paraId="0A2B9FB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784B6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赎回开放日和确认日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DD3DC2D">
            <w:pPr>
              <w:spacing w:line="200" w:lineRule="exact"/>
            </w:pPr>
            <w:r>
              <w:rPr>
                <w:rFonts w:ascii="方正黑体_GBK" w:hAnsi="方正黑体_GBK" w:eastAsia="方正黑体_GBK" w:cs="宋体"/>
                <w:sz w:val="18"/>
                <w:szCs w:val="18"/>
              </w:rPr>
              <w:t>本理财产品存续期内按每一年开放赎回，如遇节假日调整，赎回开放日和赎回确认日以公告为准，投资者可提交赎回申请，系统不自动赎回。产品终止时，产品将对所有份额进行强制赎回。</w:t>
            </w:r>
          </w:p>
        </w:tc>
      </w:tr>
      <w:tr w14:paraId="4569D48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395A3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申购/赎回规则</w:t>
            </w:r>
          </w:p>
        </w:tc>
        <w:tc>
          <w:tcPr>
            <w:tcW w:w="5543" w:type="dxa"/>
            <w:tcBorders>
              <w:top w:val="single" w:color="auto" w:sz="4" w:space="0"/>
              <w:left w:val="nil"/>
              <w:bottom w:val="single" w:color="auto" w:sz="4" w:space="0"/>
              <w:right w:val="single" w:color="auto" w:sz="4" w:space="0"/>
              <w:tl2br w:val="nil"/>
              <w:tr2bl w:val="nil"/>
            </w:tcBorders>
            <w:vAlign w:val="center"/>
          </w:tcPr>
          <w:p w14:paraId="4352272C">
            <w:pPr>
              <w:spacing w:line="200" w:lineRule="exact"/>
            </w:pPr>
            <w:r>
              <w:rPr>
                <w:rFonts w:ascii="方正黑体_GBK" w:hAnsi="方正黑体_GBK" w:eastAsia="方正黑体_GBK" w:cs="宋体"/>
                <w:sz w:val="18"/>
                <w:szCs w:val="18"/>
              </w:rPr>
              <w:t>A份额/F1份额/Q1份额/R1份额：本次开放期为2025年11月13日9：00至2025年11月19日17：00。下一个开放期为2026年12月30日9：00至2027年1月6日17：00，投资者可以提交或撤销申购/赎回申请。</w:t>
            </w:r>
          </w:p>
          <w:p w14:paraId="5DF80E06">
            <w:pPr>
              <w:spacing w:line="200" w:lineRule="exact"/>
            </w:pPr>
            <w:r>
              <w:rPr>
                <w:rFonts w:ascii="方正黑体_GBK" w:hAnsi="方正黑体_GBK" w:eastAsia="方正黑体_GBK" w:cs="宋体"/>
                <w:sz w:val="18"/>
                <w:szCs w:val="18"/>
              </w:rPr>
              <w:t>B1份额/C1份额/D1份额/E1份额/G1份额/J1份额/K1份额/L1份额/M1份额/N1份额/O1份额/S1份额：本次开放期为2025年11月13日9：00至2025年11月19日17：00，投资者可以提交或撤销认/申购申请；确认成功的份额均将于下一个开放期（2026年12月30日9：00至2027年1月6日17：00）由系统自动发起赎回申请。</w:t>
            </w:r>
          </w:p>
          <w:p w14:paraId="54D5C043">
            <w:pPr>
              <w:spacing w:line="200" w:lineRule="exact"/>
            </w:pPr>
            <w:r>
              <w:rPr>
                <w:rFonts w:ascii="方正黑体_GBK" w:hAnsi="方正黑体_GBK" w:eastAsia="方正黑体_GBK" w:cs="宋体"/>
                <w:sz w:val="18"/>
                <w:szCs w:val="18"/>
              </w:rPr>
              <w:t>C份额/F2份额/Q2份额/R2份额：本次认/申购开放期为2025年11月20日9：00至2025年11月26日17：00,投资者可以提交或撤销认/申购申请；其中C份额本次赎回开放期为2025年11月13日9：00至2025年11月19日17：00，投资者可以提交或撤销赎回申请。下一个赎回开放期为2026年12月30日9：00至2027年1月6日17：00，投资者可以提交或撤销赎回申请，下一个申购开放期为2027年1月7日9：00至2027年1月13日17：00，投资者可以提交或撤销申购申请。</w:t>
            </w:r>
          </w:p>
          <w:p w14:paraId="5DB48E36">
            <w:pPr>
              <w:spacing w:line="200" w:lineRule="exact"/>
            </w:pPr>
            <w:r>
              <w:rPr>
                <w:rFonts w:ascii="方正黑体_GBK" w:hAnsi="方正黑体_GBK" w:eastAsia="方正黑体_GBK" w:cs="宋体"/>
                <w:sz w:val="18"/>
                <w:szCs w:val="18"/>
              </w:rPr>
              <w:t>B2份额/C2份额/D2份额/E2份额/G2份额/H2份额/J2份额/K2份额/M2份额/O2份额/S2份额：本次开放期为2025年11月20日9：00至2025年11月26日17：00，投资者可以提交或撤销认/申购申请；确认成功的份额均将于下一个开放期（2026年12月30日9：00至2027年1月6日17：00）由系统自动发起赎回申请。</w:t>
            </w:r>
          </w:p>
          <w:p w14:paraId="25CD104B">
            <w:pPr>
              <w:spacing w:line="200" w:lineRule="exact"/>
            </w:pPr>
            <w:r>
              <w:rPr>
                <w:rFonts w:ascii="方正黑体_GBK" w:hAnsi="方正黑体_GBK" w:eastAsia="方正黑体_GBK" w:cs="宋体"/>
                <w:sz w:val="18"/>
                <w:szCs w:val="18"/>
              </w:rPr>
              <w:t>E份额/F3份额/Q3份额/R3份额：本次认/申购开放期为2025年11月27日9：00至2025年12月3日17：00,投资者可以提交或撤销认/申购申请；其中E份额本次赎回开放期为2025年11月13日9：00至2025年11月19日17：00，投资者可以提交或撤销赎回申请。下一个赎回开放期为2026年12月30日9：00至2027年1月6日17：00，投资者可以提交或撤销赎回申请，下一个申购开放期为2027年1月14日9：00至2027年1月20日17：00，投资者可以提交或撤销申购申请。</w:t>
            </w:r>
          </w:p>
          <w:p w14:paraId="34D35F97">
            <w:pPr>
              <w:spacing w:line="200" w:lineRule="exact"/>
            </w:pPr>
            <w:r>
              <w:rPr>
                <w:rFonts w:ascii="方正黑体_GBK" w:hAnsi="方正黑体_GBK" w:eastAsia="方正黑体_GBK" w:cs="宋体"/>
                <w:sz w:val="18"/>
                <w:szCs w:val="18"/>
              </w:rPr>
              <w:t>B3份额/C3份额/D3份额/E3份额/G3份额/I3份额/J3份额/K3份额/L3份额/M3份额/O3份额/S3份额：本次开放期为2025年11月27日9：00至2025年12月3日17：00，投资者可以提交或撤销认/申购申请；确认成功的份额均将于下一个开放期（2026年12月30日9：00至2027年1月6日17：00）由系统自动发起赎回申请。</w:t>
            </w:r>
          </w:p>
          <w:p w14:paraId="17473601">
            <w:pPr>
              <w:spacing w:line="200" w:lineRule="exact"/>
            </w:pPr>
            <w:r>
              <w:rPr>
                <w:rFonts w:ascii="方正黑体_GBK" w:hAnsi="方正黑体_GBK" w:eastAsia="方正黑体_GBK" w:cs="宋体"/>
                <w:sz w:val="18"/>
                <w:szCs w:val="18"/>
              </w:rPr>
              <w:t>A4份额/F4份额/Q4份额/R4份额：本次开放期为2025年12月4日9：00至2025年12月10日17：00。下一个赎回开放期为2026年12月30日9：00至2027年1月6日17：00，投资者可以提交或撤销赎回申请，下一个申购开放期为2027年1月21日9：00至2027年1月27日17：00，投资者可以提交或撤销申购申请。</w:t>
            </w:r>
          </w:p>
          <w:p w14:paraId="53D8C0C7">
            <w:pPr>
              <w:spacing w:line="200" w:lineRule="exact"/>
            </w:pPr>
            <w:r>
              <w:rPr>
                <w:rFonts w:ascii="方正黑体_GBK" w:hAnsi="方正黑体_GBK" w:eastAsia="方正黑体_GBK" w:cs="宋体"/>
                <w:sz w:val="18"/>
                <w:szCs w:val="18"/>
              </w:rPr>
              <w:t>B4份额/C4份额/D4份额/E4份额/G4份额/J4份额/K4份额/M4份额/O4份额/S4份额：本次开放期为2025年12月4日9：00至2025年12月10日17：00，投资者可以提交或撤销认/申购申请；确认成功的份额均将于下一个开放期（2026年12月30日9：00至2027年1月6日17：00）由系统自动发起赎回申请。</w:t>
            </w:r>
          </w:p>
          <w:p w14:paraId="2AA56564">
            <w:pPr>
              <w:spacing w:line="200" w:lineRule="exact"/>
            </w:pPr>
            <w:r>
              <w:rPr>
                <w:rFonts w:ascii="方正黑体_GBK" w:hAnsi="方正黑体_GBK" w:eastAsia="方正黑体_GBK" w:cs="宋体"/>
                <w:sz w:val="18"/>
                <w:szCs w:val="18"/>
              </w:rPr>
              <w:t>产品开放期如有调整以管理人公告为准。</w:t>
            </w:r>
          </w:p>
          <w:p w14:paraId="4DED1B5C">
            <w:pPr>
              <w:spacing w:line="200" w:lineRule="exact"/>
            </w:pPr>
            <w:r>
              <w:rPr>
                <w:rFonts w:ascii="方正黑体_GBK" w:hAnsi="方正黑体_GBK" w:eastAsia="方正黑体_GBK" w:cs="宋体"/>
                <w:sz w:val="18"/>
                <w:szCs w:val="18"/>
              </w:rPr>
              <w:t>在销售机构支持的前提下，认购/申购/赎回开放期末日17:00前可以撤销申请。</w:t>
            </w:r>
          </w:p>
          <w:p w14:paraId="59B880F5">
            <w:pPr>
              <w:spacing w:line="200" w:lineRule="exact"/>
            </w:pPr>
            <w:r>
              <w:rPr>
                <w:rFonts w:ascii="方正黑体_GBK" w:hAnsi="方正黑体_GBK" w:eastAsia="方正黑体_GBK" w:cs="宋体"/>
                <w:sz w:val="18"/>
                <w:szCs w:val="18"/>
              </w:rPr>
              <w:t>代销机构可根据其销售需要在管理人设定的申购/赎回时间范围内对申购/赎回时间进行重新设定，投资者通过代销机构购买本理财产品的，以该代销机构最终披露的时间为准。</w:t>
            </w:r>
          </w:p>
        </w:tc>
      </w:tr>
      <w:tr w14:paraId="29F0F14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8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48BAB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w:t>
            </w:r>
            <w:r>
              <w:rPr>
                <w:rFonts w:hint="eastAsia" w:ascii="方正黑体_GBK" w:hAnsi="方正黑体_GBK" w:eastAsia="方正黑体_GBK"/>
                <w:caps w:val="0"/>
                <w:smallCaps w:val="0"/>
                <w:snapToGrid/>
                <w:vanish w:val="0"/>
                <w:color w:val="auto"/>
                <w:kern w:val="0"/>
                <w:sz w:val="18"/>
                <w:szCs w:val="18"/>
                <w:vertAlign w:val="baseline"/>
              </w:rPr>
              <w:t>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5D4864C">
            <w:pPr>
              <w:spacing w:line="200" w:lineRule="exact"/>
              <w:jc w:val="left"/>
            </w:pPr>
            <w:r>
              <w:rPr>
                <w:rFonts w:ascii="方正黑体_GBK" w:hAnsi="方正黑体_GBK" w:eastAsia="方正黑体_GBK" w:cs="宋体"/>
                <w:b/>
                <w:sz w:val="18"/>
                <w:szCs w:val="18"/>
              </w:rPr>
              <w:t>申购份额=申购金额/申购确认日产品单位净值（申购确认日为申购受理日当日）</w:t>
            </w:r>
          </w:p>
          <w:p w14:paraId="23B0DB1F">
            <w:pPr>
              <w:spacing w:line="200" w:lineRule="exact"/>
              <w:jc w:val="left"/>
            </w:pPr>
            <w:r>
              <w:rPr>
                <w:rFonts w:ascii="方正黑体_GBK" w:hAnsi="方正黑体_GBK" w:eastAsia="方正黑体_GBK" w:cs="宋体"/>
                <w:sz w:val="18"/>
                <w:szCs w:val="18"/>
              </w:rPr>
              <w:t>（申购份额按去尾法保留两位小数）。</w:t>
            </w:r>
          </w:p>
        </w:tc>
      </w:tr>
      <w:tr w14:paraId="1A659B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8EC1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赎回金额计算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2895CDB">
            <w:pPr>
              <w:spacing w:line="200" w:lineRule="exact"/>
            </w:pPr>
            <w:r>
              <w:rPr>
                <w:rFonts w:ascii="方正黑体_GBK" w:hAnsi="方正黑体_GBK" w:eastAsia="方正黑体_GBK" w:cs="宋体"/>
                <w:sz w:val="18"/>
                <w:szCs w:val="18"/>
              </w:rPr>
              <w:t>赎回金额=赎回份额×赎回确认日产品单位净值（赎回确认日为赎回受理日当日）</w:t>
            </w:r>
          </w:p>
          <w:p w14:paraId="617E5F79">
            <w:pPr>
              <w:spacing w:line="200" w:lineRule="exact"/>
            </w:pPr>
            <w:r>
              <w:rPr>
                <w:rFonts w:ascii="方正黑体_GBK" w:hAnsi="方正黑体_GBK" w:eastAsia="方正黑体_GBK" w:cs="宋体"/>
                <w:sz w:val="18"/>
                <w:szCs w:val="18"/>
              </w:rPr>
              <w:t>（赎回金额按去尾法保留两位小数）</w:t>
            </w:r>
          </w:p>
          <w:p w14:paraId="5AE2FDF2">
            <w:pPr>
              <w:spacing w:line="200" w:lineRule="exact"/>
            </w:pPr>
            <w:r>
              <w:rPr>
                <w:rFonts w:ascii="方正黑体_GBK" w:hAnsi="方正黑体_GBK" w:eastAsia="方正黑体_GBK" w:cs="宋体"/>
                <w:sz w:val="18"/>
                <w:szCs w:val="18"/>
              </w:rPr>
              <w:t>产品的赎回费、业绩报酬等费用（如有）将从赎回金额中扣除。</w:t>
            </w:r>
          </w:p>
        </w:tc>
      </w:tr>
      <w:tr w14:paraId="462C820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CDBE8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59F6A2D">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0F2797F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7819D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1744AA21">
            <w:pPr>
              <w:spacing w:line="200" w:lineRule="exact"/>
            </w:pPr>
            <w:r>
              <w:rPr>
                <w:rFonts w:ascii="方正黑体_GBK" w:hAnsi="方正黑体_GBK" w:eastAsia="方正黑体_GBK" w:cs="宋体"/>
                <w:sz w:val="18"/>
                <w:szCs w:val="18"/>
              </w:rPr>
              <w:t>当理财产品单位净值不低于1时，管理人可以根据实际情况进行收益分配，分配方式为现金分红，具体分配方案以信息披露为准（分配后理财产品净值不低于1）。</w:t>
            </w:r>
          </w:p>
          <w:p w14:paraId="65EF4D79">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7E047D2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2F5A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4FA4D535">
            <w:pPr>
              <w:spacing w:line="200" w:lineRule="exact"/>
              <w:jc w:val="left"/>
            </w:pPr>
            <w:r>
              <w:rPr>
                <w:rFonts w:ascii="方正黑体_GBK" w:hAnsi="方正黑体_GBK" w:eastAsia="方正黑体_GBK" w:cs="宋体"/>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14:paraId="44F0C843">
            <w:pPr>
              <w:spacing w:line="200" w:lineRule="exact"/>
              <w:jc w:val="left"/>
            </w:pPr>
            <w:r>
              <w:rPr>
                <w:rFonts w:ascii="方正黑体_GBK" w:hAnsi="方正黑体_GBK" w:eastAsia="方正黑体_GBK" w:cs="宋体"/>
                <w:sz w:val="18"/>
                <w:szCs w:val="18"/>
              </w:rPr>
              <w:t>分红权益登记日指管理人确认投资者所持份额是否享受本次分红的日期。</w:t>
            </w:r>
          </w:p>
        </w:tc>
      </w:tr>
      <w:tr w14:paraId="4F9DFBF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AC25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1335A73A">
            <w:pPr>
              <w:spacing w:line="200" w:lineRule="exact"/>
              <w:jc w:val="left"/>
            </w:pPr>
            <w:r>
              <w:rPr>
                <w:rFonts w:ascii="方正黑体_GBK" w:hAnsi="方正黑体_GBK" w:eastAsia="方正黑体_GBK" w:cs="宋体"/>
                <w:color w:val="000000"/>
                <w:sz w:val="18"/>
                <w:szCs w:val="18"/>
              </w:rPr>
              <w:t>本理财产品募集的资金投资于以下金融资产和金融工具，包括但不限于：</w:t>
            </w:r>
          </w:p>
          <w:p w14:paraId="5B16B6B4">
            <w:pPr>
              <w:spacing w:line="200" w:lineRule="exact"/>
              <w:jc w:val="left"/>
            </w:pPr>
            <w:r>
              <w:rPr>
                <w:rFonts w:ascii="方正黑体_GBK" w:hAnsi="方正黑体_GBK" w:eastAsia="方正黑体_GBK" w:cs="宋体"/>
                <w:color w:val="000000"/>
                <w:sz w:val="18"/>
                <w:szCs w:val="18"/>
              </w:rPr>
              <w:t>1.现金、银行存款、银行承兑汇票、同业存款、大额存单、同业存单、债券回购、货币基金等货币市场工具；</w:t>
            </w:r>
          </w:p>
          <w:p w14:paraId="137F125E">
            <w:pPr>
              <w:spacing w:line="200" w:lineRule="exact"/>
              <w:jc w:val="left"/>
            </w:pPr>
            <w:r>
              <w:rPr>
                <w:rFonts w:ascii="方正黑体_GBK" w:hAnsi="方正黑体_GBK" w:eastAsia="方正黑体_GBK" w:cs="宋体"/>
                <w:color w:val="000000"/>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708363C0">
            <w:pPr>
              <w:spacing w:line="200" w:lineRule="exact"/>
              <w:jc w:val="left"/>
            </w:pPr>
            <w:r>
              <w:rPr>
                <w:rFonts w:ascii="方正黑体_GBK" w:hAnsi="方正黑体_GBK" w:eastAsia="方正黑体_GBK" w:cs="宋体"/>
                <w:color w:val="000000"/>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0640B331">
            <w:pPr>
              <w:spacing w:line="200" w:lineRule="exact"/>
              <w:jc w:val="left"/>
            </w:pPr>
            <w:r>
              <w:rPr>
                <w:rFonts w:ascii="方正黑体_GBK" w:hAnsi="方正黑体_GBK" w:eastAsia="方正黑体_GBK" w:cs="宋体"/>
                <w:color w:val="000000"/>
                <w:sz w:val="18"/>
                <w:szCs w:val="18"/>
              </w:rPr>
              <w:t>4.投资范围为上述资产的信托计划、资产管理计划等资产管理产品；</w:t>
            </w:r>
          </w:p>
          <w:p w14:paraId="1A1A5397">
            <w:pPr>
              <w:spacing w:line="200" w:lineRule="exact"/>
              <w:jc w:val="left"/>
            </w:pPr>
            <w:r>
              <w:rPr>
                <w:rFonts w:ascii="方正黑体_GBK" w:hAnsi="方正黑体_GBK" w:eastAsia="方正黑体_GBK" w:cs="宋体"/>
                <w:color w:val="000000"/>
                <w:sz w:val="18"/>
                <w:szCs w:val="18"/>
              </w:rPr>
              <w:t>5.法律法规或监管机构允许投资的符合本理财产品投资性质的其他金融工具；</w:t>
            </w:r>
          </w:p>
          <w:p w14:paraId="6F87655A">
            <w:pPr>
              <w:spacing w:line="200" w:lineRule="exact"/>
            </w:pPr>
            <w:r>
              <w:rPr>
                <w:rFonts w:ascii="方正黑体_GBK" w:hAnsi="方正黑体_GBK" w:eastAsia="方正黑体_GBK" w:cs="宋体"/>
                <w:color w:val="000000"/>
                <w:sz w:val="18"/>
                <w:szCs w:val="18"/>
              </w:rPr>
              <w:t>6.如存在法律法规或监管机构以后允许投资的其他品种或法律法规或监管政策出现调整，管理人在履行本理财产品销售文件规定的适当程序后，有权调整以上品种。</w:t>
            </w:r>
          </w:p>
        </w:tc>
      </w:tr>
      <w:tr w14:paraId="755918F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DD51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13358249">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552B00BE">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3F1A3B0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E7FE8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3CDC4BE2">
            <w:pPr>
              <w:spacing w:line="200" w:lineRule="exact"/>
            </w:pPr>
            <w:r>
              <w:rPr>
                <w:rFonts w:ascii="方正黑体_GBK" w:hAnsi="方正黑体_GBK" w:eastAsia="方正黑体_GBK" w:cs="宋体"/>
                <w:sz w:val="18"/>
                <w:szCs w:val="18"/>
              </w:rPr>
              <w:t>本理财产品通过对宏观经济、政策环境、市场状况和资金供求的深入分析，自上而下进行积极主动的资产配置，对债券等资产进行品种和行业的价值分析，构建合理的投资组合方案。力争控制回撤幅度，追求稳健的投资回报。</w:t>
            </w:r>
          </w:p>
        </w:tc>
      </w:tr>
      <w:tr w14:paraId="070D0BF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CFD1C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3A10E7AD">
            <w:pPr>
              <w:spacing w:line="200" w:lineRule="exact"/>
            </w:pPr>
            <w:r>
              <w:rPr>
                <w:rFonts w:ascii="方正黑体_GBK" w:hAnsi="方正黑体_GBK" w:eastAsia="方正黑体_GBK" w:cs="宋体"/>
                <w:b/>
                <w:sz w:val="18"/>
                <w:szCs w:val="18"/>
              </w:rPr>
              <w:t>本理财产品拟投资以下备选非标准化债权类资产：</w:t>
            </w:r>
          </w:p>
          <w:p w14:paraId="41A06B42">
            <w:pPr>
              <w:spacing w:line="200" w:lineRule="exact"/>
            </w:pPr>
            <w:r>
              <w:rPr>
                <w:rFonts w:ascii="方正黑体_GBK" w:hAnsi="方正黑体_GBK" w:eastAsia="方正黑体_GBK" w:cs="宋体"/>
                <w:sz w:val="18"/>
                <w:szCs w:val="18"/>
              </w:rPr>
              <w:t>1.信托贷款：资产类型为信托公司设立的固定收益类信托计划，底层资产为向融资人绍兴市柯桥区建设集团有限公司发放信托贷款，资产到期日不超过理财产品最近一次开放日。融资人评级为AA+（评级机构为上海新世纪资信评估投资服务有限公司），融资人第一大股东为绍兴市柯桥区国有资产投资经营集团有限公司，持股比例为100%。经营范围包括：城市基础设施建设;交通道路建设;旧城改造;重大公益性项目的投资、开发、建设;城市综合开发;土地综合开发利用;房地产开发、经营;自有房屋租赁;物业管理;广告经营;物流工程开发;实业投资。(依法须经批准的项目,经相关部门批准后方可开展经营活动)</w:t>
            </w:r>
          </w:p>
          <w:p w14:paraId="19686992">
            <w:pPr>
              <w:spacing w:line="200" w:lineRule="exact"/>
            </w:pPr>
            <w:r>
              <w:rPr>
                <w:rFonts w:ascii="方正黑体_GBK" w:hAnsi="方正黑体_GBK" w:eastAsia="方正黑体_GBK" w:cs="宋体"/>
                <w:sz w:val="18"/>
                <w:szCs w:val="18"/>
              </w:rPr>
              <w:t>2.信托贷款：资产类型为信托公司设立的固定收益类信托计划，底层资产为向融资人江苏陶都产业发展集团有限公司发放信托贷款，资产到期日不超过理财产品最近一次开放日。融资人评级为AA+（评级机构为联合资信评估股份有限公司），融资人第一大股东为江苏宜兴陶瓷产业园区管理委员会，持股比例为100%。经营范围包括：陶瓷制品、紫砂工艺品、陶瓷泥料、紫砂泥料、金属材料、建筑装潢材料、化工产品及原料(除危险化学品)的销售；展览展示服务；组织文化艺术交流活动；生态旅游资源开发；谷物、苗木、花卉、蔬菜、园艺作物的种植、销售；农业机械设备、化肥、饲料、生鲜食用农产品的销售。(依法须经批准的项目，经相关部门批准后方可开展经营活动) 许可项目：房地产开发经营(依法须经批准的项目，经相关部门批准后方可开展经营活动，具体经营项目以审批结果为准) 一般项目：第一类医疗器械销售；环境应急治理服务；土石方工程施工；物业管理；土地使用权租赁；住房租赁；集贸市场管理服务；房地产咨询；停车场服务；园林绿化工程施工；专业保洁、清洗、消毒服务；五金产品批发；针纺织品及原料销售(除依法须经批准的项目外，凭营业执照依法自主开展经营活动)</w:t>
            </w:r>
          </w:p>
          <w:p w14:paraId="2D2D5303">
            <w:pPr>
              <w:spacing w:line="200" w:lineRule="exact"/>
            </w:pPr>
            <w:r>
              <w:rPr>
                <w:rFonts w:ascii="方正黑体_GBK" w:hAnsi="方正黑体_GBK" w:eastAsia="方正黑体_GBK" w:cs="宋体"/>
                <w:sz w:val="18"/>
                <w:szCs w:val="18"/>
              </w:rPr>
              <w:t>3.信托贷款：资产类型为信托公司设立的固定收益类信托计划，底层资产为向融资人邳州市产业投资控股集团有限公司发放信托贷款，资产到期日不超过理财产品最近一次开放日。融资人评级为AA+（评级机构为东方金诚国际信用评估有限公司），融资人第一大股东为邳州市财政局，持股比例为100%。经营范围包括：许可项目:建筑物拆除作业(爆破作业除外);发电业务、输电业务、供(配)电业务;水利工程建设监理;城市建筑垃圾处置(清运);建设工程施工;住宅室内装饰装修(依法须经批准的项目,经相关部门批准后方可开展经营活动,具体经营项目以审批结果为准)一般项目:土地整治服务;融资咨询服务;规划设计管理;市政设施管理;城市绿化管理;园区管理服务;养老服务;与农业生产经营有关的技术、信息、设施建设运营等服务;园林绿化工程施工;水污染治理;热力生产和供应(除依法须经批准的项目外,凭营业执照依法自主开展经营活动)</w:t>
            </w:r>
          </w:p>
          <w:p w14:paraId="32BE9467">
            <w:pPr>
              <w:spacing w:line="200" w:lineRule="exact"/>
            </w:pPr>
            <w:r>
              <w:rPr>
                <w:rFonts w:ascii="方正黑体_GBK" w:hAnsi="方正黑体_GBK" w:eastAsia="方正黑体_GBK" w:cs="宋体"/>
                <w:sz w:val="18"/>
                <w:szCs w:val="18"/>
              </w:rPr>
              <w:t>4.信托贷款：资产类型为信托公司设立的固定收益类信托计划，底层资产为向融资人东台市国有资产经营集团有限公司发放信托贷款，资产到期日不超过理财产品最近一次开放日。融资人评级为AA（评级机构为中证鹏元资信评估股份有限公司），融资人第一大股东为东台市国联控股有限公司，持股比例为100%。经营范围包括：政府授权的国有资产的经营、管理及沿海滩涂资源经营利用，实业投资。（依法须经批准的项目，经相关部门批准后方可开展经营活动）</w:t>
            </w:r>
          </w:p>
          <w:p w14:paraId="1BB68C1C">
            <w:pPr>
              <w:spacing w:line="200" w:lineRule="exact"/>
            </w:pPr>
            <w:r>
              <w:rPr>
                <w:rFonts w:ascii="方正黑体_GBK" w:hAnsi="方正黑体_GBK" w:eastAsia="方正黑体_GBK" w:cs="宋体"/>
                <w:sz w:val="18"/>
                <w:szCs w:val="18"/>
              </w:rPr>
              <w:t>5.信托贷款：资产类型为信托公司设立的固定收益类信托计划，底层资产为向融资人江苏双湖投资控股集团有限公司发放信托贷款，资产到期日不超过理财产品最近一次开放日。融资人评级为AA+（评级机构为大公国际资信评估有限公司），融资人第一大股东为江苏省盐城市建湖县人民政府，持股比例为100%。经营范围包括：许可项目：建设工程施工（依法须经批准的项目，经相关部门批准后方可开展经营活动，具体经营项目以审批结果为准） 一般项目：以自有资金从事投资活动；以私募基金从事股权投资、投资管理、资产管理等活动（须在中国证券投资基金业协会完成登记备案后方可从事经营活动）；创业投资（限投资未上市企业）；土地整治服务；建筑材料销售；金属结构销售；电子元器件与机电组件设备销售；电线、电缆经营；金属矿石销售；化工产品销售（不含许可类化工产品）；农副产品销售；物业管理；商业综合体管理服务；非居住房地产租赁；光伏设备及元器件销售（除依法须经批准的项目外，凭营业执照依法自主开展经营活动）</w:t>
            </w:r>
          </w:p>
          <w:p w14:paraId="7F406166">
            <w:pPr>
              <w:spacing w:line="200" w:lineRule="exact"/>
            </w:pPr>
            <w:r>
              <w:rPr>
                <w:rFonts w:ascii="方正黑体_GBK" w:hAnsi="方正黑体_GBK" w:eastAsia="方正黑体_GBK" w:cs="宋体"/>
                <w:sz w:val="18"/>
                <w:szCs w:val="18"/>
              </w:rPr>
              <w:t>6.信托贷款：资产类型为信托公司设立的固定收益类信托计划，底层资产为向融资人江苏恒瑞投资开发有限公司发放信托贷款，资产到期日不超过理财产品最近一次开放日。融资人评级为AA（评级机构为联合资信评估股份有限公司），融资人第一大股东为盐城市大丰区城市建设集团有限公司，持股比例为75%。经营范围包括：许可项目：建设工程施工（依法须经批准的项目，经相关部门批准后方可开展经营活动，具体经营项目以审批结果为准）一般项目：以自有资金从事投资活动；自有资金投资的资产管理服务；信息咨询服务（不含许可类信息咨询服务）；住房租赁；非居住房地产租赁；租赁服务（不含出版物出租）；日用品销售；五金产品零售；农业专业及辅助性活动（除依法须经批准的项目外，凭营业执照依法自主开展经营活动）</w:t>
            </w:r>
          </w:p>
          <w:p w14:paraId="4EE4307E">
            <w:pPr>
              <w:spacing w:line="200" w:lineRule="exact"/>
            </w:pPr>
            <w:r>
              <w:rPr>
                <w:rFonts w:ascii="方正黑体_GBK" w:hAnsi="方正黑体_GBK" w:eastAsia="方正黑体_GBK" w:cs="宋体"/>
                <w:sz w:val="18"/>
                <w:szCs w:val="18"/>
              </w:rPr>
              <w:t>7.信托贷款：资产类型为信托公司设立的固定收益类信托计划，底层资产为向融资人阜宁县城发控股集团有限公司发放信托贷款，资产到期日不超过理财产品最近一次开放日。融资人评级为AA+（评级机构为大公国际资信评估有限公司），融资人第一大股东为阜宁县人民政府国有资产监督管理办公室，持股比例为100%。经营范围包括：许可项目:建设工程施工;建设工程监理;第三类医疗器械经营(依法须经批准的项目,经相关部门批准后方可开展经营活动,具体经营项目以审批结果为准)一般项目:非居住房地产租赁;礼品花卉销售;树木种植经营;建筑材料销售;第一类医疗器械销售;第二类医疗器械销售;水果种植;市政设施管理;土地整治服务;以自有资金从事投资活动(除依法须经批准的项目外,凭营业执照依法自主开展经营活动)</w:t>
            </w:r>
          </w:p>
          <w:p w14:paraId="5771B83E">
            <w:pPr>
              <w:spacing w:line="200" w:lineRule="exact"/>
            </w:pPr>
            <w:r>
              <w:rPr>
                <w:rFonts w:ascii="方正黑体_GBK" w:hAnsi="方正黑体_GBK" w:eastAsia="方正黑体_GBK" w:cs="宋体"/>
                <w:sz w:val="18"/>
                <w:szCs w:val="18"/>
              </w:rPr>
              <w:t>8.信托贷款：资产类型为信托公司设立的固定收益类信托计划，底层资产为向融资人盐城经开城建投资集团有限公司发放信托贷款，资产到期日不超过理财产品最近一次开放日。融资人无外部评级，融资人第一大股东为盐城经济技术开发区管理委员会，持股比例为100%。经营范围包括：经政府授权范围内的土地整理和开发；保障性住房开发经营；城乡基础设施建设、维护；公益性基础设施建设；危旧房改造项目开发建设；房地产开发经营；资产管理。(依法须经批准的项目，经相关部门批准后方可开展经营活动)一般项目：以自有资金从事投资活动；金属材料销售；建筑材料销售；市政设施管理(除依法须经批准的项目外，凭营业执照依法自主开展经营活动)</w:t>
            </w:r>
          </w:p>
          <w:p w14:paraId="7D8C6D35">
            <w:pPr>
              <w:spacing w:line="200" w:lineRule="exact"/>
            </w:pPr>
            <w:r>
              <w:rPr>
                <w:rFonts w:ascii="方正黑体_GBK" w:hAnsi="方正黑体_GBK" w:eastAsia="方正黑体_GBK" w:cs="宋体"/>
                <w:sz w:val="18"/>
                <w:szCs w:val="18"/>
              </w:rPr>
              <w:t>9.信托贷款：资产类型为信托公司设立的固定收益类信托计划，底层资产为向融资人淮安市交投建设管理有限公司发放信托贷款，资产到期日不超过理财产品最近一次开放日。融资人无外部评级，融资人第一大股东为淮安市交通控股集团有限公司，持股比例为100%。经营范围包括：铁路建设投资；铁路资产经营；高铁新区及铁路沿线土地资源的开发整理；工程监理、咨询、项目管理、招标代理；安置房建设；市政基础设施建设；股权投资(非证券股权投资活动且仅限于铁路建设、运营方面股权投资)；广告牌租赁服务；钢材、水泥、建筑材料、工程设备物资的采购与销售；苗木、花卉、草坪的培育、销售；盆景的种植、销售、租赁；景观、园林、绿化工程施工及综合养护管理；园林景观设计。(依法须经批准的项目，经相关部门批准后方可开展经营活动) 许可项目：公路管理与养护；城市生活垃圾经营性服务；城市建筑垃圾处置(清运)；食品销售(依法须经批准的项目，经相关部门批准后方可开展经营活动，具体经营项目以审批结果为准) 一般项目：工程管理服务；市政设施管理；金属门窗工程施工；供应链管理服务；门窗销售；五金产品零售；金属制品销售；土石方工程施工；住房租赁；非居住房地产租赁；销售代理；固体废物治理；农村生活垃圾经营性服务；建筑装饰材料销售；卫生用品和一次性使用医疗用品销售；第一类医疗器械销售；第二类医疗器械销售；建筑砌块销售；再生资源销售；橡胶制品销售；机械设备租赁；环境卫生公共设施安装服务；劳务服务(不含劳务派遣)；城乡市容管理；农副产品销售；林产品采集；食品销售(仅销售预包装食品)；食用农产品批发；林业产品销售；肥料销售；塑料制品销售；机械设备销售；农业机械销售；日用品销售；家具销售；汽车销售；家居用品销售；建筑材料销售；办公用品销售；家用电器销售；日用百货销售；针纺织品及原料销售；针纺织品销售；服装服饰批发；服装服饰零售；公路水运工程试验检测服务；广告发布；数字广告发布(除依法须经批准的项目外，凭营业执照依法自主开展经营活动)</w:t>
            </w:r>
          </w:p>
          <w:p w14:paraId="5049ADA1">
            <w:pPr>
              <w:spacing w:line="200" w:lineRule="exact"/>
            </w:pPr>
            <w:r>
              <w:rPr>
                <w:rFonts w:ascii="方正黑体_GBK" w:hAnsi="方正黑体_GBK" w:eastAsia="方正黑体_GBK" w:cs="宋体"/>
                <w:sz w:val="18"/>
                <w:szCs w:val="18"/>
              </w:rPr>
              <w:t>10.信托贷款：资产类型为信托公司设立的固定收益类信托计划，底层资产为向融资人江苏武进太湖湾旅游发展有限公司发放信托贷款，资产到期日不超过理财产品最近一次开放日。融资人评级为AA（评级机构为东方金诚国际信用评估有限公司），融资人第一大股东为江苏武进经济发展集团有限公司，持股比例为83.68%。经营范围包括：旅游资源开发、经营;土地整理、开发;利用自有资金对文化产业项目、城市建设项目进行投资(不得从事金融、类金融业务,依法需取得许可和备案的除外);文化活动策划;文化旅游产品开发;农业休闲观光;农业综合开发;房地产物业、游览景区、公共设施、园林绿化、公园的管理服务;工艺礼品销售;为城市建设和基础设施建设项目服务。(依法须经批准的项目,经相关部门批准后方可开展经营活动)一般项目:体验式拓展活动及策划;旅游开发项目策划咨询;信息咨询服务(不含许可类信息咨询服务);组织文化艺术交流活动;技术服务、技术开发、技术咨询、技术交流、技术转让、技术推广;人力资源服务(不含职业中介活动、劳务派遣服务);科技推广和应用服务;新鲜水果零售;水果种植(除中国稀有和特有的珍贵优良品种);蔬菜、水果和坚果加工;新鲜水果批发;树木种植经营;蔬菜、食用菌等园艺作物种植;礼品花卉销售;花卉种植(除中国稀有和特有的珍贵优良品种);园林绿化工程施工;木材销售(除依法须经批准的项目外,凭营业执照依法自主开展经营活动)</w:t>
            </w:r>
          </w:p>
          <w:p w14:paraId="66DACDAB">
            <w:pPr>
              <w:spacing w:line="200" w:lineRule="exact"/>
            </w:pPr>
            <w:r>
              <w:rPr>
                <w:rFonts w:ascii="方正黑体_GBK" w:hAnsi="方正黑体_GBK" w:eastAsia="方正黑体_GBK" w:cs="宋体"/>
                <w:sz w:val="18"/>
                <w:szCs w:val="18"/>
              </w:rPr>
              <w:t>11.信托贷款：资产类型为信托公司设立的固定收益类信托计划，底层资产为向融资人江苏中扬清洁能源发展有限公司发放信托贷款，资产到期日不超过理财产品最近一次开放日。融资人无外部评级，融资人第一大股东为扬中市城乡国有资产经营管理中心，持股比例为100%。经营范围包括：许可项目：建设工程施工；水产养殖；电气安装服务；发电业务、输电业务、供(配)电业务(依法须经批准的项目，经相关部门批准后方可开展经营活动，具体经营项目以审批结果为准)一般项目：新兴能源技术研发；食用农产品批发；食用农产品零售；农作物栽培服务；建筑材料销售；金属材料销售；木材销售；机械设备销售；电子产品销售；五金产品批发；五金产品零售；针纺织品销售；日用百货销售；体育用品及器材批发；体育用品及器材零售；办公用品销售；再生资源回收(除生产性废旧金属)；生产性废旧金属回收；电气设备销售；管道运输设备销售；光伏设备及元器件制造；光伏设备及元器件销售；以自有资金从事投资活动；园林绿化工程施工；花卉种植；礼品花卉销售；园艺产品种植；蔬菜种植；花卉绿植租借与代管理；水产品批发；信息咨询服务(不含许可类信息咨询服务)；照明器具制造；照明器具销售；照明器具生产专用设备销售；电线、电缆经营；机械电气设备制造；机械电气设备销售；电器辅件制造；电器辅件销售；光电子器件制造；光电子器件销售；机械设备租赁；合同能源管理；租赁服务(不含许可类租赁服务)；普通机械设备安装服务；太阳能发电技术服务；发电技术服务(除依法须经批准的项目外，凭营业执照依法自主开展经营活动)</w:t>
            </w:r>
          </w:p>
          <w:p w14:paraId="471E343E">
            <w:pPr>
              <w:spacing w:line="200" w:lineRule="exact"/>
            </w:pPr>
            <w:r>
              <w:rPr>
                <w:rFonts w:ascii="方正黑体_GBK" w:hAnsi="方正黑体_GBK" w:eastAsia="方正黑体_GBK" w:cs="宋体"/>
                <w:sz w:val="18"/>
                <w:szCs w:val="18"/>
              </w:rPr>
              <w:t>12.信托贷款：资产类型为信托公司设立的固定收益类信托计划，底层资产为向融资人瘦西湖(扬州)商旅产业发展集团有限公司发放信托贷款，资产到期日不超过理财产品最近一次开放日。融资人无外部评级，融资人第一大股东为扬州瘦西湖旅游发展集团有限公司，持股比例为100%。经营范围包括：一般项目：自有资金投资的资产管理服务；物业管理；城市公园管理；游览景区管理；园区管理服务；商业综合体管理服务；以自有资金从事投资活动；企业管理；园艺产品种植；食用农产品零售；日用百货销售；礼仪服务；餐饮管理；工艺美术品及收藏品零售(象牙及其制品除外)；停车场服务；酒店管理；蔬菜种植；花卉种植；建筑材料销售；旅游开发项目策划咨询；农村民间工艺及制品、休闲农业和乡村旅游资源的开发经营；不动产登记代理服务；信息咨询服务(不含许可类信息咨询服务)(除依法须经批准的项目外，凭营业执照依法自主开展经营活动)</w:t>
            </w:r>
          </w:p>
          <w:p w14:paraId="42650E73">
            <w:pPr>
              <w:spacing w:line="200" w:lineRule="exact"/>
            </w:pPr>
            <w:r>
              <w:rPr>
                <w:rFonts w:ascii="方正黑体_GBK" w:hAnsi="方正黑体_GBK" w:eastAsia="方正黑体_GBK" w:cs="宋体"/>
                <w:sz w:val="18"/>
                <w:szCs w:val="18"/>
              </w:rPr>
              <w:t>13.信托贷款：资产类型为信托公司设立的固定收益类信托计划，底层资产为向融资人江苏开晟产业发展集团有限公司发放信托贷款，资产到期日不超过理财产品最近一次开放日。融资人评级为AA+（评级机构为联合资信评估股份有限公司），融资人第一大股东为海安经济技术开发区管理委员会，持股比例为100%。经营范围包括：许可项目:建设工程施工;房地产开发经营(依法须经批准的项目,经相关部门批准后方可开展经营活动,具体经营项目以审批结果为准)一般项目:土地整治服务;物业管理;企业管理;土地使用权租赁;非居住房地产租赁;住房租赁(除依法须经批准的项目外,凭营业执照依法自主开展经营活动)</w:t>
            </w:r>
          </w:p>
          <w:p w14:paraId="6B6D0CCF">
            <w:pPr>
              <w:spacing w:line="200" w:lineRule="exact"/>
            </w:pPr>
            <w:r>
              <w:rPr>
                <w:rFonts w:ascii="方正黑体_GBK" w:hAnsi="方正黑体_GBK" w:eastAsia="方正黑体_GBK" w:cs="宋体"/>
                <w:sz w:val="18"/>
                <w:szCs w:val="18"/>
              </w:rPr>
              <w:t>14.信托贷款：资产类型为信托公司设立的固定收益类信托计划，底层资产为向融资人扬州新材料国资控股集团有限公司发放信托贷款，资产到期日不超过理财产品最近一次开放日。融资人评级为AA+（评级机构为中证鹏元资信评估股份有限公司），融资人第一大股东为扬州市兴仪投资控股集团有限公司，持股比例为62%。经营范围包括：许可项目：建设工程施工；房地产开发经营(依法须经批准的项目，经相关部门批准后方可开展经营活动，具体经营项目以审批结果为准) 一般项目：以自有资金从事投资活动；市政设施管理；土地整治服务；城市绿化管理；物业管理；工程管理服务；房屋拆迁服务；住房租赁；非居住房地产租赁；金属材料销售；建筑装饰材料销售；广告设计、代理；广告制作；广告发布；停车场服务；信息咨询服务(不含许可类信息咨询服务)(除依法须经批准的项目外，凭营业执照依法自主开展经营活动)</w:t>
            </w:r>
          </w:p>
          <w:p w14:paraId="643699B8">
            <w:pPr>
              <w:spacing w:line="200" w:lineRule="exact"/>
            </w:pPr>
            <w:r>
              <w:rPr>
                <w:rFonts w:ascii="方正黑体_GBK" w:hAnsi="方正黑体_GBK" w:eastAsia="方正黑体_GBK" w:cs="宋体"/>
                <w:sz w:val="18"/>
                <w:szCs w:val="18"/>
              </w:rPr>
              <w:t>15.信托贷款：资产类型为信托公司设立的固定收益类信托计划，底层资产为向融资人扬州科佳建设工程有限公司发放信托贷款，资产到期日不超过理财产品最近一次开放日。融资人无外部评级，融资人第一大股东为扬州科丰高新产业投资开发集团有限公司，持股比例为100%。经营范围包括：建筑工程、机电安装工程、市政公用工程、水利水电工程、公路工程、景观工程、园林绿化工程、楼宇亮化工程设计、咨询、施工、维护、总承包，地基与基础工程、装潢装饰工程、钢结构工程、消防设施工程、城市及道路工程、园林古建筑工程设计、施工、专业承包，消防设施维护保养，起重设备安装工程专业承包。(依法须经批准的项目，经相关部门批准后方可开展经营活动)</w:t>
            </w:r>
          </w:p>
          <w:p w14:paraId="18803E4E">
            <w:pPr>
              <w:spacing w:line="200" w:lineRule="exact"/>
            </w:pPr>
            <w:r>
              <w:rPr>
                <w:rFonts w:ascii="方正黑体_GBK" w:hAnsi="方正黑体_GBK" w:eastAsia="方正黑体_GBK" w:cs="宋体"/>
                <w:sz w:val="18"/>
                <w:szCs w:val="18"/>
              </w:rPr>
              <w:t>16.信托贷款：资产类型为信托公司设立的固定收益类信托计划，底层资产为向融资人泰州市泰政港口投资有限公司发放信托贷款，资产到期日不超过理财产品最近一次开放日。融资人无外部评级，融资人第一大股东为泰州市交通产业集团有限公司，持股比例为100%。经营范围包括：许可项目：河道采砂；河道疏浚施工专业作业；港口经营；建设工程施工；水路普通货物运输；省际普通货船运输、省内船舶运输；道路货物运输(不含危险货物)；船舶制造；船舶修理；船舶拆除；船舶引航服务；船舶检验服务；海关监管货物仓储服务(不含危险化学品、危险货物)；保税仓库经营；保税物流中心经营(依法须经批准的项目，经相关部门批准后方可开展经营活动，具体经营项目以审批结果为准)一般项目：企业总部管理；供应链管理服务；船舶港口服务；船舶拖带服务；打捞服务；无船承运业务；水污染治理；港口理货；港口货物装卸搬运活动；港口设施设备和机械租赁维修业务；从事国际集装箱船、普通货船运输；集装箱租赁服务；集装箱维修；国内集装箱货物运输代理；普通货物仓储服务(不含危险化学品等需许可审批的项目)；煤炭及制品销售；粮油仓储服务；生产性废旧金属回收；再生资源回收(除生产性废旧金属)；再生资源加工；再生资源销售；国际货物运输代理；国内货物运输代理；股权投资；以自有资金从事投资活动；自有资金投资的资产管理服务；劳务服务(不含劳务派遣)；网络技术服务；信息技术咨询服务(除依法须经批准的项目外，凭营业执照依法自主开展经营活动)</w:t>
            </w:r>
          </w:p>
          <w:p w14:paraId="5EAD7F71">
            <w:pPr>
              <w:spacing w:line="200" w:lineRule="exact"/>
            </w:pPr>
            <w:r>
              <w:rPr>
                <w:rFonts w:ascii="方正黑体_GBK" w:hAnsi="方正黑体_GBK" w:eastAsia="方正黑体_GBK" w:cs="宋体"/>
                <w:sz w:val="18"/>
                <w:szCs w:val="18"/>
              </w:rPr>
              <w:t>17.信托贷款：资产类型为信托公司设立的固定收益类信托计划，底层资产为向融资人江苏景港控股有限公司发放信托贷款，资产到期日不超过理财产品最近一次开放日。融资人无外部评级，融资人第一大股东为靖江港口集团有限公司，持股比例为100%。经营范围包括：许可项目：港口经营；建设工程施工；建筑智能化系统设计；建设工程设计；餐饮服务；住宿服务；住宅室内装饰装修(依法须经批准的项目，经相关部门批准后方可开展经营活动，具体经营项目以审批结果为准) 一般项目：以自有资金从事投资活动；仓储设备租赁服务；成品油仓储(不含危险化学品)；道路货物运输站经营；普通货物仓储服务(不含危险化学品等需许可审批的项目)；运输货物打包服务；航空运输货物打包服务；装卸搬运；技术推广服务；物联网应用服务；货物进出口；技术进出口；技术服务、技术开发、技术咨询、技术交流、技术转让、技术推广；工程管理服务；金属材料销售；机械设备销售；机械设备租赁；办公设备销售；金属制品销售；木材销售；集贸市场管理服务；日用品批发；五金产品批发；建筑材料销售；电线、电缆经营；光伏设备及元器件销售；计算机系统服务；互联网设备销售；软件销售；软件开发；人工智能应用软件开发；电子产品销售；电气设备销售；机械电气设备销售；充电桩销售；煤炭及制品销售；非金属矿及制品销售；石油制品销售(不含危险化学品)；金属矿石销售；农产品的生产、销售、加工、运输、贮藏及其他相关服务；食用农产品批发；初级农产品收购；粮油仓储服务；粮食收购；会议及展览服务；农村民间工艺及制品、休闲农业和乡村旅游资源的开发经营；太阳能热利用产品销售；太阳能发电技术服务；电子专用材料销售；半导体器件专用设备销售；生态恢复及生态保护服务；水环境污染防治服务；水污染治理；土地整治服务；土地使用权租赁；住房租赁；非居住房地产租赁；物业管理；停车场服务；园林绿化工程施工；树木种植经营；林业产品销售；养老服务；智能家庭消费设备销售；机构养老服务；教育咨询服务(不含涉许可审批的教育培训活动)；安全咨询服务；数字创意产品展览展示服务；商务秘书服务；移动通信设备销售；集成电路销售；数字视频监控系统销售；电子元器件批发；专业设计服务；信息安全设备销售；网络与信息安全软件开发；港口理货；船舶港口服务；港口货物装卸搬运活动；港口设施设备和机械租赁维修业务；喷涂加工(除依法须经批准的项目外，凭营业执照依法自主开展经营活动)</w:t>
            </w:r>
          </w:p>
          <w:p w14:paraId="398AF264">
            <w:pPr>
              <w:spacing w:line="200" w:lineRule="exact"/>
            </w:pPr>
            <w:r>
              <w:rPr>
                <w:rFonts w:ascii="方正黑体_GBK" w:hAnsi="方正黑体_GBK" w:eastAsia="方正黑体_GBK" w:cs="宋体"/>
                <w:sz w:val="18"/>
                <w:szCs w:val="18"/>
              </w:rPr>
              <w:t>18.信托贷款：资产类型为信托公司设立的固定收益类信托计划，底层资产为向融资人泰兴市中鑫投资集团有限公司发放信托贷款，资产到期日不超过理财产品最近一次开放日。融资人评级为AA+（评级机构为中证鹏元资信评估股份有限公司），融资人第一大股东为泰兴市惠泰中小企业服务有限公司，持股比例为100%。经营范围包括：市政府授权范围内的国有资产投资、经营、管理等业务。（依法须经批准的项目，经相关部门批准后方可开展经营活动）一般项目：光伏设备及元器件销售；农产品的生产、销售、加工、运输、贮藏及其他相关服务；金属材料销售；化工产品销售（不含许可类化工产品）；建筑材料销售；金属制品销售；农副产品销售；金属矿石销售；日用化学产品销售；电子产品销售；谷物销售；豆及薯类销售；针纺织品及原料销售（除依法须经批准的项目外，凭营业执照依法自主开展经营活动）</w:t>
            </w:r>
          </w:p>
          <w:p w14:paraId="7A1D6E81">
            <w:pPr>
              <w:spacing w:line="200" w:lineRule="exact"/>
            </w:pPr>
            <w:r>
              <w:rPr>
                <w:rFonts w:ascii="方正黑体_GBK" w:hAnsi="方正黑体_GBK" w:eastAsia="方正黑体_GBK" w:cs="宋体"/>
                <w:sz w:val="18"/>
                <w:szCs w:val="18"/>
              </w:rPr>
              <w:t>19.信托贷款：资产类型为信托公司设立的固定收益类信托计划，底层资产为向融资人江苏润城城市投资控股集团有限公司发放信托贷款，资产到期日不超过理财产品最近一次开放日。融资人评级为AA+（评级机构为中诚信国际信用评级有限责任公司），融资人第一大股东为邳州市财政局，持股比例为100%。经营范围包括：许可项目:房屋建筑和市政基础设施项目工程总承包;建设工程施工;旅游业务;房地产开发经营(依法须经批准的项目,经相关部门批准后方可开展经营活动,具体经营项目以审批结果为准)一般项目:以自有资金从事投资活动;自有资金投资的资产管理服务;土地整治服务;旅游开发项目策划咨询;创业空间服务;房屋拆迁服务;市政设施管理;供应链管理服务;商业综合体管理服务;企业管理;国内贸易代理;经济贸易咨询;集贸市场管理服务;物业管理;园区管理服务(除依法须经批准的项目外,凭营业执照依法自主开展经营活动)</w:t>
            </w:r>
          </w:p>
          <w:p w14:paraId="26D689D6">
            <w:pPr>
              <w:spacing w:line="200" w:lineRule="exact"/>
            </w:pPr>
            <w:r>
              <w:rPr>
                <w:rFonts w:ascii="方正黑体_GBK" w:hAnsi="方正黑体_GBK" w:eastAsia="方正黑体_GBK" w:cs="宋体"/>
                <w:sz w:val="18"/>
                <w:szCs w:val="18"/>
              </w:rPr>
              <w:t>20.信托贷款：资产类型为信托公司设立的固定收益类信托计划，底层资产为向融资人南京吉山国有资产运营集团有限公司发放信托贷款，资产到期日不超过理财产品最近一次开放日。融资人无外部评级，融资人第一大股东为南京江宁经济技术开发集团有限公司，持股比例为100%。经营范围包括：许可项目：建设工程施工(依法须经批准的项目，经相关部门批准后方可开展经营活动，具体经营项目以审批结果为准)一般项目：创业空间服务；园区管理服务；市政设施管理；以自有资金从事投资活动；停车场服务；创业投资(限投资未上市企业)；会议及展览服务；土地整治服务；建筑材料销售；园林绿化工程施工；城市绿化管理；商业综合体管理服务；物业管理；住房租赁；租赁服务(不含许可类租赁服务)；酒店管理；工程管理服务；供应链管理服务(除依法须经批准的项目外，凭营业执照依法自主开展经营活动)</w:t>
            </w:r>
          </w:p>
          <w:p w14:paraId="11A34371">
            <w:pPr>
              <w:spacing w:line="200" w:lineRule="exact"/>
            </w:pPr>
            <w:r>
              <w:rPr>
                <w:rFonts w:ascii="方正黑体_GBK" w:hAnsi="方正黑体_GBK" w:eastAsia="方正黑体_GBK" w:cs="宋体"/>
                <w:sz w:val="18"/>
                <w:szCs w:val="18"/>
              </w:rPr>
              <w:t>21.信托贷款：资产类型为信托公司设立的固定收益类信托计划，底层资产为向融资人江苏凯润高新投资有限公司发放信托贷款，资产到期日不超过理财产品最近一次开放日。融资人无外部评级，融资人第一大股东为泰州医药高新开发区管理委员会，持股比例为100%。经营范围包括：许可项目：建设工程施工；住宿服务；餐饮服务；旅游业务；输电、供电、受电电力设施的安装、维修和试验；电气安装服务；水产养殖(依法须经批准的项目，经相关部门批准后方可开展经营活动，具体经营项目以审批结果为准)一般项目：以自有资金从事投资活动；市政设施管理；工程管理服务；物业管理；园林绿化工程施工；城市绿化管理；花卉种植；草种植；树木种植经营；园艺产品种植；农副产品销售；木材销售；热力生产和供应；五金产品零售；五金产品批发；电线、电缆经营；休闲观光活动；农村民间工艺及制品、休闲农业和乡村旅游资源的开发经营；蔬菜种植；新鲜蔬菜零售；新鲜水果零售；水果种植；食用农产品零售；住房租赁；建筑材料销售；与农业生产经营有关的技术、信息、设施建设运营等服务；农业机械租赁；建筑工程机械与设备租赁；运输设备租赁服务；租赁服务(不含许可类租赁服务)；土地使用权租赁；机械设备租赁；谷物种植；谷物销售；农产品的生产、销售、加工、运输、贮藏及其他相关服务；充电桩销售；电动汽车充电基础设施运营；输配电及控制设备制造；机动车充电销售；电力电子元器件制造；电力设施器材制造；电力电子元器件销售；电力设施器材销售；电气设备销售；水产品批发；水产品零售；污水处理及其再生利用；水污染治理；水环境污染防治服务(除依法须经批准的项目外，凭营业执照依法自主开展经营活动)</w:t>
            </w:r>
          </w:p>
          <w:p w14:paraId="1307B124">
            <w:pPr>
              <w:spacing w:line="200" w:lineRule="exact"/>
            </w:pPr>
            <w:r>
              <w:rPr>
                <w:rFonts w:ascii="方正黑体_GBK" w:hAnsi="方正黑体_GBK" w:eastAsia="方正黑体_GBK" w:cs="宋体"/>
                <w:sz w:val="18"/>
                <w:szCs w:val="18"/>
              </w:rPr>
              <w:t>22.信托贷款：资产类型为信托公司设立的固定收益类信托计划，底层资产为向融资人泰州高教投资发展有限公司发放信托贷款，资产到期日不超过理财产品最近一次开放日。融资人评级为AA（评级机构为东方金诚国际信用评估有限公司），融资人第一大股东为泰州市城市建设投资控股有限公司，持股比例为92.58%。经营范围包括：教育产业投资;建设投资;为高校学生提供住宿服务;土地平整;基础设施建设;对外投资;物业管理;中国医药城科教研发中心平台的运行与管理;经济信息咨询服务;房屋、机械设备租赁;社区服务,建设中介服务;销售建筑材料、日用百货(以上经营范围涉及审批许可的凭审批许可手续经营)。房地产开发。(依法须经批准的项目,经相关部门批准后方可开展经营活动)一般项目:城市公园管理(除依法须经批准的项目外,凭营业执照依法自主开展经营活动)</w:t>
            </w:r>
          </w:p>
          <w:p w14:paraId="74D8021B">
            <w:pPr>
              <w:spacing w:line="200" w:lineRule="exact"/>
            </w:pPr>
            <w:r>
              <w:rPr>
                <w:rFonts w:ascii="方正黑体_GBK" w:hAnsi="方正黑体_GBK" w:eastAsia="方正黑体_GBK" w:cs="宋体"/>
                <w:sz w:val="18"/>
                <w:szCs w:val="18"/>
              </w:rPr>
              <w:t>23.信托贷款：资产类型为信托公司设立的固定收益类信托计划，底层资产为向融资人扬州江淮建设发展有限公司发放信托贷款，资产到期日不超过理财产品最近一次开放日。融资人评级为AA+（评级机构为中证鹏元资信评估股份有限公司），融资人第一大股东为扬州市国联控股集团有限公司，持股比例为100%。经营范围包括：城镇化建设投资,旅游景区项目投资、开发,历史文化街区整合及开发,文化艺术交流服务,会展服务,商务信息咨询,对城中村改造项目、棚户区改造项目、农村基础设施项目及农业项目的投资。(依法须经批准的项目,经相关部门批准后方可开展经营活动)一般项目:建筑材料销售;林业产品销售(除依法须经批准的项目外,凭营业执照依法自主开展经营活动)</w:t>
            </w:r>
          </w:p>
          <w:p w14:paraId="3AA1C4A4">
            <w:pPr>
              <w:spacing w:line="200" w:lineRule="exact"/>
            </w:pPr>
            <w:r>
              <w:rPr>
                <w:rFonts w:ascii="方正黑体_GBK" w:hAnsi="方正黑体_GBK" w:eastAsia="方正黑体_GBK" w:cs="宋体"/>
                <w:sz w:val="18"/>
                <w:szCs w:val="18"/>
              </w:rPr>
              <w:t>24.信托贷款：资产类型为信托公司设立的固定收益类信托计划，底层资产为向融资人扬州邗城国控集团有限公司发放信托贷款，资产到期日不超过理财产品最近一次开放日。融资人无外部评级，融资人第一大股东为扬州高新国控集团有限公司，持股比例为100%。经营范围包括：许可项目：房地产开发经营；建设工程施工；建设工程设计；住宅室内装饰装修(依法须经批准的项目，经相关部门批准后方可开展经营活动，具体经营项目以审批结果为准)一般项目：控股公司服务；以自有资金从事投资活动；自有资金投资的资产管理服务；股权投资；市政设施管理；工程管理服务；规划设计管理；园林绿化工程施工；城市公园管理；停车场服务；建筑材料销售；物业管理；市场营销策划；信息咨询服务(不含许可类信息咨询服务)；城市绿化管理；非居住房地产租赁；住房租赁(除依法须经批准的项目外，凭营业执照依法自主开展经营活动)</w:t>
            </w:r>
          </w:p>
          <w:p w14:paraId="155F3027">
            <w:pPr>
              <w:spacing w:line="200" w:lineRule="exact"/>
            </w:pPr>
            <w:r>
              <w:rPr>
                <w:rFonts w:ascii="方正黑体_GBK" w:hAnsi="方正黑体_GBK" w:eastAsia="方正黑体_GBK" w:cs="宋体"/>
                <w:sz w:val="18"/>
                <w:szCs w:val="18"/>
              </w:rPr>
              <w:t>25.信托贷款：资产类型为信托公司设立的固定收益类信托计划，底层资产为向融资人扬中市绿洲产业投资集团有限公司发放信托贷款，资产到期日不超过理财产品最近一次开放日。融资人评级为AA+（评级机构为东方金诚国际信用评估有限公司），融资人第一大股东为扬中市人民政府，持股比例为100%。经营范围包括：许可项目：建设工程施工；公路管理与养护；建设工程设计；发电业务、输电业务、供(配)电业务；输电、供电、受电电力设施的安装、维修和试验；水产养殖；建筑物拆除作业(爆破作业除外)(依法须经批准的项目，经相关部门批准后方可开展经营活动，具体经营项目以审批结果为准)一般项目：以自有资金从事投资活动；自有资金投资的资产管理服务；土地整治服务；金属材料销售；建筑材料销售；电气设备销售；信息咨询服务(不含许可类信息咨询服务)；货物进出口；技术进出口；园区管理服务；住房租赁；非居住房地产租赁；停车场服务；储能技术服务；园林绿化工程施工；输配电及控制设备制造；光伏设备及元器件制造；太阳能发电技术服务；花卉种植；农产品的生产、销售、加工、运输、贮藏及其他相关服务；食用农产品初加工；食用农产品批发；食用农产品零售；农副产品销售；谷物种植；蔬菜种植；新鲜蔬菜批发；新鲜蔬菜零售；食用菌种植；水果种植；新鲜水果批发；新鲜水果零售；水产品批发；水产品零售；树木种植经营；农作物栽培服务；农业机械服务；与农业生产经营有关的技术、信息、设施建设运营等服务；工程管理服务；城乡市容管理；市政设施管理；水污染治理；污水处理及其再生利用(除依法须经批准的项目外，凭营业执照依法自主开展经营活动)</w:t>
            </w:r>
          </w:p>
          <w:p w14:paraId="6674E1B9">
            <w:pPr>
              <w:spacing w:line="200" w:lineRule="exact"/>
            </w:pPr>
            <w:r>
              <w:rPr>
                <w:rFonts w:ascii="方正黑体_GBK" w:hAnsi="方正黑体_GBK" w:eastAsia="方正黑体_GBK" w:cs="宋体"/>
                <w:sz w:val="18"/>
                <w:szCs w:val="18"/>
              </w:rPr>
              <w:t>26.信托贷款：资产类型为信托公司设立的固定收益类信托计划，底层资产为向融资人江苏扬子江国际冶金工业园城市发展集团有限公司发放信托贷款，资产到期日不超过理财产品最近一次开放日。融资人评级为AA+（评级机构为中证鹏元资信评估股份有限公司），融资人第一大股东为张家港市人民政府(江苏扬子江国际冶金工业园管理委员会)，持股比例为100%。经营范围包括：许可项目：房地产开发经营；建设工程施工；旅游业务；特种设备安装改造修理(依法须经批准的项目，经相关部门批准后方可开展经营活动，具体经营项目以审批结果为准)一般项目：园区管理服务；市政设施管理；城市绿化管理；货物进出口；技术进出口；国内贸易代理；物业管理；集贸市场管理服务；酒店管理；企业管理；租赁服务(不含许可类租赁服务)；水资源管理；资源再生利用技术研发；水污染治理；非居住房地产租赁；会议及展览服务；建筑用钢筋产品销售；机械设备销售；金属材料销售；第二类医疗器械销售；冶金专用设备销售；普通机械设备安装服务；国内货物运输代理；以自有资金从事投资活动(除依法须经批准的项目外，凭营业执照依法自主开展经营活动)</w:t>
            </w:r>
          </w:p>
          <w:p w14:paraId="4DA2C16B">
            <w:pPr>
              <w:spacing w:line="200" w:lineRule="exact"/>
            </w:pPr>
            <w:r>
              <w:rPr>
                <w:rFonts w:ascii="方正黑体_GBK" w:hAnsi="方正黑体_GBK" w:eastAsia="方正黑体_GBK" w:cs="宋体"/>
                <w:sz w:val="18"/>
                <w:szCs w:val="18"/>
              </w:rPr>
              <w:t>27.信托贷款：资产类型为信托公司设立的固定收益类信托计划，底层资产为向融资人江苏金坛建设集团有限公司发放信托贷款，资产到期日不超过理财产品最近一次开放日。融资人评级为AA+（评级机构为联合资信评估股份有限公司），融资人第一大股东为常州市金坛区人民政府，持股比例为100%。经营范围包括：许可项目:建设工程设计;建设工程施工;建设工程监理;建设工程质量检测;电气安装服务;房地产开发经营;港口经营;自来水生产与供应;城市公共交通(依法须经批准的项目,经相关部门批准后方可开展经营活动,具体经营项目以相关部门批准文件或许可证件为准)一般项目:工程管理服务;市政设施管理;非居住房地产租赁;住房租赁;房屋拆迁服务;房地产经纪;房地产咨询;水污染治理;污水处理及其再生利用;水环境污染防治服务;旅游开发项目策划咨询;城市绿化管理;城市公园管理;城乡市容管理;粮食收购;粮油仓储服务;物业管理;停车场服务;水资源管理;金属材料销售;建筑材料销售;照明器具销售;以自有资金从事投资活动(除依法须经批准的项目外,凭营业执照依法自主开展经营活动)</w:t>
            </w:r>
          </w:p>
          <w:p w14:paraId="5C3A0A3D">
            <w:pPr>
              <w:spacing w:line="200" w:lineRule="exact"/>
              <w:jc w:val="left"/>
            </w:pPr>
            <w:r>
              <w:rPr>
                <w:rFonts w:ascii="方正黑体_GBK" w:hAnsi="方正黑体_GBK" w:eastAsia="方正黑体_GBK" w:cs="宋体"/>
                <w:sz w:val="18"/>
                <w:szCs w:val="18"/>
              </w:rPr>
              <w:t>28.  资产支持计划：资产类型为保险资产管理公司设立的资产支持计划，底层资产为京东及信托公司双重审核、信托公司自主风控后发放的“白条”个人消费贷款债权，资产到期日不超过理财产品最近一次开放日，仅投资优先级。</w:t>
            </w:r>
          </w:p>
          <w:p w14:paraId="0118CBB2">
            <w:pPr>
              <w:spacing w:line="200" w:lineRule="exact"/>
              <w:jc w:val="left"/>
            </w:pPr>
            <w:r>
              <w:rPr>
                <w:rFonts w:ascii="方正黑体_GBK" w:hAnsi="方正黑体_GBK" w:eastAsia="方正黑体_GBK" w:cs="宋体"/>
                <w:sz w:val="18"/>
                <w:szCs w:val="18"/>
              </w:rPr>
              <w:t>29.  资产支持计划：资产类型为保险资产管理公司设立的资产支持计划，底层资产为京东及信托公司双重审核、信托公司自主风控后发放的“金条”个人消费贷款债权，资产到期日不超过理财产品最近一次开放日，仅投资优先级。</w:t>
            </w:r>
          </w:p>
          <w:p w14:paraId="36301D3A">
            <w:pPr>
              <w:spacing w:line="200" w:lineRule="exact"/>
              <w:jc w:val="left"/>
            </w:pPr>
            <w:r>
              <w:rPr>
                <w:rFonts w:ascii="方正黑体_GBK" w:hAnsi="方正黑体_GBK" w:eastAsia="方正黑体_GBK" w:cs="宋体"/>
                <w:sz w:val="18"/>
                <w:szCs w:val="18"/>
              </w:rPr>
              <w:t>30.  资产支持计划：资产类型为保险资产管理公司设立的资产支持计划，底层资产为京东及信托公司双重审核、信托公司自主风控后发放的“白条取现”个人消费贷款债权，资产到期日不超过理财产品最近一次开放日，仅投资优先级。</w:t>
            </w:r>
          </w:p>
          <w:p w14:paraId="7F0D2B1D">
            <w:pPr>
              <w:spacing w:line="200" w:lineRule="exact"/>
              <w:jc w:val="left"/>
            </w:pPr>
            <w:r>
              <w:rPr>
                <w:rFonts w:ascii="方正黑体_GBK" w:hAnsi="方正黑体_GBK" w:eastAsia="方正黑体_GBK" w:cs="宋体"/>
                <w:sz w:val="18"/>
                <w:szCs w:val="18"/>
              </w:rPr>
              <w:t>31.  资产支持计划：资产类型为保险资产管理公司设立的资产支持计划，底层资产为抖音及信托公司双重审核、信托公司自主风控后发放的“月付”个人消费贷款债权，资产到期日不超过理财产品最近一次开放日，仅投资优先级。</w:t>
            </w:r>
          </w:p>
          <w:p w14:paraId="688D4B9A">
            <w:pPr>
              <w:spacing w:line="200" w:lineRule="exact"/>
              <w:jc w:val="left"/>
            </w:pPr>
            <w:r>
              <w:rPr>
                <w:rFonts w:ascii="方正黑体_GBK" w:hAnsi="方正黑体_GBK" w:eastAsia="方正黑体_GBK" w:cs="宋体"/>
                <w:sz w:val="18"/>
                <w:szCs w:val="18"/>
              </w:rPr>
              <w:t>32.  资产支持计划：资产类型为保险资产管理公司设立的资产支持计划，底层资产为抖音及信托公司双重审核、信托公司自主风控后发放的“放心借”贷款资产，资产到期日不超过理财产品最近一次开放日，仅投资优先级。</w:t>
            </w:r>
          </w:p>
          <w:p w14:paraId="00B7A9CC">
            <w:pPr>
              <w:spacing w:line="200" w:lineRule="exact"/>
              <w:jc w:val="left"/>
            </w:pPr>
            <w:r>
              <w:rPr>
                <w:rFonts w:ascii="方正黑体_GBK" w:hAnsi="方正黑体_GBK" w:eastAsia="方正黑体_GBK" w:cs="宋体"/>
                <w:sz w:val="18"/>
                <w:szCs w:val="18"/>
              </w:rPr>
              <w:t>33.  资产支持计划：资产类型为保险资产管理公司设立的资产支持计划，底层资产为蚂蚁及信托公司双重审核、信托公司自主风控后发放的“花呗”个人消费贷款债权，资产到期日不超过理财产品最近一次开放日，仅投资优先级。</w:t>
            </w:r>
          </w:p>
          <w:p w14:paraId="58C83452">
            <w:pPr>
              <w:spacing w:line="200" w:lineRule="exact"/>
              <w:jc w:val="left"/>
            </w:pPr>
            <w:r>
              <w:rPr>
                <w:rFonts w:ascii="方正黑体_GBK" w:hAnsi="方正黑体_GBK" w:eastAsia="方正黑体_GBK" w:cs="宋体"/>
                <w:sz w:val="18"/>
                <w:szCs w:val="18"/>
              </w:rPr>
              <w:t>34.  资产支持计划：资产类型为保险资产管理公司设立的资产支持计划，底层资产为蚂蚁及信托公司双重审核、信托公司自主风控后发放的“借呗”个人消费贷款债权，资产到期日不超过理财产品最近一次开放日，仅投资优先级。</w:t>
            </w:r>
          </w:p>
          <w:p w14:paraId="3D288445">
            <w:pPr>
              <w:spacing w:line="200" w:lineRule="exact"/>
              <w:jc w:val="left"/>
            </w:pPr>
            <w:r>
              <w:rPr>
                <w:rFonts w:ascii="方正黑体_GBK" w:hAnsi="方正黑体_GBK" w:eastAsia="方正黑体_GBK" w:cs="宋体"/>
                <w:sz w:val="18"/>
                <w:szCs w:val="18"/>
              </w:rPr>
              <w:t>35.  信托贷款：资产类型为信托公司设立的资金信托计划，底层资产为京东及信托公司双重审核、信托公司自主风控后发放的“白条”个人消费贷款债权，资产到期日不超过理财产品最近一次开放日。</w:t>
            </w:r>
          </w:p>
          <w:p w14:paraId="0B4D348C">
            <w:pPr>
              <w:spacing w:line="200" w:lineRule="exact"/>
              <w:jc w:val="left"/>
            </w:pPr>
            <w:r>
              <w:rPr>
                <w:rFonts w:ascii="方正黑体_GBK" w:hAnsi="方正黑体_GBK" w:eastAsia="方正黑体_GBK" w:cs="宋体"/>
                <w:sz w:val="18"/>
                <w:szCs w:val="18"/>
              </w:rPr>
              <w:t>36.  信托贷款：资产类型为信托公司设立的资金信托计划，底层资产为京东及信托公司双重审核、信托公司自主风控后发放的“金条”个人消费贷款债权，资产到期日不超过理财产品最近一次开放日。</w:t>
            </w:r>
          </w:p>
          <w:p w14:paraId="7EC29665">
            <w:pPr>
              <w:spacing w:line="200" w:lineRule="exact"/>
              <w:jc w:val="left"/>
            </w:pPr>
            <w:r>
              <w:rPr>
                <w:rFonts w:ascii="方正黑体_GBK" w:hAnsi="方正黑体_GBK" w:eastAsia="方正黑体_GBK" w:cs="宋体"/>
                <w:sz w:val="18"/>
                <w:szCs w:val="18"/>
              </w:rPr>
              <w:t>37.  信托贷款：资产类型为信托公司设立的资金信托计划，底层资产为京东及信托公司双重审核、信托公司自主风控后发放的“白条取现”个人消费贷款债权，资产到期日不超过理财产品最近一次开放日。</w:t>
            </w:r>
          </w:p>
          <w:p w14:paraId="66B49C15">
            <w:pPr>
              <w:spacing w:line="200" w:lineRule="exact"/>
              <w:jc w:val="left"/>
            </w:pPr>
            <w:r>
              <w:rPr>
                <w:rFonts w:ascii="方正黑体_GBK" w:hAnsi="方正黑体_GBK" w:eastAsia="方正黑体_GBK" w:cs="宋体"/>
                <w:sz w:val="18"/>
                <w:szCs w:val="18"/>
              </w:rPr>
              <w:t>38.  信托贷款：资产类型为信托公司设立的资金信托计划，底层资产为抖音及信托公司双重审核、信托公司自主风控后发放的“月付”个人消费贷款债权，资产到期日不超过理财产品最近一次开放日。</w:t>
            </w:r>
          </w:p>
          <w:p w14:paraId="2D58B8A7">
            <w:pPr>
              <w:spacing w:line="200" w:lineRule="exact"/>
              <w:jc w:val="left"/>
            </w:pPr>
            <w:r>
              <w:rPr>
                <w:rFonts w:ascii="方正黑体_GBK" w:hAnsi="方正黑体_GBK" w:eastAsia="方正黑体_GBK" w:cs="宋体"/>
                <w:sz w:val="18"/>
                <w:szCs w:val="18"/>
              </w:rPr>
              <w:t>39.  信托贷款：资产类型为信托公司设立的资金信托计划，底层资产为抖音及信托公司双重审核、信托公司自主风控后发放的“放心借”贷款资产，资产到期日不超过理财产品最近一次开放日。</w:t>
            </w:r>
          </w:p>
          <w:p w14:paraId="30B502D2">
            <w:pPr>
              <w:spacing w:line="200" w:lineRule="exact"/>
              <w:jc w:val="left"/>
            </w:pPr>
            <w:r>
              <w:rPr>
                <w:rFonts w:ascii="方正黑体_GBK" w:hAnsi="方正黑体_GBK" w:eastAsia="方正黑体_GBK" w:cs="宋体"/>
                <w:sz w:val="18"/>
                <w:szCs w:val="18"/>
              </w:rPr>
              <w:t>40.  信托贷款：资产类型为信托公司设立的资金信托计划，底层资产为蚂蚁及信托公司双重审核、信托公司自主风控后发放的“花呗”个人消费贷款债权，资产到期日不超过理财产品最近一次开放日。</w:t>
            </w:r>
          </w:p>
          <w:p w14:paraId="65D403D3">
            <w:pPr>
              <w:spacing w:line="200" w:lineRule="exact"/>
              <w:jc w:val="left"/>
            </w:pPr>
            <w:r>
              <w:rPr>
                <w:rFonts w:ascii="方正黑体_GBK" w:hAnsi="方正黑体_GBK" w:eastAsia="方正黑体_GBK" w:cs="宋体"/>
                <w:sz w:val="18"/>
                <w:szCs w:val="18"/>
              </w:rPr>
              <w:t>41.  信托贷款：资产类型为信托公司设立的资金信托计划，底层资产为蚂蚁及信托公司双重审核、信托公司自主风控后发放的“借呗”个人消费贷款债权，资产到期日不超过理财产品最近一次开放日。</w:t>
            </w:r>
          </w:p>
          <w:p w14:paraId="160A85B8">
            <w:pPr>
              <w:spacing w:line="200" w:lineRule="exact"/>
              <w:jc w:val="left"/>
            </w:pPr>
            <w:r>
              <w:rPr>
                <w:rFonts w:ascii="方正黑体_GBK" w:hAnsi="方正黑体_GBK" w:eastAsia="方正黑体_GBK" w:cs="宋体"/>
                <w:sz w:val="18"/>
                <w:szCs w:val="18"/>
              </w:rPr>
              <w:t>42.  信托贷款：资产类型为信托公司设立的资金信托计划，底层资产为微信及信托公司双重审核、信托公司自主风控后发放的“分付”个人消费贷款债权，资产到期日不超过理财产品最近一次开放日。</w:t>
            </w:r>
          </w:p>
          <w:p w14:paraId="1079DF76">
            <w:pPr>
              <w:spacing w:line="200" w:lineRule="exact"/>
              <w:jc w:val="left"/>
            </w:pPr>
            <w:r>
              <w:rPr>
                <w:rFonts w:ascii="方正黑体_GBK" w:hAnsi="方正黑体_GBK" w:eastAsia="方正黑体_GBK" w:cs="宋体"/>
                <w:sz w:val="18"/>
                <w:szCs w:val="18"/>
              </w:rPr>
              <w:t>43.  信托贷款：资产类型为信托公司设立的资金信托计划，底层资产为度小满及信托公司双重审核、信托公司自主风控后发放的“满易贷”个人消费贷款债权，资产到期日不超过理财产品最近一次开放日。</w:t>
            </w:r>
          </w:p>
          <w:p w14:paraId="79B664E7">
            <w:pPr>
              <w:spacing w:line="200" w:lineRule="exact"/>
              <w:jc w:val="left"/>
            </w:pPr>
            <w:r>
              <w:rPr>
                <w:rFonts w:ascii="方正黑体_GBK" w:hAnsi="方正黑体_GBK" w:eastAsia="方正黑体_GBK" w:cs="宋体"/>
                <w:sz w:val="18"/>
                <w:szCs w:val="18"/>
              </w:rPr>
              <w:t>44.  资产支持计划：资产类型为保险资产管理公司设立的资产支持计划，底层资产为中国建筑第二工程局有限公司及其下属公司基于其真实业务背景产生的应收账款，资产到期日不超过理财产品最近一次开放日。</w:t>
            </w:r>
          </w:p>
          <w:p w14:paraId="420EC20A">
            <w:pPr>
              <w:spacing w:line="200" w:lineRule="exact"/>
              <w:jc w:val="left"/>
            </w:pPr>
            <w:r>
              <w:rPr>
                <w:rFonts w:ascii="方正黑体_GBK" w:hAnsi="方正黑体_GBK" w:eastAsia="方正黑体_GBK" w:cs="宋体"/>
                <w:sz w:val="18"/>
                <w:szCs w:val="18"/>
              </w:rPr>
              <w:t>45.  应收账款：资产类型为信托公司设立的资金信托计划，底层资产为中国建筑第二工程局有限公司及其下属公司基于其真实业务背景产生的应收账款，资产到期日不超过理财产品最近一次开放日。</w:t>
            </w:r>
          </w:p>
          <w:p w14:paraId="2977FD0B">
            <w:pPr>
              <w:spacing w:line="200" w:lineRule="exact"/>
              <w:jc w:val="left"/>
            </w:pPr>
            <w:r>
              <w:rPr>
                <w:rFonts w:ascii="方正黑体_GBK" w:hAnsi="方正黑体_GBK" w:eastAsia="方正黑体_GBK" w:cs="宋体"/>
                <w:sz w:val="18"/>
                <w:szCs w:val="18"/>
              </w:rPr>
              <w:t>46.  券商收益凭证：资产类型为证券公司发行的收益凭证，资产到期日不超过理财产品最近一次开放日，融资人为华宝证券股份有限公司，融资人评级为AA+（评级机构为联合资信评估股份有限公司）。</w:t>
            </w:r>
          </w:p>
          <w:p w14:paraId="374F4E61">
            <w:pPr>
              <w:spacing w:line="200" w:lineRule="exact"/>
              <w:jc w:val="left"/>
            </w:pPr>
            <w:r>
              <w:rPr>
                <w:rFonts w:ascii="方正黑体_GBK" w:hAnsi="方正黑体_GBK" w:eastAsia="方正黑体_GBK" w:cs="宋体"/>
                <w:sz w:val="18"/>
                <w:szCs w:val="18"/>
              </w:rPr>
              <w:t>47.  券商收益凭证：资产类型为证券公司发行的收益凭证，资产到期日不超过理财产品最近一次开放日，融资人为上海证券有限责任公司，融资人评级为AAA（评级机构为上海新世纪资信评估投资服务有限公司）。</w:t>
            </w:r>
          </w:p>
          <w:p w14:paraId="210BF745">
            <w:pPr>
              <w:spacing w:line="200" w:lineRule="exact"/>
              <w:jc w:val="left"/>
            </w:pPr>
            <w:r>
              <w:rPr>
                <w:rFonts w:ascii="方正黑体_GBK" w:hAnsi="方正黑体_GBK" w:eastAsia="方正黑体_GBK" w:cs="宋体"/>
                <w:sz w:val="18"/>
                <w:szCs w:val="18"/>
              </w:rPr>
              <w:t>48.  券商收益凭证：资产类型为证券公司发行的收益凭证，资产到期日不超过理财产品最近一次开放日，融资人为山西证券股份有限公司，融资人评级为AAA（评级机构为中诚信国际信用评级有限责任公司）。</w:t>
            </w:r>
          </w:p>
          <w:p w14:paraId="6F9E864E">
            <w:pPr>
              <w:spacing w:line="200" w:lineRule="exact"/>
              <w:jc w:val="left"/>
            </w:pPr>
            <w:r>
              <w:rPr>
                <w:rFonts w:ascii="方正黑体_GBK" w:hAnsi="方正黑体_GBK" w:eastAsia="方正黑体_GBK" w:cs="宋体"/>
                <w:sz w:val="18"/>
                <w:szCs w:val="18"/>
              </w:rPr>
              <w:t>49.  券商收益凭证：资产类型为证券公司发行的收益凭证，资产到期日不超过理财产品最近一次开放日，融资人为中银国际证券股份有限公司，融资人评级为AAA（评级机构为中诚信国际信用评级有限责任公司）。</w:t>
            </w:r>
          </w:p>
          <w:p w14:paraId="464FD47F">
            <w:pPr>
              <w:spacing w:line="200" w:lineRule="exact"/>
              <w:jc w:val="left"/>
            </w:pPr>
            <w:r>
              <w:rPr>
                <w:rFonts w:ascii="方正黑体_GBK" w:hAnsi="方正黑体_GBK" w:eastAsia="方正黑体_GBK" w:cs="宋体"/>
                <w:sz w:val="18"/>
                <w:szCs w:val="18"/>
              </w:rPr>
              <w:t>50.  券商收益凭证：资产类型为证券公司发行的收益凭证，资产到期日不超过理财产品最近一次开放日，融资人为首创证券股份有限公司，融资人评级为AAA（评级机构为中诚信国际信用评级有限责任公司）。</w:t>
            </w:r>
          </w:p>
          <w:p w14:paraId="7C11E4E7">
            <w:pPr>
              <w:spacing w:line="200" w:lineRule="exact"/>
              <w:jc w:val="left"/>
            </w:pPr>
            <w:r>
              <w:rPr>
                <w:rFonts w:ascii="方正黑体_GBK" w:hAnsi="方正黑体_GBK" w:eastAsia="方正黑体_GBK" w:cs="宋体"/>
                <w:sz w:val="18"/>
                <w:szCs w:val="18"/>
              </w:rPr>
              <w:t>51.  同业借款：资产类型为南银理财有限责任公司向持牌金融机构发放的同业借款，资产到期日不超过理财产品最近一次开放日，融资人为中国中信金融资产管理股份有限公司。</w:t>
            </w:r>
          </w:p>
          <w:p w14:paraId="3C78A4E2">
            <w:pPr>
              <w:spacing w:line="200" w:lineRule="exact"/>
              <w:jc w:val="left"/>
            </w:pPr>
            <w:r>
              <w:rPr>
                <w:rFonts w:ascii="方正黑体_GBK" w:hAnsi="方正黑体_GBK" w:eastAsia="方正黑体_GBK" w:cs="宋体"/>
                <w:sz w:val="18"/>
                <w:szCs w:val="18"/>
              </w:rPr>
              <w:t>52.  同业借款：资产类型为南银理财有限责任公司向持牌金融机构发放的同业借款，资产到期日不超过理财产品最近一次开放日，融资人为中国东方资产管理股份有限公司。</w:t>
            </w:r>
          </w:p>
          <w:p w14:paraId="41B087D0">
            <w:pPr>
              <w:spacing w:line="200" w:lineRule="exact"/>
              <w:jc w:val="left"/>
            </w:pPr>
            <w:r>
              <w:rPr>
                <w:rFonts w:ascii="方正黑体_GBK" w:hAnsi="方正黑体_GBK" w:eastAsia="方正黑体_GBK" w:cs="宋体"/>
                <w:sz w:val="18"/>
                <w:szCs w:val="18"/>
              </w:rPr>
              <w:t>53.  同业借款：资产类型为南银理财有限责任公司向持牌金融机构发放的同业借款，资产到期日不超过理财产品最近一次开放日，融资人为中国信达资产管理股份有限公司。</w:t>
            </w:r>
          </w:p>
          <w:p w14:paraId="0974066E">
            <w:pPr>
              <w:spacing w:line="200" w:lineRule="exact"/>
              <w:jc w:val="left"/>
            </w:pPr>
            <w:r>
              <w:rPr>
                <w:rFonts w:ascii="方正黑体_GBK" w:hAnsi="方正黑体_GBK" w:eastAsia="方正黑体_GBK" w:cs="宋体"/>
                <w:sz w:val="18"/>
                <w:szCs w:val="18"/>
              </w:rPr>
              <w:t>54.  同业借款：资产类型为南银理财有限责任公司向持牌金融机构发放的同业借款，资产到期日不超过理财产品最近一次开放日，融资人为中国长城资产管理股份有限公司。</w:t>
            </w:r>
          </w:p>
          <w:p w14:paraId="2CB37D31">
            <w:pPr>
              <w:spacing w:line="200" w:lineRule="exact"/>
            </w:pPr>
            <w:r>
              <w:rPr>
                <w:rFonts w:ascii="方正黑体_GBK" w:hAnsi="方正黑体_GBK" w:eastAsia="方正黑体_GBK" w:cs="宋体"/>
                <w:b/>
                <w:sz w:val="18"/>
                <w:szCs w:val="18"/>
              </w:rPr>
              <w:t>以上资产剩余期限均不超过产品期限。</w:t>
            </w:r>
            <w:r>
              <w:rPr>
                <w:rFonts w:ascii="方正黑体_GBK" w:hAnsi="方正黑体_GBK" w:eastAsia="方正黑体_GBK"/>
              </w:rPr>
              <w:br w:type="textWrapping"/>
            </w:r>
            <w:r>
              <w:rPr>
                <w:rFonts w:ascii="方正黑体_GBK" w:hAnsi="方正黑体_GBK" w:eastAsia="方正黑体_GBK"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14:paraId="4C3C74F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3DA3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0D397287">
            <w:pPr>
              <w:spacing w:line="200" w:lineRule="exact"/>
            </w:pPr>
            <w:r>
              <w:rPr>
                <w:rFonts w:ascii="方正黑体_GBK" w:hAnsi="方正黑体_GBK" w:eastAsia="方正黑体_GBK" w:cs="宋体"/>
                <w:sz w:val="18"/>
                <w:szCs w:val="18"/>
              </w:rPr>
              <w:t>A份额：业绩比较基准为年化2.2%-2.45% 。</w:t>
            </w:r>
          </w:p>
          <w:p w14:paraId="120DC099">
            <w:pPr>
              <w:spacing w:line="200" w:lineRule="exact"/>
            </w:pPr>
            <w:r>
              <w:rPr>
                <w:rFonts w:ascii="方正黑体_GBK" w:hAnsi="方正黑体_GBK" w:eastAsia="方正黑体_GBK" w:cs="宋体"/>
                <w:sz w:val="18"/>
                <w:szCs w:val="18"/>
              </w:rPr>
              <w:t>C份额：业绩比较基准为年化2.2%-2.45% 。</w:t>
            </w:r>
          </w:p>
          <w:p w14:paraId="2266A6BA">
            <w:pPr>
              <w:spacing w:line="200" w:lineRule="exact"/>
            </w:pPr>
            <w:r>
              <w:rPr>
                <w:rFonts w:ascii="方正黑体_GBK" w:hAnsi="方正黑体_GBK" w:eastAsia="方正黑体_GBK" w:cs="宋体"/>
                <w:sz w:val="18"/>
                <w:szCs w:val="18"/>
              </w:rPr>
              <w:t>E份额：业绩比较基准为年化2.2%-2.45% 。</w:t>
            </w:r>
          </w:p>
          <w:p w14:paraId="20CB5C01">
            <w:pPr>
              <w:spacing w:line="200" w:lineRule="exact"/>
            </w:pPr>
            <w:r>
              <w:rPr>
                <w:rFonts w:ascii="方正黑体_GBK" w:hAnsi="方正黑体_GBK" w:eastAsia="方正黑体_GBK" w:cs="宋体"/>
                <w:sz w:val="18"/>
                <w:szCs w:val="18"/>
              </w:rPr>
              <w:t>B2份额：业绩比较基准为年化2.2%-2.45% 。</w:t>
            </w:r>
          </w:p>
          <w:p w14:paraId="1CDFAA47">
            <w:pPr>
              <w:spacing w:line="200" w:lineRule="exact"/>
            </w:pPr>
            <w:r>
              <w:rPr>
                <w:rFonts w:ascii="方正黑体_GBK" w:hAnsi="方正黑体_GBK" w:eastAsia="方正黑体_GBK" w:cs="宋体"/>
                <w:sz w:val="18"/>
                <w:szCs w:val="18"/>
              </w:rPr>
              <w:t>C2份额：业绩比较基准为年化2.25%-2.5% 。</w:t>
            </w:r>
          </w:p>
          <w:p w14:paraId="4CC61ED5">
            <w:pPr>
              <w:spacing w:line="200" w:lineRule="exact"/>
            </w:pPr>
            <w:r>
              <w:rPr>
                <w:rFonts w:ascii="方正黑体_GBK" w:hAnsi="方正黑体_GBK" w:eastAsia="方正黑体_GBK" w:cs="宋体"/>
                <w:sz w:val="18"/>
                <w:szCs w:val="18"/>
              </w:rPr>
              <w:t>D2份额：业绩比较基准为年化2.3%-2.55% 。</w:t>
            </w:r>
          </w:p>
          <w:p w14:paraId="4B8C59EF">
            <w:pPr>
              <w:spacing w:line="200" w:lineRule="exact"/>
            </w:pPr>
            <w:r>
              <w:rPr>
                <w:rFonts w:ascii="方正黑体_GBK" w:hAnsi="方正黑体_GBK" w:eastAsia="方正黑体_GBK" w:cs="宋体"/>
                <w:sz w:val="18"/>
                <w:szCs w:val="18"/>
              </w:rPr>
              <w:t>E2份额：业绩比较基准为年化2.4%-2.65% 。</w:t>
            </w:r>
          </w:p>
          <w:p w14:paraId="2938CFF9">
            <w:pPr>
              <w:spacing w:line="200" w:lineRule="exact"/>
            </w:pPr>
            <w:r>
              <w:rPr>
                <w:rFonts w:ascii="方正黑体_GBK" w:hAnsi="方正黑体_GBK" w:eastAsia="方正黑体_GBK" w:cs="宋体"/>
                <w:sz w:val="18"/>
                <w:szCs w:val="18"/>
              </w:rPr>
              <w:t>B3份额：业绩比较基准为年化2.2%-2.45% 。</w:t>
            </w:r>
          </w:p>
          <w:p w14:paraId="2C98A912">
            <w:pPr>
              <w:spacing w:line="200" w:lineRule="exact"/>
            </w:pPr>
            <w:r>
              <w:rPr>
                <w:rFonts w:ascii="方正黑体_GBK" w:hAnsi="方正黑体_GBK" w:eastAsia="方正黑体_GBK" w:cs="宋体"/>
                <w:sz w:val="18"/>
                <w:szCs w:val="18"/>
              </w:rPr>
              <w:t>C3份额：业绩比较基准为年化2.25%-2.5% 。</w:t>
            </w:r>
          </w:p>
          <w:p w14:paraId="3A8FE08C">
            <w:pPr>
              <w:spacing w:line="200" w:lineRule="exact"/>
            </w:pPr>
            <w:r>
              <w:rPr>
                <w:rFonts w:ascii="方正黑体_GBK" w:hAnsi="方正黑体_GBK" w:eastAsia="方正黑体_GBK" w:cs="宋体"/>
                <w:sz w:val="18"/>
                <w:szCs w:val="18"/>
              </w:rPr>
              <w:t>D3份额：业绩比较基准为年化2.3%-2.55% 。</w:t>
            </w:r>
          </w:p>
          <w:p w14:paraId="75445F9D">
            <w:pPr>
              <w:spacing w:line="200" w:lineRule="exact"/>
            </w:pPr>
            <w:r>
              <w:rPr>
                <w:rFonts w:ascii="方正黑体_GBK" w:hAnsi="方正黑体_GBK" w:eastAsia="方正黑体_GBK" w:cs="宋体"/>
                <w:sz w:val="18"/>
                <w:szCs w:val="18"/>
              </w:rPr>
              <w:t>E3份额：业绩比较基准为年化2.4%-2.65% 。</w:t>
            </w:r>
          </w:p>
          <w:p w14:paraId="5B141DB1">
            <w:pPr>
              <w:spacing w:line="200" w:lineRule="exact"/>
            </w:pPr>
            <w:r>
              <w:rPr>
                <w:rFonts w:ascii="方正黑体_GBK" w:hAnsi="方正黑体_GBK" w:eastAsia="方正黑体_GBK" w:cs="宋体"/>
                <w:sz w:val="18"/>
                <w:szCs w:val="18"/>
              </w:rPr>
              <w:t>A4份额：业绩比较基准为年化2.2%-2.45% 。</w:t>
            </w:r>
          </w:p>
          <w:p w14:paraId="43232223">
            <w:pPr>
              <w:spacing w:line="200" w:lineRule="exact"/>
            </w:pPr>
            <w:r>
              <w:rPr>
                <w:rFonts w:ascii="方正黑体_GBK" w:hAnsi="方正黑体_GBK" w:eastAsia="方正黑体_GBK" w:cs="宋体"/>
                <w:sz w:val="18"/>
                <w:szCs w:val="18"/>
              </w:rPr>
              <w:t>B4份额：业绩比较基准为年化2.2%-2.45% 。</w:t>
            </w:r>
          </w:p>
          <w:p w14:paraId="528FA546">
            <w:pPr>
              <w:spacing w:line="200" w:lineRule="exact"/>
            </w:pPr>
            <w:r>
              <w:rPr>
                <w:rFonts w:ascii="方正黑体_GBK" w:hAnsi="方正黑体_GBK" w:eastAsia="方正黑体_GBK" w:cs="宋体"/>
                <w:sz w:val="18"/>
                <w:szCs w:val="18"/>
              </w:rPr>
              <w:t>C4份额：业绩比较基准为年化2.25%-2.5% 。</w:t>
            </w:r>
          </w:p>
          <w:p w14:paraId="363956DC">
            <w:pPr>
              <w:spacing w:line="200" w:lineRule="exact"/>
            </w:pPr>
            <w:r>
              <w:rPr>
                <w:rFonts w:ascii="方正黑体_GBK" w:hAnsi="方正黑体_GBK" w:eastAsia="方正黑体_GBK" w:cs="宋体"/>
                <w:sz w:val="18"/>
                <w:szCs w:val="18"/>
              </w:rPr>
              <w:t>D4份额：业绩比较基准为年化2.3%-2.55% 。</w:t>
            </w:r>
          </w:p>
          <w:p w14:paraId="7B1C65D8">
            <w:pPr>
              <w:spacing w:line="200" w:lineRule="exact"/>
            </w:pPr>
            <w:r>
              <w:rPr>
                <w:rFonts w:ascii="方正黑体_GBK" w:hAnsi="方正黑体_GBK" w:eastAsia="方正黑体_GBK" w:cs="宋体"/>
                <w:sz w:val="18"/>
                <w:szCs w:val="18"/>
              </w:rPr>
              <w:t>E4份额：业绩比较基准为年化2.4%-2.65% 。</w:t>
            </w:r>
          </w:p>
          <w:p w14:paraId="61F140B3">
            <w:pPr>
              <w:spacing w:line="200" w:lineRule="exact"/>
            </w:pPr>
            <w:r>
              <w:rPr>
                <w:rFonts w:ascii="方正黑体_GBK" w:hAnsi="方正黑体_GBK" w:eastAsia="方正黑体_GBK" w:cs="宋体"/>
                <w:sz w:val="18"/>
                <w:szCs w:val="18"/>
              </w:rPr>
              <w:t>F2份额：业绩比较基准为年化2.3%-2.55% 。</w:t>
            </w:r>
          </w:p>
          <w:p w14:paraId="2CC52051">
            <w:pPr>
              <w:spacing w:line="200" w:lineRule="exact"/>
            </w:pPr>
            <w:r>
              <w:rPr>
                <w:rFonts w:ascii="方正黑体_GBK" w:hAnsi="方正黑体_GBK" w:eastAsia="方正黑体_GBK" w:cs="宋体"/>
                <w:sz w:val="18"/>
                <w:szCs w:val="18"/>
              </w:rPr>
              <w:t>F3份额：业绩比较基准为年化2.3%-2.55% 。</w:t>
            </w:r>
          </w:p>
          <w:p w14:paraId="3AFDC9E5">
            <w:pPr>
              <w:spacing w:line="200" w:lineRule="exact"/>
            </w:pPr>
            <w:r>
              <w:rPr>
                <w:rFonts w:ascii="方正黑体_GBK" w:hAnsi="方正黑体_GBK" w:eastAsia="方正黑体_GBK" w:cs="宋体"/>
                <w:sz w:val="18"/>
                <w:szCs w:val="18"/>
              </w:rPr>
              <w:t>G2份额：业绩比较基准为年化2.35%-2.6% 。</w:t>
            </w:r>
          </w:p>
          <w:p w14:paraId="1E9F93BC">
            <w:pPr>
              <w:spacing w:line="200" w:lineRule="exact"/>
            </w:pPr>
            <w:r>
              <w:rPr>
                <w:rFonts w:ascii="方正黑体_GBK" w:hAnsi="方正黑体_GBK" w:eastAsia="方正黑体_GBK" w:cs="宋体"/>
                <w:sz w:val="18"/>
                <w:szCs w:val="18"/>
              </w:rPr>
              <w:t>G3份额：业绩比较基准为年化2.35%-2.6% 。</w:t>
            </w:r>
          </w:p>
          <w:p w14:paraId="5D250521">
            <w:pPr>
              <w:spacing w:line="200" w:lineRule="exact"/>
            </w:pPr>
            <w:r>
              <w:rPr>
                <w:rFonts w:ascii="方正黑体_GBK" w:hAnsi="方正黑体_GBK" w:eastAsia="方正黑体_GBK" w:cs="宋体"/>
                <w:sz w:val="18"/>
                <w:szCs w:val="18"/>
              </w:rPr>
              <w:t>F4份额：业绩比较基准为年化2.3%-2.55% 。</w:t>
            </w:r>
          </w:p>
          <w:p w14:paraId="5B88275E">
            <w:pPr>
              <w:spacing w:line="200" w:lineRule="exact"/>
            </w:pPr>
            <w:r>
              <w:rPr>
                <w:rFonts w:ascii="方正黑体_GBK" w:hAnsi="方正黑体_GBK" w:eastAsia="方正黑体_GBK" w:cs="宋体"/>
                <w:sz w:val="18"/>
                <w:szCs w:val="18"/>
              </w:rPr>
              <w:t>G4份额：业绩比较基准为年化2.35%-2.6% 。</w:t>
            </w:r>
          </w:p>
          <w:p w14:paraId="0F1331A9">
            <w:pPr>
              <w:spacing w:line="200" w:lineRule="exact"/>
            </w:pPr>
            <w:r>
              <w:rPr>
                <w:rFonts w:ascii="方正黑体_GBK" w:hAnsi="方正黑体_GBK" w:eastAsia="方正黑体_GBK" w:cs="宋体"/>
                <w:sz w:val="18"/>
                <w:szCs w:val="18"/>
              </w:rPr>
              <w:t>H2份额：业绩比较基准为年化2.4%-2.65% 。</w:t>
            </w:r>
          </w:p>
          <w:p w14:paraId="01864DA7">
            <w:pPr>
              <w:spacing w:line="200" w:lineRule="exact"/>
            </w:pPr>
            <w:r>
              <w:rPr>
                <w:rFonts w:ascii="方正黑体_GBK" w:hAnsi="方正黑体_GBK" w:eastAsia="方正黑体_GBK" w:cs="宋体"/>
                <w:sz w:val="18"/>
                <w:szCs w:val="18"/>
              </w:rPr>
              <w:t>J2份额：业绩比较基准为年化2.25%-2.5% 。</w:t>
            </w:r>
          </w:p>
          <w:p w14:paraId="694FE720">
            <w:pPr>
              <w:spacing w:line="200" w:lineRule="exact"/>
            </w:pPr>
            <w:r>
              <w:rPr>
                <w:rFonts w:ascii="方正黑体_GBK" w:hAnsi="方正黑体_GBK" w:eastAsia="方正黑体_GBK" w:cs="宋体"/>
                <w:sz w:val="18"/>
                <w:szCs w:val="18"/>
              </w:rPr>
              <w:t>K2份额：业绩比较基准为年化2.2%-2.45% 。</w:t>
            </w:r>
          </w:p>
          <w:p w14:paraId="0F6DF8A8">
            <w:pPr>
              <w:spacing w:line="200" w:lineRule="exact"/>
            </w:pPr>
            <w:r>
              <w:rPr>
                <w:rFonts w:ascii="方正黑体_GBK" w:hAnsi="方正黑体_GBK" w:eastAsia="方正黑体_GBK" w:cs="宋体"/>
                <w:sz w:val="18"/>
                <w:szCs w:val="18"/>
              </w:rPr>
              <w:t>J3份额：业绩比较基准为年化2.25%-2.5% 。</w:t>
            </w:r>
          </w:p>
          <w:p w14:paraId="4F1C0F07">
            <w:pPr>
              <w:spacing w:line="200" w:lineRule="exact"/>
            </w:pPr>
            <w:r>
              <w:rPr>
                <w:rFonts w:ascii="方正黑体_GBK" w:hAnsi="方正黑体_GBK" w:eastAsia="方正黑体_GBK" w:cs="宋体"/>
                <w:sz w:val="18"/>
                <w:szCs w:val="18"/>
              </w:rPr>
              <w:t>K3份额：业绩比较基准为年化2.2%-2.45% 。</w:t>
            </w:r>
          </w:p>
          <w:p w14:paraId="4CF17293">
            <w:pPr>
              <w:spacing w:line="200" w:lineRule="exact"/>
            </w:pPr>
            <w:r>
              <w:rPr>
                <w:rFonts w:ascii="方正黑体_GBK" w:hAnsi="方正黑体_GBK" w:eastAsia="方正黑体_GBK" w:cs="宋体"/>
                <w:sz w:val="18"/>
                <w:szCs w:val="18"/>
              </w:rPr>
              <w:t>L3份额：业绩比较基准为年化2.3%-2.55% 。</w:t>
            </w:r>
          </w:p>
          <w:p w14:paraId="7FF27C6A">
            <w:pPr>
              <w:spacing w:line="200" w:lineRule="exact"/>
            </w:pPr>
            <w:r>
              <w:rPr>
                <w:rFonts w:ascii="方正黑体_GBK" w:hAnsi="方正黑体_GBK" w:eastAsia="方正黑体_GBK" w:cs="宋体"/>
                <w:sz w:val="18"/>
                <w:szCs w:val="18"/>
              </w:rPr>
              <w:t>J4份额：业绩比较基准为年化2.25%-2.5% 。</w:t>
            </w:r>
          </w:p>
          <w:p w14:paraId="4C294598">
            <w:pPr>
              <w:spacing w:line="200" w:lineRule="exact"/>
            </w:pPr>
            <w:r>
              <w:rPr>
                <w:rFonts w:ascii="方正黑体_GBK" w:hAnsi="方正黑体_GBK" w:eastAsia="方正黑体_GBK" w:cs="宋体"/>
                <w:sz w:val="18"/>
                <w:szCs w:val="18"/>
              </w:rPr>
              <w:t>K4份额：业绩比较基准为年化2.2%-2.45% 。</w:t>
            </w:r>
          </w:p>
          <w:p w14:paraId="2543B801">
            <w:pPr>
              <w:spacing w:line="200" w:lineRule="exact"/>
            </w:pPr>
            <w:r>
              <w:rPr>
                <w:rFonts w:ascii="方正黑体_GBK" w:hAnsi="方正黑体_GBK" w:eastAsia="方正黑体_GBK" w:cs="宋体"/>
                <w:sz w:val="18"/>
                <w:szCs w:val="18"/>
              </w:rPr>
              <w:t>I3份额：业绩比较基准为年化2.4%-2.65% 。</w:t>
            </w:r>
          </w:p>
          <w:p w14:paraId="1B213506">
            <w:pPr>
              <w:spacing w:line="200" w:lineRule="exact"/>
            </w:pPr>
            <w:r>
              <w:rPr>
                <w:rFonts w:ascii="方正黑体_GBK" w:hAnsi="方正黑体_GBK" w:eastAsia="方正黑体_GBK" w:cs="宋体"/>
                <w:sz w:val="18"/>
                <w:szCs w:val="18"/>
              </w:rPr>
              <w:t>M2份额：业绩比较基准为年化2.2%-2.45% 。</w:t>
            </w:r>
          </w:p>
          <w:p w14:paraId="4853351E">
            <w:pPr>
              <w:spacing w:line="200" w:lineRule="exact"/>
            </w:pPr>
            <w:r>
              <w:rPr>
                <w:rFonts w:ascii="方正黑体_GBK" w:hAnsi="方正黑体_GBK" w:eastAsia="方正黑体_GBK" w:cs="宋体"/>
                <w:sz w:val="18"/>
                <w:szCs w:val="18"/>
              </w:rPr>
              <w:t>M3份额：业绩比较基准为年化2.2%-2.45% 。</w:t>
            </w:r>
          </w:p>
          <w:p w14:paraId="38FB00A8">
            <w:pPr>
              <w:spacing w:line="200" w:lineRule="exact"/>
            </w:pPr>
            <w:r>
              <w:rPr>
                <w:rFonts w:ascii="方正黑体_GBK" w:hAnsi="方正黑体_GBK" w:eastAsia="方正黑体_GBK" w:cs="宋体"/>
                <w:sz w:val="18"/>
                <w:szCs w:val="18"/>
              </w:rPr>
              <w:t>M4份额：业绩比较基准为年化2.2%-2.45% 。</w:t>
            </w:r>
          </w:p>
          <w:p w14:paraId="45EC1FD8">
            <w:pPr>
              <w:spacing w:line="200" w:lineRule="exact"/>
            </w:pPr>
            <w:r>
              <w:rPr>
                <w:rFonts w:ascii="方正黑体_GBK" w:hAnsi="方正黑体_GBK" w:eastAsia="方正黑体_GBK" w:cs="宋体"/>
                <w:sz w:val="18"/>
                <w:szCs w:val="18"/>
              </w:rPr>
              <w:t>O2份额：业绩比较基准为年化2.3%-2.55% 。</w:t>
            </w:r>
          </w:p>
          <w:p w14:paraId="19A5003C">
            <w:pPr>
              <w:spacing w:line="200" w:lineRule="exact"/>
            </w:pPr>
            <w:r>
              <w:rPr>
                <w:rFonts w:ascii="方正黑体_GBK" w:hAnsi="方正黑体_GBK" w:eastAsia="方正黑体_GBK" w:cs="宋体"/>
                <w:sz w:val="18"/>
                <w:szCs w:val="18"/>
              </w:rPr>
              <w:t>O3份额：业绩比较基准为年化2.3%-2.55% 。</w:t>
            </w:r>
          </w:p>
          <w:p w14:paraId="43F5D354">
            <w:pPr>
              <w:spacing w:line="200" w:lineRule="exact"/>
            </w:pPr>
            <w:r>
              <w:rPr>
                <w:rFonts w:ascii="方正黑体_GBK" w:hAnsi="方正黑体_GBK" w:eastAsia="方正黑体_GBK" w:cs="宋体"/>
                <w:sz w:val="18"/>
                <w:szCs w:val="18"/>
              </w:rPr>
              <w:t>O4份额：业绩比较基准为年化2.3%-2.55% 。</w:t>
            </w:r>
          </w:p>
          <w:p w14:paraId="6946A37A">
            <w:pPr>
              <w:spacing w:line="200" w:lineRule="exact"/>
            </w:pPr>
            <w:r>
              <w:rPr>
                <w:rFonts w:ascii="方正黑体_GBK" w:hAnsi="方正黑体_GBK" w:eastAsia="方正黑体_GBK" w:cs="宋体"/>
                <w:sz w:val="18"/>
                <w:szCs w:val="18"/>
              </w:rPr>
              <w:t>Q1份额：业绩比较基准为年化2.2%-2.45% 。</w:t>
            </w:r>
          </w:p>
          <w:p w14:paraId="6A26E16E">
            <w:pPr>
              <w:spacing w:line="200" w:lineRule="exact"/>
            </w:pPr>
            <w:r>
              <w:rPr>
                <w:rFonts w:ascii="方正黑体_GBK" w:hAnsi="方正黑体_GBK" w:eastAsia="方正黑体_GBK" w:cs="宋体"/>
                <w:sz w:val="18"/>
                <w:szCs w:val="18"/>
              </w:rPr>
              <w:t>R1份额：业绩比较基准为年化2.4%-2.65% 。</w:t>
            </w:r>
          </w:p>
          <w:p w14:paraId="4749E7C7">
            <w:pPr>
              <w:spacing w:line="200" w:lineRule="exact"/>
            </w:pPr>
            <w:r>
              <w:rPr>
                <w:rFonts w:ascii="方正黑体_GBK" w:hAnsi="方正黑体_GBK" w:eastAsia="方正黑体_GBK" w:cs="宋体"/>
                <w:sz w:val="18"/>
                <w:szCs w:val="18"/>
              </w:rPr>
              <w:t>Q2份额：业绩比较基准为年化2.2%-2.45% 。</w:t>
            </w:r>
          </w:p>
          <w:p w14:paraId="25851710">
            <w:pPr>
              <w:spacing w:line="200" w:lineRule="exact"/>
            </w:pPr>
            <w:r>
              <w:rPr>
                <w:rFonts w:ascii="方正黑体_GBK" w:hAnsi="方正黑体_GBK" w:eastAsia="方正黑体_GBK" w:cs="宋体"/>
                <w:sz w:val="18"/>
                <w:szCs w:val="18"/>
              </w:rPr>
              <w:t>R2份额：业绩比较基准为年化2.4%-2.65% 。</w:t>
            </w:r>
          </w:p>
          <w:p w14:paraId="3643834E">
            <w:pPr>
              <w:spacing w:line="200" w:lineRule="exact"/>
            </w:pPr>
            <w:r>
              <w:rPr>
                <w:rFonts w:ascii="方正黑体_GBK" w:hAnsi="方正黑体_GBK" w:eastAsia="方正黑体_GBK" w:cs="宋体"/>
                <w:sz w:val="18"/>
                <w:szCs w:val="18"/>
              </w:rPr>
              <w:t>Q3份额：业绩比较基准为年化2.2%-2.45% 。</w:t>
            </w:r>
          </w:p>
          <w:p w14:paraId="239CF5BD">
            <w:pPr>
              <w:spacing w:line="200" w:lineRule="exact"/>
            </w:pPr>
            <w:r>
              <w:rPr>
                <w:rFonts w:ascii="方正黑体_GBK" w:hAnsi="方正黑体_GBK" w:eastAsia="方正黑体_GBK" w:cs="宋体"/>
                <w:sz w:val="18"/>
                <w:szCs w:val="18"/>
              </w:rPr>
              <w:t>R3份额：业绩比较基准为年化2.4%-2.65% 。</w:t>
            </w:r>
          </w:p>
          <w:p w14:paraId="1CA54191">
            <w:pPr>
              <w:spacing w:line="200" w:lineRule="exact"/>
            </w:pPr>
            <w:r>
              <w:rPr>
                <w:rFonts w:ascii="方正黑体_GBK" w:hAnsi="方正黑体_GBK" w:eastAsia="方正黑体_GBK" w:cs="宋体"/>
                <w:sz w:val="18"/>
                <w:szCs w:val="18"/>
              </w:rPr>
              <w:t>Q4份额：业绩比较基准为年化2.2%-2.45% 。</w:t>
            </w:r>
          </w:p>
          <w:p w14:paraId="0AC8EEF3">
            <w:pPr>
              <w:spacing w:line="200" w:lineRule="exact"/>
            </w:pPr>
            <w:r>
              <w:rPr>
                <w:rFonts w:ascii="方正黑体_GBK" w:hAnsi="方正黑体_GBK" w:eastAsia="方正黑体_GBK" w:cs="宋体"/>
                <w:sz w:val="18"/>
                <w:szCs w:val="18"/>
              </w:rPr>
              <w:t>R4份额：业绩比较基准为年化2.4%-2.65% 。</w:t>
            </w:r>
          </w:p>
          <w:p w14:paraId="0394EC14">
            <w:pPr>
              <w:spacing w:line="200" w:lineRule="exact"/>
            </w:pPr>
            <w:r>
              <w:rPr>
                <w:rFonts w:ascii="方正黑体_GBK" w:hAnsi="方正黑体_GBK" w:eastAsia="方正黑体_GBK" w:cs="宋体"/>
                <w:sz w:val="18"/>
                <w:szCs w:val="18"/>
              </w:rPr>
              <w:t>B1份额：业绩比较基准为年化2.2%-2.45% 。</w:t>
            </w:r>
          </w:p>
          <w:p w14:paraId="3EFB03F9">
            <w:pPr>
              <w:spacing w:line="200" w:lineRule="exact"/>
            </w:pPr>
            <w:r>
              <w:rPr>
                <w:rFonts w:ascii="方正黑体_GBK" w:hAnsi="方正黑体_GBK" w:eastAsia="方正黑体_GBK" w:cs="宋体"/>
                <w:sz w:val="18"/>
                <w:szCs w:val="18"/>
              </w:rPr>
              <w:t>C1份额：业绩比较基准为年化2.25%-2.5% 。</w:t>
            </w:r>
          </w:p>
          <w:p w14:paraId="3177E9FF">
            <w:pPr>
              <w:spacing w:line="200" w:lineRule="exact"/>
            </w:pPr>
            <w:r>
              <w:rPr>
                <w:rFonts w:ascii="方正黑体_GBK" w:hAnsi="方正黑体_GBK" w:eastAsia="方正黑体_GBK" w:cs="宋体"/>
                <w:sz w:val="18"/>
                <w:szCs w:val="18"/>
              </w:rPr>
              <w:t>D1份额：业绩比较基准为年化2.3%-2.55% 。</w:t>
            </w:r>
          </w:p>
          <w:p w14:paraId="15DCD15F">
            <w:pPr>
              <w:spacing w:line="200" w:lineRule="exact"/>
            </w:pPr>
            <w:r>
              <w:rPr>
                <w:rFonts w:ascii="方正黑体_GBK" w:hAnsi="方正黑体_GBK" w:eastAsia="方正黑体_GBK" w:cs="宋体"/>
                <w:sz w:val="18"/>
                <w:szCs w:val="18"/>
              </w:rPr>
              <w:t>E1份额：业绩比较基准为年化2.4%-2.65% 。</w:t>
            </w:r>
          </w:p>
          <w:p w14:paraId="40E961BA">
            <w:pPr>
              <w:spacing w:line="200" w:lineRule="exact"/>
            </w:pPr>
            <w:r>
              <w:rPr>
                <w:rFonts w:ascii="方正黑体_GBK" w:hAnsi="方正黑体_GBK" w:eastAsia="方正黑体_GBK" w:cs="宋体"/>
                <w:sz w:val="18"/>
                <w:szCs w:val="18"/>
              </w:rPr>
              <w:t>F1份额：业绩比较基准为年化2.3%-2.55% 。</w:t>
            </w:r>
          </w:p>
          <w:p w14:paraId="3E464C9E">
            <w:pPr>
              <w:spacing w:line="200" w:lineRule="exact"/>
            </w:pPr>
            <w:r>
              <w:rPr>
                <w:rFonts w:ascii="方正黑体_GBK" w:hAnsi="方正黑体_GBK" w:eastAsia="方正黑体_GBK" w:cs="宋体"/>
                <w:sz w:val="18"/>
                <w:szCs w:val="18"/>
              </w:rPr>
              <w:t>G1份额：业绩比较基准为年化2.35%-2.6% 。</w:t>
            </w:r>
          </w:p>
          <w:p w14:paraId="3D994B62">
            <w:pPr>
              <w:spacing w:line="200" w:lineRule="exact"/>
            </w:pPr>
            <w:r>
              <w:rPr>
                <w:rFonts w:ascii="方正黑体_GBK" w:hAnsi="方正黑体_GBK" w:eastAsia="方正黑体_GBK" w:cs="宋体"/>
                <w:sz w:val="18"/>
                <w:szCs w:val="18"/>
              </w:rPr>
              <w:t>J1份额：业绩比较基准为年化2.25%-2.5% 。</w:t>
            </w:r>
          </w:p>
          <w:p w14:paraId="4251E352">
            <w:pPr>
              <w:spacing w:line="200" w:lineRule="exact"/>
            </w:pPr>
            <w:r>
              <w:rPr>
                <w:rFonts w:ascii="方正黑体_GBK" w:hAnsi="方正黑体_GBK" w:eastAsia="方正黑体_GBK" w:cs="宋体"/>
                <w:sz w:val="18"/>
                <w:szCs w:val="18"/>
              </w:rPr>
              <w:t>K1份额：业绩比较基准为年化2.2%-2.45% 。</w:t>
            </w:r>
          </w:p>
          <w:p w14:paraId="7179CC9F">
            <w:pPr>
              <w:spacing w:line="200" w:lineRule="exact"/>
            </w:pPr>
            <w:r>
              <w:rPr>
                <w:rFonts w:ascii="方正黑体_GBK" w:hAnsi="方正黑体_GBK" w:eastAsia="方正黑体_GBK" w:cs="宋体"/>
                <w:sz w:val="18"/>
                <w:szCs w:val="18"/>
              </w:rPr>
              <w:t>L1份额：业绩比较基准为年化2.3%-2.55% 。</w:t>
            </w:r>
          </w:p>
          <w:p w14:paraId="6AABF708">
            <w:pPr>
              <w:spacing w:line="200" w:lineRule="exact"/>
            </w:pPr>
            <w:r>
              <w:rPr>
                <w:rFonts w:ascii="方正黑体_GBK" w:hAnsi="方正黑体_GBK" w:eastAsia="方正黑体_GBK" w:cs="宋体"/>
                <w:sz w:val="18"/>
                <w:szCs w:val="18"/>
              </w:rPr>
              <w:t>M1份额：业绩比较基准为年化2.2%-2.45% 。</w:t>
            </w:r>
          </w:p>
          <w:p w14:paraId="7EA93890">
            <w:pPr>
              <w:spacing w:line="200" w:lineRule="exact"/>
            </w:pPr>
            <w:r>
              <w:rPr>
                <w:rFonts w:ascii="方正黑体_GBK" w:hAnsi="方正黑体_GBK" w:eastAsia="方正黑体_GBK" w:cs="宋体"/>
                <w:sz w:val="18"/>
                <w:szCs w:val="18"/>
              </w:rPr>
              <w:t>N1份额：业绩比较基准为年化2.45%-2.7% 。</w:t>
            </w:r>
          </w:p>
          <w:p w14:paraId="73AC332D">
            <w:pPr>
              <w:spacing w:line="200" w:lineRule="exact"/>
            </w:pPr>
            <w:r>
              <w:rPr>
                <w:rFonts w:ascii="方正黑体_GBK" w:hAnsi="方正黑体_GBK" w:eastAsia="方正黑体_GBK" w:cs="宋体"/>
                <w:sz w:val="18"/>
                <w:szCs w:val="18"/>
              </w:rPr>
              <w:t>O1份额：业绩比较基准为年化2.3%-2.55% 。</w:t>
            </w:r>
          </w:p>
          <w:p w14:paraId="437E5CEE">
            <w:pPr>
              <w:spacing w:line="200" w:lineRule="exact"/>
            </w:pPr>
            <w:r>
              <w:rPr>
                <w:rFonts w:ascii="方正黑体_GBK" w:hAnsi="方正黑体_GBK" w:eastAsia="方正黑体_GBK" w:cs="宋体"/>
                <w:sz w:val="18"/>
                <w:szCs w:val="18"/>
              </w:rPr>
              <w:t>S1份额：业绩比较基准为年化2.35%-2.6% 。</w:t>
            </w:r>
          </w:p>
          <w:p w14:paraId="7CBA0830">
            <w:pPr>
              <w:spacing w:line="200" w:lineRule="exact"/>
            </w:pPr>
            <w:r>
              <w:rPr>
                <w:rFonts w:ascii="方正黑体_GBK" w:hAnsi="方正黑体_GBK" w:eastAsia="方正黑体_GBK" w:cs="宋体"/>
                <w:sz w:val="18"/>
                <w:szCs w:val="18"/>
              </w:rPr>
              <w:t>S2份额：业绩比较基准为年化2.35%-2.6% 。</w:t>
            </w:r>
          </w:p>
          <w:p w14:paraId="6BF54BD5">
            <w:pPr>
              <w:spacing w:line="200" w:lineRule="exact"/>
            </w:pPr>
            <w:r>
              <w:rPr>
                <w:rFonts w:ascii="方正黑体_GBK" w:hAnsi="方正黑体_GBK" w:eastAsia="方正黑体_GBK" w:cs="宋体"/>
                <w:sz w:val="18"/>
                <w:szCs w:val="18"/>
              </w:rPr>
              <w:t>S3份额：业绩比较基准为年化2.35%-2.6% 。</w:t>
            </w:r>
          </w:p>
          <w:p w14:paraId="5B7104B7">
            <w:pPr>
              <w:spacing w:line="200" w:lineRule="exact"/>
            </w:pPr>
            <w:r>
              <w:rPr>
                <w:rFonts w:ascii="方正黑体_GBK" w:hAnsi="方正黑体_GBK" w:eastAsia="方正黑体_GBK" w:cs="宋体"/>
                <w:sz w:val="18"/>
                <w:szCs w:val="18"/>
              </w:rPr>
              <w:t>S4份额：业绩比较基准为年化2.35%-2.6% 。</w:t>
            </w:r>
          </w:p>
          <w:p w14:paraId="0AA57CCE">
            <w:pPr>
              <w:spacing w:line="200" w:lineRule="exact"/>
              <w:jc w:val="lef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119BC8BA">
            <w:pPr>
              <w:spacing w:line="200" w:lineRule="exact"/>
              <w:jc w:val="left"/>
            </w:pPr>
            <w:r>
              <w:rPr>
                <w:rFonts w:ascii="方正黑体_GBK" w:hAnsi="方正黑体_GBK" w:eastAsia="方正黑体_GBK" w:cs="宋体"/>
                <w:sz w:val="18"/>
                <w:szCs w:val="18"/>
              </w:rPr>
              <w:t>注：管理人可根据市场情况对业绩比较基准进行适当调整，如有调整，将至少于调整前3个工作日公布调整方案。</w:t>
            </w:r>
          </w:p>
          <w:p w14:paraId="07BB303D">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3250B6D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B5E46D">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12B685C0">
            <w:pPr>
              <w:spacing w:line="200" w:lineRule="exact"/>
            </w:pPr>
            <w:r>
              <w:rPr>
                <w:rFonts w:ascii="方正黑体_GBK" w:hAnsi="方正黑体_GBK" w:eastAsia="方正黑体_GBK" w:cs="宋体"/>
                <w:b/>
                <w:sz w:val="18"/>
                <w:szCs w:val="18"/>
              </w:rPr>
              <w:t>认/申购费：本理财产品暂不收取认/申购费。</w:t>
            </w:r>
          </w:p>
          <w:p w14:paraId="100B2ACA">
            <w:pPr>
              <w:spacing w:line="200" w:lineRule="exact"/>
            </w:pPr>
            <w:r>
              <w:rPr>
                <w:rFonts w:ascii="方正黑体_GBK" w:hAnsi="方正黑体_GBK" w:eastAsia="方正黑体_GBK" w:cs="宋体"/>
                <w:b/>
                <w:sz w:val="18"/>
                <w:szCs w:val="18"/>
              </w:rPr>
              <w:t>赎回费：本理财产品暂不收取赎回费。</w:t>
            </w:r>
          </w:p>
          <w:p w14:paraId="1F86656A">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4A6A6F4E">
            <w:pPr>
              <w:spacing w:line="200" w:lineRule="exact"/>
            </w:pPr>
            <w:r>
              <w:rPr>
                <w:rFonts w:ascii="方正黑体_GBK" w:hAnsi="方正黑体_GBK" w:eastAsia="方正黑体_GBK" w:cs="宋体"/>
                <w:b/>
                <w:sz w:val="18"/>
                <w:szCs w:val="18"/>
              </w:rPr>
              <w:t>A份额：销售费年化0.2%</w:t>
            </w:r>
          </w:p>
          <w:p w14:paraId="79781CA1">
            <w:pPr>
              <w:spacing w:line="200" w:lineRule="exact"/>
            </w:pPr>
            <w:r>
              <w:rPr>
                <w:rFonts w:ascii="方正黑体_GBK" w:hAnsi="方正黑体_GBK" w:eastAsia="方正黑体_GBK" w:cs="宋体"/>
                <w:b/>
                <w:sz w:val="18"/>
                <w:szCs w:val="18"/>
              </w:rPr>
              <w:t>C份额：销售费年化0.2%</w:t>
            </w:r>
          </w:p>
          <w:p w14:paraId="532BF871">
            <w:pPr>
              <w:spacing w:line="200" w:lineRule="exact"/>
            </w:pPr>
            <w:r>
              <w:rPr>
                <w:rFonts w:ascii="方正黑体_GBK" w:hAnsi="方正黑体_GBK" w:eastAsia="方正黑体_GBK" w:cs="宋体"/>
                <w:b/>
                <w:sz w:val="18"/>
                <w:szCs w:val="18"/>
              </w:rPr>
              <w:t>E份额：销售费年化0.2%</w:t>
            </w:r>
          </w:p>
          <w:p w14:paraId="50BFC2AD">
            <w:pPr>
              <w:spacing w:line="200" w:lineRule="exact"/>
            </w:pPr>
            <w:r>
              <w:rPr>
                <w:rFonts w:ascii="方正黑体_GBK" w:hAnsi="方正黑体_GBK" w:eastAsia="方正黑体_GBK" w:cs="宋体"/>
                <w:b/>
                <w:sz w:val="18"/>
                <w:szCs w:val="18"/>
              </w:rPr>
              <w:t>B2份额：销售费年化0.2%</w:t>
            </w:r>
          </w:p>
          <w:p w14:paraId="79357F05">
            <w:pPr>
              <w:spacing w:line="200" w:lineRule="exact"/>
            </w:pPr>
            <w:r>
              <w:rPr>
                <w:rFonts w:ascii="方正黑体_GBK" w:hAnsi="方正黑体_GBK" w:eastAsia="方正黑体_GBK" w:cs="宋体"/>
                <w:b/>
                <w:sz w:val="18"/>
                <w:szCs w:val="18"/>
              </w:rPr>
              <w:t>C2份额：销售费年化0.15%</w:t>
            </w:r>
          </w:p>
          <w:p w14:paraId="2F27E080">
            <w:pPr>
              <w:spacing w:line="200" w:lineRule="exact"/>
            </w:pPr>
            <w:r>
              <w:rPr>
                <w:rFonts w:ascii="方正黑体_GBK" w:hAnsi="方正黑体_GBK" w:eastAsia="方正黑体_GBK" w:cs="宋体"/>
                <w:b/>
                <w:sz w:val="18"/>
                <w:szCs w:val="18"/>
              </w:rPr>
              <w:t>D2份额：销售费年化0.15%</w:t>
            </w:r>
          </w:p>
          <w:p w14:paraId="3203C20B">
            <w:pPr>
              <w:spacing w:line="200" w:lineRule="exact"/>
            </w:pPr>
            <w:r>
              <w:rPr>
                <w:rFonts w:ascii="方正黑体_GBK" w:hAnsi="方正黑体_GBK" w:eastAsia="方正黑体_GBK" w:cs="宋体"/>
                <w:b/>
                <w:sz w:val="18"/>
                <w:szCs w:val="18"/>
              </w:rPr>
              <w:t>E2份额：销售费年化0.05%</w:t>
            </w:r>
          </w:p>
          <w:p w14:paraId="703E925A">
            <w:pPr>
              <w:spacing w:line="200" w:lineRule="exact"/>
            </w:pPr>
            <w:r>
              <w:rPr>
                <w:rFonts w:ascii="方正黑体_GBK" w:hAnsi="方正黑体_GBK" w:eastAsia="方正黑体_GBK" w:cs="宋体"/>
                <w:b/>
                <w:sz w:val="18"/>
                <w:szCs w:val="18"/>
              </w:rPr>
              <w:t>B3份额：销售费年化0.2%</w:t>
            </w:r>
          </w:p>
          <w:p w14:paraId="71533718">
            <w:pPr>
              <w:spacing w:line="200" w:lineRule="exact"/>
            </w:pPr>
            <w:r>
              <w:rPr>
                <w:rFonts w:ascii="方正黑体_GBK" w:hAnsi="方正黑体_GBK" w:eastAsia="方正黑体_GBK" w:cs="宋体"/>
                <w:b/>
                <w:sz w:val="18"/>
                <w:szCs w:val="18"/>
              </w:rPr>
              <w:t>C3份额：销售费年化0.15%</w:t>
            </w:r>
          </w:p>
          <w:p w14:paraId="5106BA67">
            <w:pPr>
              <w:spacing w:line="200" w:lineRule="exact"/>
            </w:pPr>
            <w:r>
              <w:rPr>
                <w:rFonts w:ascii="方正黑体_GBK" w:hAnsi="方正黑体_GBK" w:eastAsia="方正黑体_GBK" w:cs="宋体"/>
                <w:b/>
                <w:sz w:val="18"/>
                <w:szCs w:val="18"/>
              </w:rPr>
              <w:t>D3份额：销售费年化0.15%</w:t>
            </w:r>
          </w:p>
          <w:p w14:paraId="168FBA03">
            <w:pPr>
              <w:spacing w:line="200" w:lineRule="exact"/>
            </w:pPr>
            <w:r>
              <w:rPr>
                <w:rFonts w:ascii="方正黑体_GBK" w:hAnsi="方正黑体_GBK" w:eastAsia="方正黑体_GBK" w:cs="宋体"/>
                <w:b/>
                <w:sz w:val="18"/>
                <w:szCs w:val="18"/>
              </w:rPr>
              <w:t>E3份额：销售费年化0.05%</w:t>
            </w:r>
          </w:p>
          <w:p w14:paraId="2099D899">
            <w:pPr>
              <w:spacing w:line="200" w:lineRule="exact"/>
            </w:pPr>
            <w:r>
              <w:rPr>
                <w:rFonts w:ascii="方正黑体_GBK" w:hAnsi="方正黑体_GBK" w:eastAsia="方正黑体_GBK" w:cs="宋体"/>
                <w:b/>
                <w:sz w:val="18"/>
                <w:szCs w:val="18"/>
              </w:rPr>
              <w:t>A4份额：销售费年化0.2%</w:t>
            </w:r>
          </w:p>
          <w:p w14:paraId="20F20B77">
            <w:pPr>
              <w:spacing w:line="200" w:lineRule="exact"/>
            </w:pPr>
            <w:r>
              <w:rPr>
                <w:rFonts w:ascii="方正黑体_GBK" w:hAnsi="方正黑体_GBK" w:eastAsia="方正黑体_GBK" w:cs="宋体"/>
                <w:b/>
                <w:sz w:val="18"/>
                <w:szCs w:val="18"/>
              </w:rPr>
              <w:t>B4份额：销售费年化0.2%</w:t>
            </w:r>
          </w:p>
          <w:p w14:paraId="0D4EDB27">
            <w:pPr>
              <w:spacing w:line="200" w:lineRule="exact"/>
            </w:pPr>
            <w:r>
              <w:rPr>
                <w:rFonts w:ascii="方正黑体_GBK" w:hAnsi="方正黑体_GBK" w:eastAsia="方正黑体_GBK" w:cs="宋体"/>
                <w:b/>
                <w:sz w:val="18"/>
                <w:szCs w:val="18"/>
              </w:rPr>
              <w:t>C4份额：销售费年化0.15%</w:t>
            </w:r>
          </w:p>
          <w:p w14:paraId="40E1B5A0">
            <w:pPr>
              <w:spacing w:line="200" w:lineRule="exact"/>
            </w:pPr>
            <w:r>
              <w:rPr>
                <w:rFonts w:ascii="方正黑体_GBK" w:hAnsi="方正黑体_GBK" w:eastAsia="方正黑体_GBK" w:cs="宋体"/>
                <w:b/>
                <w:sz w:val="18"/>
                <w:szCs w:val="18"/>
              </w:rPr>
              <w:t>D4份额：销售费年化0.15%</w:t>
            </w:r>
          </w:p>
          <w:p w14:paraId="28544575">
            <w:pPr>
              <w:spacing w:line="200" w:lineRule="exact"/>
            </w:pPr>
            <w:r>
              <w:rPr>
                <w:rFonts w:ascii="方正黑体_GBK" w:hAnsi="方正黑体_GBK" w:eastAsia="方正黑体_GBK" w:cs="宋体"/>
                <w:b/>
                <w:sz w:val="18"/>
                <w:szCs w:val="18"/>
              </w:rPr>
              <w:t>E4份额：销售费年化0.05%</w:t>
            </w:r>
          </w:p>
          <w:p w14:paraId="1A342076">
            <w:pPr>
              <w:spacing w:line="200" w:lineRule="exact"/>
            </w:pPr>
            <w:r>
              <w:rPr>
                <w:rFonts w:ascii="方正黑体_GBK" w:hAnsi="方正黑体_GBK" w:eastAsia="方正黑体_GBK" w:cs="宋体"/>
                <w:b/>
                <w:sz w:val="18"/>
                <w:szCs w:val="18"/>
              </w:rPr>
              <w:t>F2份额：销售费年化0.15%</w:t>
            </w:r>
          </w:p>
          <w:p w14:paraId="5783CCF0">
            <w:pPr>
              <w:spacing w:line="200" w:lineRule="exact"/>
            </w:pPr>
            <w:r>
              <w:rPr>
                <w:rFonts w:ascii="方正黑体_GBK" w:hAnsi="方正黑体_GBK" w:eastAsia="方正黑体_GBK" w:cs="宋体"/>
                <w:b/>
                <w:sz w:val="18"/>
                <w:szCs w:val="18"/>
              </w:rPr>
              <w:t>F3份额：销售费年化0.15%</w:t>
            </w:r>
          </w:p>
          <w:p w14:paraId="143F2DCE">
            <w:pPr>
              <w:spacing w:line="200" w:lineRule="exact"/>
            </w:pPr>
            <w:r>
              <w:rPr>
                <w:rFonts w:ascii="方正黑体_GBK" w:hAnsi="方正黑体_GBK" w:eastAsia="方正黑体_GBK" w:cs="宋体"/>
                <w:b/>
                <w:sz w:val="18"/>
                <w:szCs w:val="18"/>
              </w:rPr>
              <w:t>G2份额：销售费年化0.1%</w:t>
            </w:r>
          </w:p>
          <w:p w14:paraId="32B81069">
            <w:pPr>
              <w:spacing w:line="200" w:lineRule="exact"/>
            </w:pPr>
            <w:r>
              <w:rPr>
                <w:rFonts w:ascii="方正黑体_GBK" w:hAnsi="方正黑体_GBK" w:eastAsia="方正黑体_GBK" w:cs="宋体"/>
                <w:b/>
                <w:sz w:val="18"/>
                <w:szCs w:val="18"/>
              </w:rPr>
              <w:t>G3份额：销售费年化0.1%</w:t>
            </w:r>
          </w:p>
          <w:p w14:paraId="09FF97ED">
            <w:pPr>
              <w:spacing w:line="200" w:lineRule="exact"/>
            </w:pPr>
            <w:r>
              <w:rPr>
                <w:rFonts w:ascii="方正黑体_GBK" w:hAnsi="方正黑体_GBK" w:eastAsia="方正黑体_GBK" w:cs="宋体"/>
                <w:b/>
                <w:sz w:val="18"/>
                <w:szCs w:val="18"/>
              </w:rPr>
              <w:t>F4份额：销售费年化0.15%</w:t>
            </w:r>
          </w:p>
          <w:p w14:paraId="396FCE66">
            <w:pPr>
              <w:spacing w:line="200" w:lineRule="exact"/>
            </w:pPr>
            <w:r>
              <w:rPr>
                <w:rFonts w:ascii="方正黑体_GBK" w:hAnsi="方正黑体_GBK" w:eastAsia="方正黑体_GBK" w:cs="宋体"/>
                <w:b/>
                <w:sz w:val="18"/>
                <w:szCs w:val="18"/>
              </w:rPr>
              <w:t>G4份额：销售费年化0.1%</w:t>
            </w:r>
          </w:p>
          <w:p w14:paraId="5A409E72">
            <w:pPr>
              <w:spacing w:line="200" w:lineRule="exact"/>
            </w:pPr>
            <w:r>
              <w:rPr>
                <w:rFonts w:ascii="方正黑体_GBK" w:hAnsi="方正黑体_GBK" w:eastAsia="方正黑体_GBK" w:cs="宋体"/>
                <w:b/>
                <w:sz w:val="18"/>
                <w:szCs w:val="18"/>
              </w:rPr>
              <w:t>H2份额：销售费年化0.1%</w:t>
            </w:r>
          </w:p>
          <w:p w14:paraId="6CC6D27D">
            <w:pPr>
              <w:spacing w:line="200" w:lineRule="exact"/>
            </w:pPr>
            <w:r>
              <w:rPr>
                <w:rFonts w:ascii="方正黑体_GBK" w:hAnsi="方正黑体_GBK" w:eastAsia="方正黑体_GBK" w:cs="宋体"/>
                <w:b/>
                <w:sz w:val="18"/>
                <w:szCs w:val="18"/>
              </w:rPr>
              <w:t>J2份额：销售费年化0.25%</w:t>
            </w:r>
          </w:p>
          <w:p w14:paraId="09E883C8">
            <w:pPr>
              <w:spacing w:line="200" w:lineRule="exact"/>
            </w:pPr>
            <w:r>
              <w:rPr>
                <w:rFonts w:ascii="方正黑体_GBK" w:hAnsi="方正黑体_GBK" w:eastAsia="方正黑体_GBK" w:cs="宋体"/>
                <w:b/>
                <w:sz w:val="18"/>
                <w:szCs w:val="18"/>
              </w:rPr>
              <w:t>K2份额：销售费年化0.3%</w:t>
            </w:r>
          </w:p>
          <w:p w14:paraId="12E01E61">
            <w:pPr>
              <w:spacing w:line="200" w:lineRule="exact"/>
            </w:pPr>
            <w:r>
              <w:rPr>
                <w:rFonts w:ascii="方正黑体_GBK" w:hAnsi="方正黑体_GBK" w:eastAsia="方正黑体_GBK" w:cs="宋体"/>
                <w:b/>
                <w:sz w:val="18"/>
                <w:szCs w:val="18"/>
              </w:rPr>
              <w:t>J3份额：销售费年化0.25%</w:t>
            </w:r>
          </w:p>
          <w:p w14:paraId="3C74D82F">
            <w:pPr>
              <w:spacing w:line="200" w:lineRule="exact"/>
            </w:pPr>
            <w:r>
              <w:rPr>
                <w:rFonts w:ascii="方正黑体_GBK" w:hAnsi="方正黑体_GBK" w:eastAsia="方正黑体_GBK" w:cs="宋体"/>
                <w:b/>
                <w:sz w:val="18"/>
                <w:szCs w:val="18"/>
              </w:rPr>
              <w:t>K3份额：销售费年化0.3%</w:t>
            </w:r>
          </w:p>
          <w:p w14:paraId="351B70B2">
            <w:pPr>
              <w:spacing w:line="200" w:lineRule="exact"/>
            </w:pPr>
            <w:r>
              <w:rPr>
                <w:rFonts w:ascii="方正黑体_GBK" w:hAnsi="方正黑体_GBK" w:eastAsia="方正黑体_GBK" w:cs="宋体"/>
                <w:b/>
                <w:sz w:val="18"/>
                <w:szCs w:val="18"/>
              </w:rPr>
              <w:t>L3份额：销售费年化0.2%</w:t>
            </w:r>
          </w:p>
          <w:p w14:paraId="4D9D4F04">
            <w:pPr>
              <w:spacing w:line="200" w:lineRule="exact"/>
            </w:pPr>
            <w:r>
              <w:rPr>
                <w:rFonts w:ascii="方正黑体_GBK" w:hAnsi="方正黑体_GBK" w:eastAsia="方正黑体_GBK" w:cs="宋体"/>
                <w:b/>
                <w:sz w:val="18"/>
                <w:szCs w:val="18"/>
              </w:rPr>
              <w:t>J4份额：销售费年化0.25%</w:t>
            </w:r>
          </w:p>
          <w:p w14:paraId="2F8D39CE">
            <w:pPr>
              <w:spacing w:line="200" w:lineRule="exact"/>
            </w:pPr>
            <w:r>
              <w:rPr>
                <w:rFonts w:ascii="方正黑体_GBK" w:hAnsi="方正黑体_GBK" w:eastAsia="方正黑体_GBK" w:cs="宋体"/>
                <w:b/>
                <w:sz w:val="18"/>
                <w:szCs w:val="18"/>
              </w:rPr>
              <w:t>K4份额：销售费年化0.3%</w:t>
            </w:r>
          </w:p>
          <w:p w14:paraId="696339AE">
            <w:pPr>
              <w:spacing w:line="200" w:lineRule="exact"/>
            </w:pPr>
            <w:r>
              <w:rPr>
                <w:rFonts w:ascii="方正黑体_GBK" w:hAnsi="方正黑体_GBK" w:eastAsia="方正黑体_GBK" w:cs="宋体"/>
                <w:b/>
                <w:sz w:val="18"/>
                <w:szCs w:val="18"/>
              </w:rPr>
              <w:t>I3份额：销售费年化0.1%</w:t>
            </w:r>
          </w:p>
          <w:p w14:paraId="1FEFED67">
            <w:pPr>
              <w:spacing w:line="200" w:lineRule="exact"/>
            </w:pPr>
            <w:r>
              <w:rPr>
                <w:rFonts w:ascii="方正黑体_GBK" w:hAnsi="方正黑体_GBK" w:eastAsia="方正黑体_GBK" w:cs="宋体"/>
                <w:b/>
                <w:sz w:val="18"/>
                <w:szCs w:val="18"/>
              </w:rPr>
              <w:t>M2份额：销售费年化0.2%</w:t>
            </w:r>
          </w:p>
          <w:p w14:paraId="2D203EBB">
            <w:pPr>
              <w:spacing w:line="200" w:lineRule="exact"/>
            </w:pPr>
            <w:r>
              <w:rPr>
                <w:rFonts w:ascii="方正黑体_GBK" w:hAnsi="方正黑体_GBK" w:eastAsia="方正黑体_GBK" w:cs="宋体"/>
                <w:b/>
                <w:sz w:val="18"/>
                <w:szCs w:val="18"/>
              </w:rPr>
              <w:t>M3份额：销售费年化0.2%</w:t>
            </w:r>
          </w:p>
          <w:p w14:paraId="70CCEF18">
            <w:pPr>
              <w:spacing w:line="200" w:lineRule="exact"/>
            </w:pPr>
            <w:r>
              <w:rPr>
                <w:rFonts w:ascii="方正黑体_GBK" w:hAnsi="方正黑体_GBK" w:eastAsia="方正黑体_GBK" w:cs="宋体"/>
                <w:b/>
                <w:sz w:val="18"/>
                <w:szCs w:val="18"/>
              </w:rPr>
              <w:t>M4份额：销售费年化0.2%</w:t>
            </w:r>
          </w:p>
          <w:p w14:paraId="515D9F2A">
            <w:pPr>
              <w:spacing w:line="200" w:lineRule="exact"/>
            </w:pPr>
            <w:r>
              <w:rPr>
                <w:rFonts w:ascii="方正黑体_GBK" w:hAnsi="方正黑体_GBK" w:eastAsia="方正黑体_GBK" w:cs="宋体"/>
                <w:b/>
                <w:sz w:val="18"/>
                <w:szCs w:val="18"/>
              </w:rPr>
              <w:t>O2份额：销售费年化0.2%</w:t>
            </w:r>
          </w:p>
          <w:p w14:paraId="54B42C42">
            <w:pPr>
              <w:spacing w:line="200" w:lineRule="exact"/>
            </w:pPr>
            <w:r>
              <w:rPr>
                <w:rFonts w:ascii="方正黑体_GBK" w:hAnsi="方正黑体_GBK" w:eastAsia="方正黑体_GBK" w:cs="宋体"/>
                <w:b/>
                <w:sz w:val="18"/>
                <w:szCs w:val="18"/>
              </w:rPr>
              <w:t>O3份额：销售费年化0.2%</w:t>
            </w:r>
          </w:p>
          <w:p w14:paraId="643B3280">
            <w:pPr>
              <w:spacing w:line="200" w:lineRule="exact"/>
            </w:pPr>
            <w:r>
              <w:rPr>
                <w:rFonts w:ascii="方正黑体_GBK" w:hAnsi="方正黑体_GBK" w:eastAsia="方正黑体_GBK" w:cs="宋体"/>
                <w:b/>
                <w:sz w:val="18"/>
                <w:szCs w:val="18"/>
              </w:rPr>
              <w:t>O4份额：销售费年化0.2%</w:t>
            </w:r>
          </w:p>
          <w:p w14:paraId="35147B1A">
            <w:pPr>
              <w:spacing w:line="200" w:lineRule="exact"/>
            </w:pPr>
            <w:r>
              <w:rPr>
                <w:rFonts w:ascii="方正黑体_GBK" w:hAnsi="方正黑体_GBK" w:eastAsia="方正黑体_GBK" w:cs="宋体"/>
                <w:b/>
                <w:sz w:val="18"/>
                <w:szCs w:val="18"/>
              </w:rPr>
              <w:t>Q1份额：销售费年化0.2%</w:t>
            </w:r>
          </w:p>
          <w:p w14:paraId="0C86FA40">
            <w:pPr>
              <w:spacing w:line="200" w:lineRule="exact"/>
            </w:pPr>
            <w:r>
              <w:rPr>
                <w:rFonts w:ascii="方正黑体_GBK" w:hAnsi="方正黑体_GBK" w:eastAsia="方正黑体_GBK" w:cs="宋体"/>
                <w:b/>
                <w:sz w:val="18"/>
                <w:szCs w:val="18"/>
              </w:rPr>
              <w:t>R1份额：销售费年化0.05%</w:t>
            </w:r>
          </w:p>
          <w:p w14:paraId="4D79A8C1">
            <w:pPr>
              <w:spacing w:line="200" w:lineRule="exact"/>
            </w:pPr>
            <w:r>
              <w:rPr>
                <w:rFonts w:ascii="方正黑体_GBK" w:hAnsi="方正黑体_GBK" w:eastAsia="方正黑体_GBK" w:cs="宋体"/>
                <w:b/>
                <w:sz w:val="18"/>
                <w:szCs w:val="18"/>
              </w:rPr>
              <w:t>Q2份额：销售费年化0.2%</w:t>
            </w:r>
          </w:p>
          <w:p w14:paraId="2E8A6277">
            <w:pPr>
              <w:spacing w:line="200" w:lineRule="exact"/>
            </w:pPr>
            <w:r>
              <w:rPr>
                <w:rFonts w:ascii="方正黑体_GBK" w:hAnsi="方正黑体_GBK" w:eastAsia="方正黑体_GBK" w:cs="宋体"/>
                <w:b/>
                <w:sz w:val="18"/>
                <w:szCs w:val="18"/>
              </w:rPr>
              <w:t>R2份额：销售费年化0.05%</w:t>
            </w:r>
          </w:p>
          <w:p w14:paraId="30FC36B8">
            <w:pPr>
              <w:spacing w:line="200" w:lineRule="exact"/>
            </w:pPr>
            <w:r>
              <w:rPr>
                <w:rFonts w:ascii="方正黑体_GBK" w:hAnsi="方正黑体_GBK" w:eastAsia="方正黑体_GBK" w:cs="宋体"/>
                <w:b/>
                <w:sz w:val="18"/>
                <w:szCs w:val="18"/>
              </w:rPr>
              <w:t>Q3份额：销售费年化0.2%</w:t>
            </w:r>
          </w:p>
          <w:p w14:paraId="008E295B">
            <w:pPr>
              <w:spacing w:line="200" w:lineRule="exact"/>
            </w:pPr>
            <w:r>
              <w:rPr>
                <w:rFonts w:ascii="方正黑体_GBK" w:hAnsi="方正黑体_GBK" w:eastAsia="方正黑体_GBK" w:cs="宋体"/>
                <w:b/>
                <w:sz w:val="18"/>
                <w:szCs w:val="18"/>
              </w:rPr>
              <w:t>R3份额：销售费年化0.05%</w:t>
            </w:r>
          </w:p>
          <w:p w14:paraId="5D93AF2D">
            <w:pPr>
              <w:spacing w:line="200" w:lineRule="exact"/>
            </w:pPr>
            <w:r>
              <w:rPr>
                <w:rFonts w:ascii="方正黑体_GBK" w:hAnsi="方正黑体_GBK" w:eastAsia="方正黑体_GBK" w:cs="宋体"/>
                <w:b/>
                <w:sz w:val="18"/>
                <w:szCs w:val="18"/>
              </w:rPr>
              <w:t>Q4份额：销售费年化0.2%</w:t>
            </w:r>
          </w:p>
          <w:p w14:paraId="688CF2FD">
            <w:pPr>
              <w:spacing w:line="200" w:lineRule="exact"/>
            </w:pPr>
            <w:r>
              <w:rPr>
                <w:rFonts w:ascii="方正黑体_GBK" w:hAnsi="方正黑体_GBK" w:eastAsia="方正黑体_GBK" w:cs="宋体"/>
                <w:b/>
                <w:sz w:val="18"/>
                <w:szCs w:val="18"/>
              </w:rPr>
              <w:t>R4份额：销售费年化0.05%</w:t>
            </w:r>
          </w:p>
          <w:p w14:paraId="137C7800">
            <w:pPr>
              <w:spacing w:line="200" w:lineRule="exact"/>
            </w:pPr>
            <w:r>
              <w:rPr>
                <w:rFonts w:ascii="方正黑体_GBK" w:hAnsi="方正黑体_GBK" w:eastAsia="方正黑体_GBK" w:cs="宋体"/>
                <w:b/>
                <w:sz w:val="18"/>
                <w:szCs w:val="18"/>
              </w:rPr>
              <w:t>B1份额：销售费年化0.2%</w:t>
            </w:r>
          </w:p>
          <w:p w14:paraId="60B44793">
            <w:pPr>
              <w:spacing w:line="200" w:lineRule="exact"/>
            </w:pPr>
            <w:r>
              <w:rPr>
                <w:rFonts w:ascii="方正黑体_GBK" w:hAnsi="方正黑体_GBK" w:eastAsia="方正黑体_GBK" w:cs="宋体"/>
                <w:b/>
                <w:sz w:val="18"/>
                <w:szCs w:val="18"/>
              </w:rPr>
              <w:t>C1份额：销售费年化0.15%</w:t>
            </w:r>
          </w:p>
          <w:p w14:paraId="7A4ECF5C">
            <w:pPr>
              <w:spacing w:line="200" w:lineRule="exact"/>
            </w:pPr>
            <w:r>
              <w:rPr>
                <w:rFonts w:ascii="方正黑体_GBK" w:hAnsi="方正黑体_GBK" w:eastAsia="方正黑体_GBK" w:cs="宋体"/>
                <w:b/>
                <w:sz w:val="18"/>
                <w:szCs w:val="18"/>
              </w:rPr>
              <w:t>D1份额：销售费年化0.15%</w:t>
            </w:r>
          </w:p>
          <w:p w14:paraId="1548C403">
            <w:pPr>
              <w:spacing w:line="200" w:lineRule="exact"/>
            </w:pPr>
            <w:r>
              <w:rPr>
                <w:rFonts w:ascii="方正黑体_GBK" w:hAnsi="方正黑体_GBK" w:eastAsia="方正黑体_GBK" w:cs="宋体"/>
                <w:b/>
                <w:sz w:val="18"/>
                <w:szCs w:val="18"/>
              </w:rPr>
              <w:t>E1份额：销售费年化0.05%</w:t>
            </w:r>
          </w:p>
          <w:p w14:paraId="6A9A89E4">
            <w:pPr>
              <w:spacing w:line="200" w:lineRule="exact"/>
            </w:pPr>
            <w:r>
              <w:rPr>
                <w:rFonts w:ascii="方正黑体_GBK" w:hAnsi="方正黑体_GBK" w:eastAsia="方正黑体_GBK" w:cs="宋体"/>
                <w:b/>
                <w:sz w:val="18"/>
                <w:szCs w:val="18"/>
              </w:rPr>
              <w:t>F1份额：销售费年化0.15%</w:t>
            </w:r>
          </w:p>
          <w:p w14:paraId="6D83162A">
            <w:pPr>
              <w:spacing w:line="200" w:lineRule="exact"/>
            </w:pPr>
            <w:r>
              <w:rPr>
                <w:rFonts w:ascii="方正黑体_GBK" w:hAnsi="方正黑体_GBK" w:eastAsia="方正黑体_GBK" w:cs="宋体"/>
                <w:b/>
                <w:sz w:val="18"/>
                <w:szCs w:val="18"/>
              </w:rPr>
              <w:t>G1份额：销售费年化0.1%</w:t>
            </w:r>
          </w:p>
          <w:p w14:paraId="52A20825">
            <w:pPr>
              <w:spacing w:line="200" w:lineRule="exact"/>
            </w:pPr>
            <w:r>
              <w:rPr>
                <w:rFonts w:ascii="方正黑体_GBK" w:hAnsi="方正黑体_GBK" w:eastAsia="方正黑体_GBK" w:cs="宋体"/>
                <w:b/>
                <w:sz w:val="18"/>
                <w:szCs w:val="18"/>
              </w:rPr>
              <w:t>J1份额：销售费年化0.25%</w:t>
            </w:r>
          </w:p>
          <w:p w14:paraId="5AB1CE4E">
            <w:pPr>
              <w:spacing w:line="200" w:lineRule="exact"/>
            </w:pPr>
            <w:r>
              <w:rPr>
                <w:rFonts w:ascii="方正黑体_GBK" w:hAnsi="方正黑体_GBK" w:eastAsia="方正黑体_GBK" w:cs="宋体"/>
                <w:b/>
                <w:sz w:val="18"/>
                <w:szCs w:val="18"/>
              </w:rPr>
              <w:t>K1份额：销售费年化0.3%</w:t>
            </w:r>
          </w:p>
          <w:p w14:paraId="325892F9">
            <w:pPr>
              <w:spacing w:line="200" w:lineRule="exact"/>
            </w:pPr>
            <w:r>
              <w:rPr>
                <w:rFonts w:ascii="方正黑体_GBK" w:hAnsi="方正黑体_GBK" w:eastAsia="方正黑体_GBK" w:cs="宋体"/>
                <w:b/>
                <w:sz w:val="18"/>
                <w:szCs w:val="18"/>
              </w:rPr>
              <w:t>L1份额：销售费年化0.2%</w:t>
            </w:r>
          </w:p>
          <w:p w14:paraId="003C2606">
            <w:pPr>
              <w:spacing w:line="200" w:lineRule="exact"/>
            </w:pPr>
            <w:r>
              <w:rPr>
                <w:rFonts w:ascii="方正黑体_GBK" w:hAnsi="方正黑体_GBK" w:eastAsia="方正黑体_GBK" w:cs="宋体"/>
                <w:b/>
                <w:sz w:val="18"/>
                <w:szCs w:val="18"/>
              </w:rPr>
              <w:t>M1份额：销售费年化0.2%</w:t>
            </w:r>
          </w:p>
          <w:p w14:paraId="5E3A36CE">
            <w:pPr>
              <w:spacing w:line="200" w:lineRule="exact"/>
            </w:pPr>
            <w:r>
              <w:rPr>
                <w:rFonts w:ascii="方正黑体_GBK" w:hAnsi="方正黑体_GBK" w:eastAsia="方正黑体_GBK" w:cs="宋体"/>
                <w:b/>
                <w:sz w:val="18"/>
                <w:szCs w:val="18"/>
              </w:rPr>
              <w:t>N1份额：销售费年化0.05%</w:t>
            </w:r>
          </w:p>
          <w:p w14:paraId="126E0007">
            <w:pPr>
              <w:spacing w:line="200" w:lineRule="exact"/>
            </w:pPr>
            <w:r>
              <w:rPr>
                <w:rFonts w:ascii="方正黑体_GBK" w:hAnsi="方正黑体_GBK" w:eastAsia="方正黑体_GBK" w:cs="宋体"/>
                <w:b/>
                <w:sz w:val="18"/>
                <w:szCs w:val="18"/>
              </w:rPr>
              <w:t>O1份额：销售费年化0.2%</w:t>
            </w:r>
          </w:p>
          <w:p w14:paraId="17B6C026">
            <w:pPr>
              <w:spacing w:line="200" w:lineRule="exact"/>
            </w:pPr>
            <w:r>
              <w:rPr>
                <w:rFonts w:ascii="方正黑体_GBK" w:hAnsi="方正黑体_GBK" w:eastAsia="方正黑体_GBK" w:cs="宋体"/>
                <w:b/>
                <w:sz w:val="18"/>
                <w:szCs w:val="18"/>
              </w:rPr>
              <w:t>S1份额：销售费年化0.1%</w:t>
            </w:r>
          </w:p>
          <w:p w14:paraId="3336D69C">
            <w:pPr>
              <w:spacing w:line="200" w:lineRule="exact"/>
            </w:pPr>
            <w:r>
              <w:rPr>
                <w:rFonts w:ascii="方正黑体_GBK" w:hAnsi="方正黑体_GBK" w:eastAsia="方正黑体_GBK" w:cs="宋体"/>
                <w:b/>
                <w:sz w:val="18"/>
                <w:szCs w:val="18"/>
              </w:rPr>
              <w:t>S2份额：销售费年化0.1%</w:t>
            </w:r>
          </w:p>
          <w:p w14:paraId="638A4F31">
            <w:pPr>
              <w:spacing w:line="200" w:lineRule="exact"/>
            </w:pPr>
            <w:r>
              <w:rPr>
                <w:rFonts w:ascii="方正黑体_GBK" w:hAnsi="方正黑体_GBK" w:eastAsia="方正黑体_GBK" w:cs="宋体"/>
                <w:b/>
                <w:sz w:val="18"/>
                <w:szCs w:val="18"/>
              </w:rPr>
              <w:t>S3份额：销售费年化0.1%</w:t>
            </w:r>
          </w:p>
          <w:p w14:paraId="1DE3DD9E">
            <w:pPr>
              <w:spacing w:line="200" w:lineRule="exact"/>
            </w:pPr>
            <w:r>
              <w:rPr>
                <w:rFonts w:ascii="方正黑体_GBK" w:hAnsi="方正黑体_GBK" w:eastAsia="方正黑体_GBK" w:cs="宋体"/>
                <w:b/>
                <w:sz w:val="18"/>
                <w:szCs w:val="18"/>
              </w:rPr>
              <w:t>S4份额：销售费年化0.1%</w:t>
            </w:r>
          </w:p>
          <w:p w14:paraId="6CB8E5A7">
            <w:pPr>
              <w:spacing w:line="200" w:lineRule="exact"/>
            </w:pPr>
            <w:r>
              <w:rPr>
                <w:rFonts w:ascii="方正黑体_GBK" w:hAnsi="方正黑体_GBK" w:eastAsia="方正黑体_GBK" w:cs="宋体"/>
                <w:b/>
                <w:sz w:val="18"/>
                <w:szCs w:val="18"/>
              </w:rPr>
              <w:t>每日计提的销售费=前一日理财产品资产净值×年化销售费率÷365</w:t>
            </w:r>
          </w:p>
          <w:p w14:paraId="241F2D41">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0E4C6DB5">
            <w:pPr>
              <w:spacing w:line="200" w:lineRule="exact"/>
            </w:pPr>
            <w:r>
              <w:rPr>
                <w:rFonts w:ascii="方正黑体_GBK" w:hAnsi="方正黑体_GBK" w:eastAsia="方正黑体_GBK" w:cs="宋体"/>
                <w:b/>
                <w:sz w:val="18"/>
                <w:szCs w:val="18"/>
              </w:rPr>
              <w:t>A份额：固定管理费年化0.2%</w:t>
            </w:r>
          </w:p>
          <w:p w14:paraId="4AF8FDB7">
            <w:pPr>
              <w:spacing w:line="200" w:lineRule="exact"/>
            </w:pPr>
            <w:r>
              <w:rPr>
                <w:rFonts w:ascii="方正黑体_GBK" w:hAnsi="方正黑体_GBK" w:eastAsia="方正黑体_GBK" w:cs="宋体"/>
                <w:b/>
                <w:sz w:val="18"/>
                <w:szCs w:val="18"/>
              </w:rPr>
              <w:t>C份额：固定管理费年化0.2%</w:t>
            </w:r>
          </w:p>
          <w:p w14:paraId="2AF13316">
            <w:pPr>
              <w:spacing w:line="200" w:lineRule="exact"/>
            </w:pPr>
            <w:r>
              <w:rPr>
                <w:rFonts w:ascii="方正黑体_GBK" w:hAnsi="方正黑体_GBK" w:eastAsia="方正黑体_GBK" w:cs="宋体"/>
                <w:b/>
                <w:sz w:val="18"/>
                <w:szCs w:val="18"/>
              </w:rPr>
              <w:t>E份额：固定管理费年化0.2%</w:t>
            </w:r>
          </w:p>
          <w:p w14:paraId="1F17A258">
            <w:pPr>
              <w:spacing w:line="200" w:lineRule="exact"/>
            </w:pPr>
            <w:r>
              <w:rPr>
                <w:rFonts w:ascii="方正黑体_GBK" w:hAnsi="方正黑体_GBK" w:eastAsia="方正黑体_GBK" w:cs="宋体"/>
                <w:b/>
                <w:sz w:val="18"/>
                <w:szCs w:val="18"/>
              </w:rPr>
              <w:t>B2份额：固定管理费年化0.2%</w:t>
            </w:r>
          </w:p>
          <w:p w14:paraId="48A1F0E4">
            <w:pPr>
              <w:spacing w:line="200" w:lineRule="exact"/>
            </w:pPr>
            <w:r>
              <w:rPr>
                <w:rFonts w:ascii="方正黑体_GBK" w:hAnsi="方正黑体_GBK" w:eastAsia="方正黑体_GBK" w:cs="宋体"/>
                <w:b/>
                <w:sz w:val="18"/>
                <w:szCs w:val="18"/>
              </w:rPr>
              <w:t>C2份额：固定管理费年化0.2%</w:t>
            </w:r>
          </w:p>
          <w:p w14:paraId="521FC6A2">
            <w:pPr>
              <w:spacing w:line="200" w:lineRule="exact"/>
            </w:pPr>
            <w:r>
              <w:rPr>
                <w:rFonts w:ascii="方正黑体_GBK" w:hAnsi="方正黑体_GBK" w:eastAsia="方正黑体_GBK" w:cs="宋体"/>
                <w:b/>
                <w:sz w:val="18"/>
                <w:szCs w:val="18"/>
              </w:rPr>
              <w:t>D2份额：固定管理费年化0.15%</w:t>
            </w:r>
          </w:p>
          <w:p w14:paraId="2EB2598B">
            <w:pPr>
              <w:spacing w:line="200" w:lineRule="exact"/>
            </w:pPr>
            <w:r>
              <w:rPr>
                <w:rFonts w:ascii="方正黑体_GBK" w:hAnsi="方正黑体_GBK" w:eastAsia="方正黑体_GBK" w:cs="宋体"/>
                <w:b/>
                <w:sz w:val="18"/>
                <w:szCs w:val="18"/>
              </w:rPr>
              <w:t>E2份额：固定管理费年化0.15%</w:t>
            </w:r>
          </w:p>
          <w:p w14:paraId="7A690C2E">
            <w:pPr>
              <w:spacing w:line="200" w:lineRule="exact"/>
            </w:pPr>
            <w:r>
              <w:rPr>
                <w:rFonts w:ascii="方正黑体_GBK" w:hAnsi="方正黑体_GBK" w:eastAsia="方正黑体_GBK" w:cs="宋体"/>
                <w:b/>
                <w:sz w:val="18"/>
                <w:szCs w:val="18"/>
              </w:rPr>
              <w:t>B3份额：固定管理费年化0.2%</w:t>
            </w:r>
          </w:p>
          <w:p w14:paraId="25FF363D">
            <w:pPr>
              <w:spacing w:line="200" w:lineRule="exact"/>
            </w:pPr>
            <w:r>
              <w:rPr>
                <w:rFonts w:ascii="方正黑体_GBK" w:hAnsi="方正黑体_GBK" w:eastAsia="方正黑体_GBK" w:cs="宋体"/>
                <w:b/>
                <w:sz w:val="18"/>
                <w:szCs w:val="18"/>
              </w:rPr>
              <w:t>C3份额：固定管理费年化0.2%</w:t>
            </w:r>
          </w:p>
          <w:p w14:paraId="577BC2B6">
            <w:pPr>
              <w:spacing w:line="200" w:lineRule="exact"/>
            </w:pPr>
            <w:r>
              <w:rPr>
                <w:rFonts w:ascii="方正黑体_GBK" w:hAnsi="方正黑体_GBK" w:eastAsia="方正黑体_GBK" w:cs="宋体"/>
                <w:b/>
                <w:sz w:val="18"/>
                <w:szCs w:val="18"/>
              </w:rPr>
              <w:t>D3份额：固定管理费年化0.15%</w:t>
            </w:r>
          </w:p>
          <w:p w14:paraId="18A5337A">
            <w:pPr>
              <w:spacing w:line="200" w:lineRule="exact"/>
            </w:pPr>
            <w:r>
              <w:rPr>
                <w:rFonts w:ascii="方正黑体_GBK" w:hAnsi="方正黑体_GBK" w:eastAsia="方正黑体_GBK" w:cs="宋体"/>
                <w:b/>
                <w:sz w:val="18"/>
                <w:szCs w:val="18"/>
              </w:rPr>
              <w:t>E3份额：固定管理费年化0.15%</w:t>
            </w:r>
          </w:p>
          <w:p w14:paraId="437AB3DC">
            <w:pPr>
              <w:spacing w:line="200" w:lineRule="exact"/>
            </w:pPr>
            <w:r>
              <w:rPr>
                <w:rFonts w:ascii="方正黑体_GBK" w:hAnsi="方正黑体_GBK" w:eastAsia="方正黑体_GBK" w:cs="宋体"/>
                <w:b/>
                <w:sz w:val="18"/>
                <w:szCs w:val="18"/>
              </w:rPr>
              <w:t>A4份额：固定管理费年化0.2%</w:t>
            </w:r>
          </w:p>
          <w:p w14:paraId="7FEA9B3B">
            <w:pPr>
              <w:spacing w:line="200" w:lineRule="exact"/>
            </w:pPr>
            <w:r>
              <w:rPr>
                <w:rFonts w:ascii="方正黑体_GBK" w:hAnsi="方正黑体_GBK" w:eastAsia="方正黑体_GBK" w:cs="宋体"/>
                <w:b/>
                <w:sz w:val="18"/>
                <w:szCs w:val="18"/>
              </w:rPr>
              <w:t>B4份额：固定管理费年化0.2%</w:t>
            </w:r>
          </w:p>
          <w:p w14:paraId="2DDC546D">
            <w:pPr>
              <w:spacing w:line="200" w:lineRule="exact"/>
            </w:pPr>
            <w:r>
              <w:rPr>
                <w:rFonts w:ascii="方正黑体_GBK" w:hAnsi="方正黑体_GBK" w:eastAsia="方正黑体_GBK" w:cs="宋体"/>
                <w:b/>
                <w:sz w:val="18"/>
                <w:szCs w:val="18"/>
              </w:rPr>
              <w:t>C4份额：固定管理费年化0.2%</w:t>
            </w:r>
          </w:p>
          <w:p w14:paraId="64AB597B">
            <w:pPr>
              <w:spacing w:line="200" w:lineRule="exact"/>
            </w:pPr>
            <w:r>
              <w:rPr>
                <w:rFonts w:ascii="方正黑体_GBK" w:hAnsi="方正黑体_GBK" w:eastAsia="方正黑体_GBK" w:cs="宋体"/>
                <w:b/>
                <w:sz w:val="18"/>
                <w:szCs w:val="18"/>
              </w:rPr>
              <w:t>D4份额：固定管理费年化0.15%</w:t>
            </w:r>
          </w:p>
          <w:p w14:paraId="4CCF8401">
            <w:pPr>
              <w:spacing w:line="200" w:lineRule="exact"/>
            </w:pPr>
            <w:r>
              <w:rPr>
                <w:rFonts w:ascii="方正黑体_GBK" w:hAnsi="方正黑体_GBK" w:eastAsia="方正黑体_GBK" w:cs="宋体"/>
                <w:b/>
                <w:sz w:val="18"/>
                <w:szCs w:val="18"/>
              </w:rPr>
              <w:t>E4份额：固定管理费年化0.15%</w:t>
            </w:r>
          </w:p>
          <w:p w14:paraId="4FAF0581">
            <w:pPr>
              <w:spacing w:line="200" w:lineRule="exact"/>
            </w:pPr>
            <w:r>
              <w:rPr>
                <w:rFonts w:ascii="方正黑体_GBK" w:hAnsi="方正黑体_GBK" w:eastAsia="方正黑体_GBK" w:cs="宋体"/>
                <w:b/>
                <w:sz w:val="18"/>
                <w:szCs w:val="18"/>
              </w:rPr>
              <w:t>F2份额：固定管理费年化0.15%</w:t>
            </w:r>
          </w:p>
          <w:p w14:paraId="39D49D6A">
            <w:pPr>
              <w:spacing w:line="200" w:lineRule="exact"/>
            </w:pPr>
            <w:r>
              <w:rPr>
                <w:rFonts w:ascii="方正黑体_GBK" w:hAnsi="方正黑体_GBK" w:eastAsia="方正黑体_GBK" w:cs="宋体"/>
                <w:b/>
                <w:sz w:val="18"/>
                <w:szCs w:val="18"/>
              </w:rPr>
              <w:t>F3份额：固定管理费年化0.15%</w:t>
            </w:r>
          </w:p>
          <w:p w14:paraId="2B7565F5">
            <w:pPr>
              <w:spacing w:line="200" w:lineRule="exact"/>
            </w:pPr>
            <w:r>
              <w:rPr>
                <w:rFonts w:ascii="方正黑体_GBK" w:hAnsi="方正黑体_GBK" w:eastAsia="方正黑体_GBK" w:cs="宋体"/>
                <w:b/>
                <w:sz w:val="18"/>
                <w:szCs w:val="18"/>
              </w:rPr>
              <w:t>G2份额：固定管理费年化0.15%</w:t>
            </w:r>
          </w:p>
          <w:p w14:paraId="498C942C">
            <w:pPr>
              <w:spacing w:line="200" w:lineRule="exact"/>
            </w:pPr>
            <w:r>
              <w:rPr>
                <w:rFonts w:ascii="方正黑体_GBK" w:hAnsi="方正黑体_GBK" w:eastAsia="方正黑体_GBK" w:cs="宋体"/>
                <w:b/>
                <w:sz w:val="18"/>
                <w:szCs w:val="18"/>
              </w:rPr>
              <w:t>G3份额：固定管理费年化0.15%</w:t>
            </w:r>
          </w:p>
          <w:p w14:paraId="3601B9CB">
            <w:pPr>
              <w:spacing w:line="200" w:lineRule="exact"/>
            </w:pPr>
            <w:r>
              <w:rPr>
                <w:rFonts w:ascii="方正黑体_GBK" w:hAnsi="方正黑体_GBK" w:eastAsia="方正黑体_GBK" w:cs="宋体"/>
                <w:b/>
                <w:sz w:val="18"/>
                <w:szCs w:val="18"/>
              </w:rPr>
              <w:t>F4份额：固定管理费年化0.15%</w:t>
            </w:r>
          </w:p>
          <w:p w14:paraId="3D1038B9">
            <w:pPr>
              <w:spacing w:line="200" w:lineRule="exact"/>
            </w:pPr>
            <w:r>
              <w:rPr>
                <w:rFonts w:ascii="方正黑体_GBK" w:hAnsi="方正黑体_GBK" w:eastAsia="方正黑体_GBK" w:cs="宋体"/>
                <w:b/>
                <w:sz w:val="18"/>
                <w:szCs w:val="18"/>
              </w:rPr>
              <w:t>G4份额：固定管理费年化0.15%</w:t>
            </w:r>
          </w:p>
          <w:p w14:paraId="304FC74B">
            <w:pPr>
              <w:spacing w:line="200" w:lineRule="exact"/>
            </w:pPr>
            <w:r>
              <w:rPr>
                <w:rFonts w:ascii="方正黑体_GBK" w:hAnsi="方正黑体_GBK" w:eastAsia="方正黑体_GBK" w:cs="宋体"/>
                <w:b/>
                <w:sz w:val="18"/>
                <w:szCs w:val="18"/>
              </w:rPr>
              <w:t>H2份额：固定管理费年化0.1%</w:t>
            </w:r>
          </w:p>
          <w:p w14:paraId="13721A9F">
            <w:pPr>
              <w:spacing w:line="200" w:lineRule="exact"/>
            </w:pPr>
            <w:r>
              <w:rPr>
                <w:rFonts w:ascii="方正黑体_GBK" w:hAnsi="方正黑体_GBK" w:eastAsia="方正黑体_GBK" w:cs="宋体"/>
                <w:b/>
                <w:sz w:val="18"/>
                <w:szCs w:val="18"/>
              </w:rPr>
              <w:t>J2份额：固定管理费年化0.1%</w:t>
            </w:r>
          </w:p>
          <w:p w14:paraId="0AE0D26A">
            <w:pPr>
              <w:spacing w:line="200" w:lineRule="exact"/>
            </w:pPr>
            <w:r>
              <w:rPr>
                <w:rFonts w:ascii="方正黑体_GBK" w:hAnsi="方正黑体_GBK" w:eastAsia="方正黑体_GBK" w:cs="宋体"/>
                <w:b/>
                <w:sz w:val="18"/>
                <w:szCs w:val="18"/>
              </w:rPr>
              <w:t>K2份额：固定管理费年化0.1%</w:t>
            </w:r>
          </w:p>
          <w:p w14:paraId="7EF0626B">
            <w:pPr>
              <w:spacing w:line="200" w:lineRule="exact"/>
            </w:pPr>
            <w:r>
              <w:rPr>
                <w:rFonts w:ascii="方正黑体_GBK" w:hAnsi="方正黑体_GBK" w:eastAsia="方正黑体_GBK" w:cs="宋体"/>
                <w:b/>
                <w:sz w:val="18"/>
                <w:szCs w:val="18"/>
              </w:rPr>
              <w:t>J3份额：固定管理费年化0.1%</w:t>
            </w:r>
          </w:p>
          <w:p w14:paraId="1C65B941">
            <w:pPr>
              <w:spacing w:line="200" w:lineRule="exact"/>
            </w:pPr>
            <w:r>
              <w:rPr>
                <w:rFonts w:ascii="方正黑体_GBK" w:hAnsi="方正黑体_GBK" w:eastAsia="方正黑体_GBK" w:cs="宋体"/>
                <w:b/>
                <w:sz w:val="18"/>
                <w:szCs w:val="18"/>
              </w:rPr>
              <w:t>K3份额：固定管理费年化0.1%</w:t>
            </w:r>
          </w:p>
          <w:p w14:paraId="2D96D077">
            <w:pPr>
              <w:spacing w:line="200" w:lineRule="exact"/>
            </w:pPr>
            <w:r>
              <w:rPr>
                <w:rFonts w:ascii="方正黑体_GBK" w:hAnsi="方正黑体_GBK" w:eastAsia="方正黑体_GBK" w:cs="宋体"/>
                <w:b/>
                <w:sz w:val="18"/>
                <w:szCs w:val="18"/>
              </w:rPr>
              <w:t>L3份额：固定管理费年化0.1%</w:t>
            </w:r>
          </w:p>
          <w:p w14:paraId="3DFEF402">
            <w:pPr>
              <w:spacing w:line="200" w:lineRule="exact"/>
            </w:pPr>
            <w:r>
              <w:rPr>
                <w:rFonts w:ascii="方正黑体_GBK" w:hAnsi="方正黑体_GBK" w:eastAsia="方正黑体_GBK" w:cs="宋体"/>
                <w:b/>
                <w:sz w:val="18"/>
                <w:szCs w:val="18"/>
              </w:rPr>
              <w:t>J4份额：固定管理费年化0.1%</w:t>
            </w:r>
          </w:p>
          <w:p w14:paraId="7047570C">
            <w:pPr>
              <w:spacing w:line="200" w:lineRule="exact"/>
            </w:pPr>
            <w:r>
              <w:rPr>
                <w:rFonts w:ascii="方正黑体_GBK" w:hAnsi="方正黑体_GBK" w:eastAsia="方正黑体_GBK" w:cs="宋体"/>
                <w:b/>
                <w:sz w:val="18"/>
                <w:szCs w:val="18"/>
              </w:rPr>
              <w:t>K4份额：固定管理费年化0.1%</w:t>
            </w:r>
          </w:p>
          <w:p w14:paraId="2FDD6361">
            <w:pPr>
              <w:spacing w:line="200" w:lineRule="exact"/>
            </w:pPr>
            <w:r>
              <w:rPr>
                <w:rFonts w:ascii="方正黑体_GBK" w:hAnsi="方正黑体_GBK" w:eastAsia="方正黑体_GBK" w:cs="宋体"/>
                <w:b/>
                <w:sz w:val="18"/>
                <w:szCs w:val="18"/>
              </w:rPr>
              <w:t>I3份额：固定管理费年化0.1%</w:t>
            </w:r>
          </w:p>
          <w:p w14:paraId="242C0EEC">
            <w:pPr>
              <w:spacing w:line="200" w:lineRule="exact"/>
            </w:pPr>
            <w:r>
              <w:rPr>
                <w:rFonts w:ascii="方正黑体_GBK" w:hAnsi="方正黑体_GBK" w:eastAsia="方正黑体_GBK" w:cs="宋体"/>
                <w:b/>
                <w:sz w:val="18"/>
                <w:szCs w:val="18"/>
              </w:rPr>
              <w:t>M2份额：固定管理费年化0.2%</w:t>
            </w:r>
          </w:p>
          <w:p w14:paraId="202806BE">
            <w:pPr>
              <w:spacing w:line="200" w:lineRule="exact"/>
            </w:pPr>
            <w:r>
              <w:rPr>
                <w:rFonts w:ascii="方正黑体_GBK" w:hAnsi="方正黑体_GBK" w:eastAsia="方正黑体_GBK" w:cs="宋体"/>
                <w:b/>
                <w:sz w:val="18"/>
                <w:szCs w:val="18"/>
              </w:rPr>
              <w:t>M3份额：固定管理费年化0.2%</w:t>
            </w:r>
          </w:p>
          <w:p w14:paraId="089AAA16">
            <w:pPr>
              <w:spacing w:line="200" w:lineRule="exact"/>
            </w:pPr>
            <w:r>
              <w:rPr>
                <w:rFonts w:ascii="方正黑体_GBK" w:hAnsi="方正黑体_GBK" w:eastAsia="方正黑体_GBK" w:cs="宋体"/>
                <w:b/>
                <w:sz w:val="18"/>
                <w:szCs w:val="18"/>
              </w:rPr>
              <w:t>M4份额：固定管理费年化0.2%</w:t>
            </w:r>
          </w:p>
          <w:p w14:paraId="6E618397">
            <w:pPr>
              <w:spacing w:line="200" w:lineRule="exact"/>
            </w:pPr>
            <w:r>
              <w:rPr>
                <w:rFonts w:ascii="方正黑体_GBK" w:hAnsi="方正黑体_GBK" w:eastAsia="方正黑体_GBK" w:cs="宋体"/>
                <w:b/>
                <w:sz w:val="18"/>
                <w:szCs w:val="18"/>
              </w:rPr>
              <w:t>O2份额：固定管理费年化0.1%</w:t>
            </w:r>
          </w:p>
          <w:p w14:paraId="4B371D65">
            <w:pPr>
              <w:spacing w:line="200" w:lineRule="exact"/>
            </w:pPr>
            <w:r>
              <w:rPr>
                <w:rFonts w:ascii="方正黑体_GBK" w:hAnsi="方正黑体_GBK" w:eastAsia="方正黑体_GBK" w:cs="宋体"/>
                <w:b/>
                <w:sz w:val="18"/>
                <w:szCs w:val="18"/>
              </w:rPr>
              <w:t>O3份额：固定管理费年化0.1%</w:t>
            </w:r>
          </w:p>
          <w:p w14:paraId="5E8E07AE">
            <w:pPr>
              <w:spacing w:line="200" w:lineRule="exact"/>
            </w:pPr>
            <w:r>
              <w:rPr>
                <w:rFonts w:ascii="方正黑体_GBK" w:hAnsi="方正黑体_GBK" w:eastAsia="方正黑体_GBK" w:cs="宋体"/>
                <w:b/>
                <w:sz w:val="18"/>
                <w:szCs w:val="18"/>
              </w:rPr>
              <w:t>O4份额：固定管理费年化0.1%</w:t>
            </w:r>
          </w:p>
          <w:p w14:paraId="713DB8DE">
            <w:pPr>
              <w:spacing w:line="200" w:lineRule="exact"/>
            </w:pPr>
            <w:r>
              <w:rPr>
                <w:rFonts w:ascii="方正黑体_GBK" w:hAnsi="方正黑体_GBK" w:eastAsia="方正黑体_GBK" w:cs="宋体"/>
                <w:b/>
                <w:sz w:val="18"/>
                <w:szCs w:val="18"/>
              </w:rPr>
              <w:t>Q1份额：固定管理费年化0.2%</w:t>
            </w:r>
          </w:p>
          <w:p w14:paraId="65CD30E9">
            <w:pPr>
              <w:spacing w:line="200" w:lineRule="exact"/>
            </w:pPr>
            <w:r>
              <w:rPr>
                <w:rFonts w:ascii="方正黑体_GBK" w:hAnsi="方正黑体_GBK" w:eastAsia="方正黑体_GBK" w:cs="宋体"/>
                <w:b/>
                <w:sz w:val="18"/>
                <w:szCs w:val="18"/>
              </w:rPr>
              <w:t>R1份额：固定管理费年化0.15%</w:t>
            </w:r>
          </w:p>
          <w:p w14:paraId="7AFC8E61">
            <w:pPr>
              <w:spacing w:line="200" w:lineRule="exact"/>
            </w:pPr>
            <w:r>
              <w:rPr>
                <w:rFonts w:ascii="方正黑体_GBK" w:hAnsi="方正黑体_GBK" w:eastAsia="方正黑体_GBK" w:cs="宋体"/>
                <w:b/>
                <w:sz w:val="18"/>
                <w:szCs w:val="18"/>
              </w:rPr>
              <w:t>Q2份额：固定管理费年化0.2%</w:t>
            </w:r>
          </w:p>
          <w:p w14:paraId="32D06365">
            <w:pPr>
              <w:spacing w:line="200" w:lineRule="exact"/>
            </w:pPr>
            <w:r>
              <w:rPr>
                <w:rFonts w:ascii="方正黑体_GBK" w:hAnsi="方正黑体_GBK" w:eastAsia="方正黑体_GBK" w:cs="宋体"/>
                <w:b/>
                <w:sz w:val="18"/>
                <w:szCs w:val="18"/>
              </w:rPr>
              <w:t>R2份额：固定管理费年化0.15%</w:t>
            </w:r>
          </w:p>
          <w:p w14:paraId="6ED2427F">
            <w:pPr>
              <w:spacing w:line="200" w:lineRule="exact"/>
            </w:pPr>
            <w:r>
              <w:rPr>
                <w:rFonts w:ascii="方正黑体_GBK" w:hAnsi="方正黑体_GBK" w:eastAsia="方正黑体_GBK" w:cs="宋体"/>
                <w:b/>
                <w:sz w:val="18"/>
                <w:szCs w:val="18"/>
              </w:rPr>
              <w:t>Q3份额：固定管理费年化0.2%</w:t>
            </w:r>
          </w:p>
          <w:p w14:paraId="1E6E18F2">
            <w:pPr>
              <w:spacing w:line="200" w:lineRule="exact"/>
            </w:pPr>
            <w:r>
              <w:rPr>
                <w:rFonts w:ascii="方正黑体_GBK" w:hAnsi="方正黑体_GBK" w:eastAsia="方正黑体_GBK" w:cs="宋体"/>
                <w:b/>
                <w:sz w:val="18"/>
                <w:szCs w:val="18"/>
              </w:rPr>
              <w:t>R3份额：固定管理费年化0.15%</w:t>
            </w:r>
          </w:p>
          <w:p w14:paraId="05D86B00">
            <w:pPr>
              <w:spacing w:line="200" w:lineRule="exact"/>
            </w:pPr>
            <w:r>
              <w:rPr>
                <w:rFonts w:ascii="方正黑体_GBK" w:hAnsi="方正黑体_GBK" w:eastAsia="方正黑体_GBK" w:cs="宋体"/>
                <w:b/>
                <w:sz w:val="18"/>
                <w:szCs w:val="18"/>
              </w:rPr>
              <w:t>Q4份额：固定管理费年化0.2%</w:t>
            </w:r>
          </w:p>
          <w:p w14:paraId="235D7BEE">
            <w:pPr>
              <w:spacing w:line="200" w:lineRule="exact"/>
            </w:pPr>
            <w:r>
              <w:rPr>
                <w:rFonts w:ascii="方正黑体_GBK" w:hAnsi="方正黑体_GBK" w:eastAsia="方正黑体_GBK" w:cs="宋体"/>
                <w:b/>
                <w:sz w:val="18"/>
                <w:szCs w:val="18"/>
              </w:rPr>
              <w:t>R4份额：固定管理费年化0.15%</w:t>
            </w:r>
          </w:p>
          <w:p w14:paraId="6276BB4C">
            <w:pPr>
              <w:spacing w:line="200" w:lineRule="exact"/>
            </w:pPr>
            <w:r>
              <w:rPr>
                <w:rFonts w:ascii="方正黑体_GBK" w:hAnsi="方正黑体_GBK" w:eastAsia="方正黑体_GBK" w:cs="宋体"/>
                <w:b/>
                <w:sz w:val="18"/>
                <w:szCs w:val="18"/>
              </w:rPr>
              <w:t>B1份额：固定管理费年化0.2%</w:t>
            </w:r>
          </w:p>
          <w:p w14:paraId="3CDDF961">
            <w:pPr>
              <w:spacing w:line="200" w:lineRule="exact"/>
            </w:pPr>
            <w:r>
              <w:rPr>
                <w:rFonts w:ascii="方正黑体_GBK" w:hAnsi="方正黑体_GBK" w:eastAsia="方正黑体_GBK" w:cs="宋体"/>
                <w:b/>
                <w:sz w:val="18"/>
                <w:szCs w:val="18"/>
              </w:rPr>
              <w:t>C1份额：固定管理费年化0.2%</w:t>
            </w:r>
          </w:p>
          <w:p w14:paraId="48AF85B6">
            <w:pPr>
              <w:spacing w:line="200" w:lineRule="exact"/>
            </w:pPr>
            <w:r>
              <w:rPr>
                <w:rFonts w:ascii="方正黑体_GBK" w:hAnsi="方正黑体_GBK" w:eastAsia="方正黑体_GBK" w:cs="宋体"/>
                <w:b/>
                <w:sz w:val="18"/>
                <w:szCs w:val="18"/>
              </w:rPr>
              <w:t>D1份额：固定管理费年化0.15%</w:t>
            </w:r>
          </w:p>
          <w:p w14:paraId="39849A02">
            <w:pPr>
              <w:spacing w:line="200" w:lineRule="exact"/>
            </w:pPr>
            <w:r>
              <w:rPr>
                <w:rFonts w:ascii="方正黑体_GBK" w:hAnsi="方正黑体_GBK" w:eastAsia="方正黑体_GBK" w:cs="宋体"/>
                <w:b/>
                <w:sz w:val="18"/>
                <w:szCs w:val="18"/>
              </w:rPr>
              <w:t>E1份额：固定管理费年化0.15%</w:t>
            </w:r>
          </w:p>
          <w:p w14:paraId="2E6BEA5B">
            <w:pPr>
              <w:spacing w:line="200" w:lineRule="exact"/>
            </w:pPr>
            <w:r>
              <w:rPr>
                <w:rFonts w:ascii="方正黑体_GBK" w:hAnsi="方正黑体_GBK" w:eastAsia="方正黑体_GBK" w:cs="宋体"/>
                <w:b/>
                <w:sz w:val="18"/>
                <w:szCs w:val="18"/>
              </w:rPr>
              <w:t>F1份额：固定管理费年化0.15%</w:t>
            </w:r>
          </w:p>
          <w:p w14:paraId="2C332627">
            <w:pPr>
              <w:spacing w:line="200" w:lineRule="exact"/>
            </w:pPr>
            <w:r>
              <w:rPr>
                <w:rFonts w:ascii="方正黑体_GBK" w:hAnsi="方正黑体_GBK" w:eastAsia="方正黑体_GBK" w:cs="宋体"/>
                <w:b/>
                <w:sz w:val="18"/>
                <w:szCs w:val="18"/>
              </w:rPr>
              <w:t>G1份额：固定管理费年化0.15%</w:t>
            </w:r>
          </w:p>
          <w:p w14:paraId="38E9696A">
            <w:pPr>
              <w:spacing w:line="200" w:lineRule="exact"/>
            </w:pPr>
            <w:r>
              <w:rPr>
                <w:rFonts w:ascii="方正黑体_GBK" w:hAnsi="方正黑体_GBK" w:eastAsia="方正黑体_GBK" w:cs="宋体"/>
                <w:b/>
                <w:sz w:val="18"/>
                <w:szCs w:val="18"/>
              </w:rPr>
              <w:t>J1份额：固定管理费年化0.1%</w:t>
            </w:r>
          </w:p>
          <w:p w14:paraId="26DD7F6B">
            <w:pPr>
              <w:spacing w:line="200" w:lineRule="exact"/>
            </w:pPr>
            <w:r>
              <w:rPr>
                <w:rFonts w:ascii="方正黑体_GBK" w:hAnsi="方正黑体_GBK" w:eastAsia="方正黑体_GBK" w:cs="宋体"/>
                <w:b/>
                <w:sz w:val="18"/>
                <w:szCs w:val="18"/>
              </w:rPr>
              <w:t>K1份额：固定管理费年化0.1%</w:t>
            </w:r>
          </w:p>
          <w:p w14:paraId="2F9014BE">
            <w:pPr>
              <w:spacing w:line="200" w:lineRule="exact"/>
            </w:pPr>
            <w:r>
              <w:rPr>
                <w:rFonts w:ascii="方正黑体_GBK" w:hAnsi="方正黑体_GBK" w:eastAsia="方正黑体_GBK" w:cs="宋体"/>
                <w:b/>
                <w:sz w:val="18"/>
                <w:szCs w:val="18"/>
              </w:rPr>
              <w:t>L1份额：固定管理费年化0.1%</w:t>
            </w:r>
          </w:p>
          <w:p w14:paraId="5F639465">
            <w:pPr>
              <w:spacing w:line="200" w:lineRule="exact"/>
            </w:pPr>
            <w:r>
              <w:rPr>
                <w:rFonts w:ascii="方正黑体_GBK" w:hAnsi="方正黑体_GBK" w:eastAsia="方正黑体_GBK" w:cs="宋体"/>
                <w:b/>
                <w:sz w:val="18"/>
                <w:szCs w:val="18"/>
              </w:rPr>
              <w:t>M1份额：固定管理费年化0.2%</w:t>
            </w:r>
          </w:p>
          <w:p w14:paraId="4374B33C">
            <w:pPr>
              <w:spacing w:line="200" w:lineRule="exact"/>
            </w:pPr>
            <w:r>
              <w:rPr>
                <w:rFonts w:ascii="方正黑体_GBK" w:hAnsi="方正黑体_GBK" w:eastAsia="方正黑体_GBK" w:cs="宋体"/>
                <w:b/>
                <w:sz w:val="18"/>
                <w:szCs w:val="18"/>
              </w:rPr>
              <w:t>N1份额：固定管理费年化0.1%</w:t>
            </w:r>
          </w:p>
          <w:p w14:paraId="72DB2D0E">
            <w:pPr>
              <w:spacing w:line="200" w:lineRule="exact"/>
            </w:pPr>
            <w:r>
              <w:rPr>
                <w:rFonts w:ascii="方正黑体_GBK" w:hAnsi="方正黑体_GBK" w:eastAsia="方正黑体_GBK" w:cs="宋体"/>
                <w:b/>
                <w:sz w:val="18"/>
                <w:szCs w:val="18"/>
              </w:rPr>
              <w:t>O1份额：固定管理费年化0.1%</w:t>
            </w:r>
          </w:p>
          <w:p w14:paraId="497651AC">
            <w:pPr>
              <w:spacing w:line="200" w:lineRule="exact"/>
            </w:pPr>
            <w:r>
              <w:rPr>
                <w:rFonts w:ascii="方正黑体_GBK" w:hAnsi="方正黑体_GBK" w:eastAsia="方正黑体_GBK" w:cs="宋体"/>
                <w:b/>
                <w:sz w:val="18"/>
                <w:szCs w:val="18"/>
              </w:rPr>
              <w:t>S1份额：固定管理费年化0.15%</w:t>
            </w:r>
          </w:p>
          <w:p w14:paraId="1AA38CF7">
            <w:pPr>
              <w:spacing w:line="200" w:lineRule="exact"/>
            </w:pPr>
            <w:r>
              <w:rPr>
                <w:rFonts w:ascii="方正黑体_GBK" w:hAnsi="方正黑体_GBK" w:eastAsia="方正黑体_GBK" w:cs="宋体"/>
                <w:b/>
                <w:sz w:val="18"/>
                <w:szCs w:val="18"/>
              </w:rPr>
              <w:t>S2份额：固定管理费年化0.15%</w:t>
            </w:r>
          </w:p>
          <w:p w14:paraId="1424CEE4">
            <w:pPr>
              <w:spacing w:line="200" w:lineRule="exact"/>
            </w:pPr>
            <w:r>
              <w:rPr>
                <w:rFonts w:ascii="方正黑体_GBK" w:hAnsi="方正黑体_GBK" w:eastAsia="方正黑体_GBK" w:cs="宋体"/>
                <w:b/>
                <w:sz w:val="18"/>
                <w:szCs w:val="18"/>
              </w:rPr>
              <w:t>S3份额：固定管理费年化0.15%</w:t>
            </w:r>
          </w:p>
          <w:p w14:paraId="74D3663E">
            <w:pPr>
              <w:spacing w:line="200" w:lineRule="exact"/>
            </w:pPr>
            <w:r>
              <w:rPr>
                <w:rFonts w:ascii="方正黑体_GBK" w:hAnsi="方正黑体_GBK" w:eastAsia="方正黑体_GBK" w:cs="宋体"/>
                <w:b/>
                <w:sz w:val="18"/>
                <w:szCs w:val="18"/>
              </w:rPr>
              <w:t>S4份额：固定管理费年化0.15%</w:t>
            </w:r>
          </w:p>
          <w:p w14:paraId="481F8B0B">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0D1BB302">
            <w:pPr>
              <w:spacing w:line="200" w:lineRule="exact"/>
            </w:pPr>
            <w:r>
              <w:rPr>
                <w:rFonts w:ascii="方正黑体_GBK" w:hAnsi="方正黑体_GBK" w:eastAsia="方正黑体_GBK" w:cs="宋体"/>
                <w:b/>
                <w:sz w:val="18"/>
                <w:szCs w:val="18"/>
              </w:rPr>
              <w:t>托管费：</w:t>
            </w:r>
          </w:p>
          <w:p w14:paraId="04C885FC">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50ABD84E">
            <w:pPr>
              <w:spacing w:line="200" w:lineRule="exact"/>
            </w:pPr>
            <w:r>
              <w:rPr>
                <w:rFonts w:ascii="方正黑体_GBK" w:hAnsi="方正黑体_GBK" w:eastAsia="方正黑体_GBK" w:cs="宋体"/>
                <w:b/>
                <w:sz w:val="18"/>
                <w:szCs w:val="18"/>
              </w:rPr>
              <w:t>每日计提的托管费=前一日理财产品资产净值×年化托管费率÷365</w:t>
            </w:r>
          </w:p>
          <w:p w14:paraId="37554E34">
            <w:pPr>
              <w:spacing w:line="200" w:lineRule="exact"/>
            </w:pPr>
            <w:r>
              <w:rPr>
                <w:rFonts w:ascii="方正黑体_GBK" w:hAnsi="方正黑体_GBK" w:eastAsia="方正黑体_GBK" w:cs="宋体"/>
                <w:b/>
                <w:sz w:val="18"/>
                <w:szCs w:val="18"/>
              </w:rPr>
              <w:t>业绩报酬：</w:t>
            </w:r>
          </w:p>
          <w:p w14:paraId="52F2D925">
            <w:pPr>
              <w:spacing w:line="200" w:lineRule="exact"/>
            </w:pPr>
            <w:r>
              <w:rPr>
                <w:rFonts w:ascii="方正黑体_GBK" w:hAnsi="方正黑体_GBK" w:eastAsia="方正黑体_GBK" w:cs="宋体"/>
                <w:b/>
                <w:sz w:val="18"/>
                <w:szCs w:val="18"/>
              </w:rPr>
              <w:t>A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370299C6">
            <w:pPr>
              <w:spacing w:line="200" w:lineRule="exact"/>
            </w:pPr>
            <w:r>
              <w:rPr>
                <w:rFonts w:ascii="方正黑体_GBK" w:hAnsi="方正黑体_GBK" w:eastAsia="方正黑体_GBK" w:cs="宋体"/>
                <w:b/>
                <w:sz w:val="18"/>
                <w:szCs w:val="18"/>
              </w:rPr>
              <w:t>C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617207A7">
            <w:pPr>
              <w:spacing w:line="200" w:lineRule="exact"/>
            </w:pPr>
            <w:r>
              <w:rPr>
                <w:rFonts w:ascii="方正黑体_GBK" w:hAnsi="方正黑体_GBK" w:eastAsia="方正黑体_GBK" w:cs="宋体"/>
                <w:b/>
                <w:sz w:val="18"/>
                <w:szCs w:val="18"/>
              </w:rPr>
              <w:t>E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4CDFC5FE">
            <w:pPr>
              <w:spacing w:line="200" w:lineRule="exact"/>
            </w:pPr>
            <w:r>
              <w:rPr>
                <w:rFonts w:ascii="方正黑体_GBK" w:hAnsi="方正黑体_GBK" w:eastAsia="方正黑体_GBK" w:cs="宋体"/>
                <w:b/>
                <w:sz w:val="18"/>
                <w:szCs w:val="18"/>
              </w:rPr>
              <w:t>B2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5D3DA4D0">
            <w:pPr>
              <w:spacing w:line="200" w:lineRule="exact"/>
            </w:pPr>
            <w:r>
              <w:rPr>
                <w:rFonts w:ascii="方正黑体_GBK" w:hAnsi="方正黑体_GBK" w:eastAsia="方正黑体_GBK" w:cs="宋体"/>
                <w:b/>
                <w:sz w:val="18"/>
                <w:szCs w:val="18"/>
              </w:rPr>
              <w:t>C2份额：申购/赎回确认日和产品实际到期时，当期产品投资的实际资产组合收益（扣除销售费、固定管理费、托管费等相关费用）超过2.375%（年化，即产品该份额对应的业绩报酬计提基准）时，超过部分管理人将按60%收取业绩报酬。</w:t>
            </w:r>
          </w:p>
          <w:p w14:paraId="790F6D58">
            <w:pPr>
              <w:spacing w:line="200" w:lineRule="exact"/>
            </w:pPr>
            <w:r>
              <w:rPr>
                <w:rFonts w:ascii="方正黑体_GBK" w:hAnsi="方正黑体_GBK" w:eastAsia="方正黑体_GBK" w:cs="宋体"/>
                <w:b/>
                <w:sz w:val="18"/>
                <w:szCs w:val="18"/>
              </w:rPr>
              <w:t>D2份额：申购/赎回确认日和产品实际到期时，当期产品投资的实际资产组合收益（扣除销售费、固定管理费、托管费等相关费用）超过2.425%（年化，即产品该份额对应的业绩报酬计提基准）时，超过部分管理人将按60%收取业绩报酬。</w:t>
            </w:r>
          </w:p>
          <w:p w14:paraId="42F711F8">
            <w:pPr>
              <w:spacing w:line="200" w:lineRule="exact"/>
            </w:pPr>
            <w:r>
              <w:rPr>
                <w:rFonts w:ascii="方正黑体_GBK" w:hAnsi="方正黑体_GBK" w:eastAsia="方正黑体_GBK" w:cs="宋体"/>
                <w:b/>
                <w:sz w:val="18"/>
                <w:szCs w:val="18"/>
              </w:rPr>
              <w:t>E2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68C30601">
            <w:pPr>
              <w:spacing w:line="200" w:lineRule="exact"/>
            </w:pPr>
            <w:r>
              <w:rPr>
                <w:rFonts w:ascii="方正黑体_GBK" w:hAnsi="方正黑体_GBK" w:eastAsia="方正黑体_GBK" w:cs="宋体"/>
                <w:b/>
                <w:sz w:val="18"/>
                <w:szCs w:val="18"/>
              </w:rPr>
              <w:t>B3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336C9987">
            <w:pPr>
              <w:spacing w:line="200" w:lineRule="exact"/>
            </w:pPr>
            <w:r>
              <w:rPr>
                <w:rFonts w:ascii="方正黑体_GBK" w:hAnsi="方正黑体_GBK" w:eastAsia="方正黑体_GBK" w:cs="宋体"/>
                <w:b/>
                <w:sz w:val="18"/>
                <w:szCs w:val="18"/>
              </w:rPr>
              <w:t>C3份额：申购/赎回确认日和产品实际到期时，当期产品投资的实际资产组合收益（扣除销售费、固定管理费、托管费等相关费用）超过2.375%（年化，即产品该份额对应的业绩报酬计提基准）时，超过部分管理人将按60%收取业绩报酬。</w:t>
            </w:r>
          </w:p>
          <w:p w14:paraId="2DC9F513">
            <w:pPr>
              <w:spacing w:line="200" w:lineRule="exact"/>
            </w:pPr>
            <w:r>
              <w:rPr>
                <w:rFonts w:ascii="方正黑体_GBK" w:hAnsi="方正黑体_GBK" w:eastAsia="方正黑体_GBK" w:cs="宋体"/>
                <w:b/>
                <w:sz w:val="18"/>
                <w:szCs w:val="18"/>
              </w:rPr>
              <w:t>D3份额：申购/赎回确认日和产品实际到期时，当期产品投资的实际资产组合收益（扣除销售费、固定管理费、托管费等相关费用）超过2.425%（年化，即产品该份额对应的业绩报酬计提基准）时，超过部分管理人将按60%收取业绩报酬。</w:t>
            </w:r>
          </w:p>
          <w:p w14:paraId="66E8DF52">
            <w:pPr>
              <w:spacing w:line="200" w:lineRule="exact"/>
            </w:pPr>
            <w:r>
              <w:rPr>
                <w:rFonts w:ascii="方正黑体_GBK" w:hAnsi="方正黑体_GBK" w:eastAsia="方正黑体_GBK" w:cs="宋体"/>
                <w:b/>
                <w:sz w:val="18"/>
                <w:szCs w:val="18"/>
              </w:rPr>
              <w:t>E3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518E77CD">
            <w:pPr>
              <w:spacing w:line="200" w:lineRule="exact"/>
            </w:pPr>
            <w:r>
              <w:rPr>
                <w:rFonts w:ascii="方正黑体_GBK" w:hAnsi="方正黑体_GBK" w:eastAsia="方正黑体_GBK" w:cs="宋体"/>
                <w:b/>
                <w:sz w:val="18"/>
                <w:szCs w:val="18"/>
              </w:rPr>
              <w:t>A4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2BB3BADE">
            <w:pPr>
              <w:spacing w:line="200" w:lineRule="exact"/>
            </w:pPr>
            <w:r>
              <w:rPr>
                <w:rFonts w:ascii="方正黑体_GBK" w:hAnsi="方正黑体_GBK" w:eastAsia="方正黑体_GBK" w:cs="宋体"/>
                <w:b/>
                <w:sz w:val="18"/>
                <w:szCs w:val="18"/>
              </w:rPr>
              <w:t>B4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6D10D551">
            <w:pPr>
              <w:spacing w:line="200" w:lineRule="exact"/>
            </w:pPr>
            <w:r>
              <w:rPr>
                <w:rFonts w:ascii="方正黑体_GBK" w:hAnsi="方正黑体_GBK" w:eastAsia="方正黑体_GBK" w:cs="宋体"/>
                <w:b/>
                <w:sz w:val="18"/>
                <w:szCs w:val="18"/>
              </w:rPr>
              <w:t>C4份额：申购/赎回确认日和产品实际到期时，当期产品投资的实际资产组合收益（扣除销售费、固定管理费、托管费等相关费用）超过2.375%（年化，即产品该份额对应的业绩报酬计提基准）时，超过部分管理人将按60%收取业绩报酬。</w:t>
            </w:r>
          </w:p>
          <w:p w14:paraId="23936E01">
            <w:pPr>
              <w:spacing w:line="200" w:lineRule="exact"/>
            </w:pPr>
            <w:r>
              <w:rPr>
                <w:rFonts w:ascii="方正黑体_GBK" w:hAnsi="方正黑体_GBK" w:eastAsia="方正黑体_GBK" w:cs="宋体"/>
                <w:b/>
                <w:sz w:val="18"/>
                <w:szCs w:val="18"/>
              </w:rPr>
              <w:t>D4份额：申购/赎回确认日和产品实际到期时，当期产品投资的实际资产组合收益（扣除销售费、固定管理费、托管费等相关费用）超过2.425%（年化，即产品该份额对应的业绩报酬计提基准）时，超过部分管理人将按60%收取业绩报酬。</w:t>
            </w:r>
          </w:p>
          <w:p w14:paraId="0BD5A015">
            <w:pPr>
              <w:spacing w:line="200" w:lineRule="exact"/>
            </w:pPr>
            <w:r>
              <w:rPr>
                <w:rFonts w:ascii="方正黑体_GBK" w:hAnsi="方正黑体_GBK" w:eastAsia="方正黑体_GBK" w:cs="宋体"/>
                <w:b/>
                <w:sz w:val="18"/>
                <w:szCs w:val="18"/>
              </w:rPr>
              <w:t>E4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233117B2">
            <w:pPr>
              <w:spacing w:line="200" w:lineRule="exact"/>
            </w:pPr>
            <w:r>
              <w:rPr>
                <w:rFonts w:ascii="方正黑体_GBK" w:hAnsi="方正黑体_GBK" w:eastAsia="方正黑体_GBK" w:cs="宋体"/>
                <w:b/>
                <w:sz w:val="18"/>
                <w:szCs w:val="18"/>
              </w:rPr>
              <w:t>F2份额：申购/赎回确认日和产品实际到期时，当期产品投资的实际资产组合收益（扣除销售费、固定管理费、托管费等相关费用）超过2.425%（年化，即产品该份额对应的业绩报酬计提基准）时，超过部分管理人将按60%收取业绩报酬。</w:t>
            </w:r>
          </w:p>
          <w:p w14:paraId="11187FB3">
            <w:pPr>
              <w:spacing w:line="200" w:lineRule="exact"/>
            </w:pPr>
            <w:r>
              <w:rPr>
                <w:rFonts w:ascii="方正黑体_GBK" w:hAnsi="方正黑体_GBK" w:eastAsia="方正黑体_GBK" w:cs="宋体"/>
                <w:b/>
                <w:sz w:val="18"/>
                <w:szCs w:val="18"/>
              </w:rPr>
              <w:t>F3份额：申购/赎回确认日和产品实际到期时，当期产品投资的实际资产组合收益（扣除销售费、固定管理费、托管费等相关费用）超过2.425%（年化，即产品该份额对应的业绩报酬计提基准）时，超过部分管理人将按60%收取业绩报酬。</w:t>
            </w:r>
          </w:p>
          <w:p w14:paraId="248AE85C">
            <w:pPr>
              <w:spacing w:line="200" w:lineRule="exact"/>
            </w:pPr>
            <w:r>
              <w:rPr>
                <w:rFonts w:ascii="方正黑体_GBK" w:hAnsi="方正黑体_GBK" w:eastAsia="方正黑体_GBK" w:cs="宋体"/>
                <w:b/>
                <w:sz w:val="18"/>
                <w:szCs w:val="18"/>
              </w:rPr>
              <w:t>G2份额：申购/赎回确认日和产品实际到期时，当期产品投资的实际资产组合收益（扣除销售费、固定管理费、托管费等相关费用）超过2.475%（年化，即产品该份额对应的业绩报酬计提基准）时，超过部分管理人将按60%收取业绩报酬。</w:t>
            </w:r>
          </w:p>
          <w:p w14:paraId="4DC52FEB">
            <w:pPr>
              <w:spacing w:line="200" w:lineRule="exact"/>
            </w:pPr>
            <w:r>
              <w:rPr>
                <w:rFonts w:ascii="方正黑体_GBK" w:hAnsi="方正黑体_GBK" w:eastAsia="方正黑体_GBK" w:cs="宋体"/>
                <w:b/>
                <w:sz w:val="18"/>
                <w:szCs w:val="18"/>
              </w:rPr>
              <w:t>G3份额：申购/赎回确认日和产品实际到期时，当期产品投资的实际资产组合收益（扣除销售费、固定管理费、托管费等相关费用）超过2.475%（年化，即产品该份额对应的业绩报酬计提基准）时，超过部分管理人将按60%收取业绩报酬。</w:t>
            </w:r>
          </w:p>
          <w:p w14:paraId="5F1A4A37">
            <w:pPr>
              <w:spacing w:line="200" w:lineRule="exact"/>
            </w:pPr>
            <w:r>
              <w:rPr>
                <w:rFonts w:ascii="方正黑体_GBK" w:hAnsi="方正黑体_GBK" w:eastAsia="方正黑体_GBK" w:cs="宋体"/>
                <w:b/>
                <w:sz w:val="18"/>
                <w:szCs w:val="18"/>
              </w:rPr>
              <w:t>F4份额：申购/赎回确认日和产品实际到期时，当期产品投资的实际资产组合收益（扣除销售费、固定管理费、托管费等相关费用）超过2.425%（年化，即产品该份额对应的业绩报酬计提基准）时，超过部分管理人将按60%收取业绩报酬。</w:t>
            </w:r>
          </w:p>
          <w:p w14:paraId="5DDF6C03">
            <w:pPr>
              <w:spacing w:line="200" w:lineRule="exact"/>
            </w:pPr>
            <w:r>
              <w:rPr>
                <w:rFonts w:ascii="方正黑体_GBK" w:hAnsi="方正黑体_GBK" w:eastAsia="方正黑体_GBK" w:cs="宋体"/>
                <w:b/>
                <w:sz w:val="18"/>
                <w:szCs w:val="18"/>
              </w:rPr>
              <w:t>G4份额：申购/赎回确认日和产品实际到期时，当期产品投资的实际资产组合收益（扣除销售费、固定管理费、托管费等相关费用）超过2.475%（年化，即产品该份额对应的业绩报酬计提基准）时，超过部分管理人将按60%收取业绩报酬。</w:t>
            </w:r>
          </w:p>
          <w:p w14:paraId="68A619FD">
            <w:pPr>
              <w:spacing w:line="200" w:lineRule="exact"/>
            </w:pPr>
            <w:r>
              <w:rPr>
                <w:rFonts w:ascii="方正黑体_GBK" w:hAnsi="方正黑体_GBK" w:eastAsia="方正黑体_GBK" w:cs="宋体"/>
                <w:b/>
                <w:sz w:val="18"/>
                <w:szCs w:val="18"/>
              </w:rPr>
              <w:t>H2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2335345F">
            <w:pPr>
              <w:spacing w:line="200" w:lineRule="exact"/>
            </w:pPr>
            <w:r>
              <w:rPr>
                <w:rFonts w:ascii="方正黑体_GBK" w:hAnsi="方正黑体_GBK" w:eastAsia="方正黑体_GBK" w:cs="宋体"/>
                <w:b/>
                <w:sz w:val="18"/>
                <w:szCs w:val="18"/>
              </w:rPr>
              <w:t>J2份额：申购/赎回确认日和产品实际到期时，当期产品投资的实际资产组合收益（扣除销售费、固定管理费、托管费等相关费用）超过2.375%（年化，即产品该份额对应的业绩报酬计提基准）时，超过部分管理人将按60%收取业绩报酬。</w:t>
            </w:r>
          </w:p>
          <w:p w14:paraId="2636BF2A">
            <w:pPr>
              <w:spacing w:line="200" w:lineRule="exact"/>
            </w:pPr>
            <w:r>
              <w:rPr>
                <w:rFonts w:ascii="方正黑体_GBK" w:hAnsi="方正黑体_GBK" w:eastAsia="方正黑体_GBK" w:cs="宋体"/>
                <w:b/>
                <w:sz w:val="18"/>
                <w:szCs w:val="18"/>
              </w:rPr>
              <w:t>K2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22399EC5">
            <w:pPr>
              <w:spacing w:line="200" w:lineRule="exact"/>
            </w:pPr>
            <w:r>
              <w:rPr>
                <w:rFonts w:ascii="方正黑体_GBK" w:hAnsi="方正黑体_GBK" w:eastAsia="方正黑体_GBK" w:cs="宋体"/>
                <w:b/>
                <w:sz w:val="18"/>
                <w:szCs w:val="18"/>
              </w:rPr>
              <w:t>J3份额：申购/赎回确认日和产品实际到期时，当期产品投资的实际资产组合收益（扣除销售费、固定管理费、托管费等相关费用）超过2.375%（年化，即产品该份额对应的业绩报酬计提基准）时，超过部分管理人将按60%收取业绩报酬。</w:t>
            </w:r>
          </w:p>
          <w:p w14:paraId="4D6C762C">
            <w:pPr>
              <w:spacing w:line="200" w:lineRule="exact"/>
            </w:pPr>
            <w:r>
              <w:rPr>
                <w:rFonts w:ascii="方正黑体_GBK" w:hAnsi="方正黑体_GBK" w:eastAsia="方正黑体_GBK" w:cs="宋体"/>
                <w:b/>
                <w:sz w:val="18"/>
                <w:szCs w:val="18"/>
              </w:rPr>
              <w:t>K3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200A3E2F">
            <w:pPr>
              <w:spacing w:line="200" w:lineRule="exact"/>
            </w:pPr>
            <w:r>
              <w:rPr>
                <w:rFonts w:ascii="方正黑体_GBK" w:hAnsi="方正黑体_GBK" w:eastAsia="方正黑体_GBK" w:cs="宋体"/>
                <w:b/>
                <w:sz w:val="18"/>
                <w:szCs w:val="18"/>
              </w:rPr>
              <w:t>L3份额：申购/赎回确认日和产品实际到期时，当期产品投资的实际资产组合收益（扣除销售费、固定管理费、托管费等相关费用）超过2.425%（年化，即产品该份额对应的业绩报酬计提基准）时，超过部分管理人将按60%收取业绩报酬。</w:t>
            </w:r>
          </w:p>
          <w:p w14:paraId="42DB3E14">
            <w:pPr>
              <w:spacing w:line="200" w:lineRule="exact"/>
            </w:pPr>
            <w:r>
              <w:rPr>
                <w:rFonts w:ascii="方正黑体_GBK" w:hAnsi="方正黑体_GBK" w:eastAsia="方正黑体_GBK" w:cs="宋体"/>
                <w:b/>
                <w:sz w:val="18"/>
                <w:szCs w:val="18"/>
              </w:rPr>
              <w:t>J4份额：申购/赎回确认日和产品实际到期时，当期产品投资的实际资产组合收益（扣除销售费、固定管理费、托管费等相关费用）超过2.375%（年化，即产品该份额对应的业绩报酬计提基准）时，超过部分管理人将按60%收取业绩报酬。</w:t>
            </w:r>
          </w:p>
          <w:p w14:paraId="3B30A046">
            <w:pPr>
              <w:spacing w:line="200" w:lineRule="exact"/>
            </w:pPr>
            <w:r>
              <w:rPr>
                <w:rFonts w:ascii="方正黑体_GBK" w:hAnsi="方正黑体_GBK" w:eastAsia="方正黑体_GBK" w:cs="宋体"/>
                <w:b/>
                <w:sz w:val="18"/>
                <w:szCs w:val="18"/>
              </w:rPr>
              <w:t>K4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6A3D3D56">
            <w:pPr>
              <w:spacing w:line="200" w:lineRule="exact"/>
            </w:pPr>
            <w:r>
              <w:rPr>
                <w:rFonts w:ascii="方正黑体_GBK" w:hAnsi="方正黑体_GBK" w:eastAsia="方正黑体_GBK" w:cs="宋体"/>
                <w:b/>
                <w:sz w:val="18"/>
                <w:szCs w:val="18"/>
              </w:rPr>
              <w:t>I3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4C7A61F6">
            <w:pPr>
              <w:spacing w:line="200" w:lineRule="exact"/>
            </w:pPr>
            <w:r>
              <w:rPr>
                <w:rFonts w:ascii="方正黑体_GBK" w:hAnsi="方正黑体_GBK" w:eastAsia="方正黑体_GBK" w:cs="宋体"/>
                <w:b/>
                <w:sz w:val="18"/>
                <w:szCs w:val="18"/>
              </w:rPr>
              <w:t>M2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2D3E8DF1">
            <w:pPr>
              <w:spacing w:line="200" w:lineRule="exact"/>
            </w:pPr>
            <w:r>
              <w:rPr>
                <w:rFonts w:ascii="方正黑体_GBK" w:hAnsi="方正黑体_GBK" w:eastAsia="方正黑体_GBK" w:cs="宋体"/>
                <w:b/>
                <w:sz w:val="18"/>
                <w:szCs w:val="18"/>
              </w:rPr>
              <w:t>M3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3EB46F64">
            <w:pPr>
              <w:spacing w:line="200" w:lineRule="exact"/>
            </w:pPr>
            <w:r>
              <w:rPr>
                <w:rFonts w:ascii="方正黑体_GBK" w:hAnsi="方正黑体_GBK" w:eastAsia="方正黑体_GBK" w:cs="宋体"/>
                <w:b/>
                <w:sz w:val="18"/>
                <w:szCs w:val="18"/>
              </w:rPr>
              <w:t>M4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100BE939">
            <w:pPr>
              <w:spacing w:line="200" w:lineRule="exact"/>
            </w:pPr>
            <w:r>
              <w:rPr>
                <w:rFonts w:ascii="方正黑体_GBK" w:hAnsi="方正黑体_GBK" w:eastAsia="方正黑体_GBK" w:cs="宋体"/>
                <w:b/>
                <w:sz w:val="18"/>
                <w:szCs w:val="18"/>
              </w:rPr>
              <w:t>O2份额：申购/赎回确认日和产品实际到期时，当期产品投资的实际资产组合收益（扣除销售费、固定管理费、托管费等相关费用）超过2.425%（年化，即产品该份额对应的业绩报酬计提基准）时，超过部分管理人将按60%收取业绩报酬。</w:t>
            </w:r>
          </w:p>
          <w:p w14:paraId="5E075535">
            <w:pPr>
              <w:spacing w:line="200" w:lineRule="exact"/>
            </w:pPr>
            <w:r>
              <w:rPr>
                <w:rFonts w:ascii="方正黑体_GBK" w:hAnsi="方正黑体_GBK" w:eastAsia="方正黑体_GBK" w:cs="宋体"/>
                <w:b/>
                <w:sz w:val="18"/>
                <w:szCs w:val="18"/>
              </w:rPr>
              <w:t>O3份额：申购/赎回确认日和产品实际到期时，当期产品投资的实际资产组合收益（扣除销售费、固定管理费、托管费等相关费用）超过2.425%（年化，即产品该份额对应的业绩报酬计提基准）时，超过部分管理人将按60%收取业绩报酬。</w:t>
            </w:r>
          </w:p>
          <w:p w14:paraId="7A54FE8D">
            <w:pPr>
              <w:spacing w:line="200" w:lineRule="exact"/>
            </w:pPr>
            <w:r>
              <w:rPr>
                <w:rFonts w:ascii="方正黑体_GBK" w:hAnsi="方正黑体_GBK" w:eastAsia="方正黑体_GBK" w:cs="宋体"/>
                <w:b/>
                <w:sz w:val="18"/>
                <w:szCs w:val="18"/>
              </w:rPr>
              <w:t>O4份额：申购/赎回确认日和产品实际到期时，当期产品投资的实际资产组合收益（扣除销售费、固定管理费、托管费等相关费用）超过2.425%（年化，即产品该份额对应的业绩报酬计提基准）时，超过部分管理人将按60%收取业绩报酬。</w:t>
            </w:r>
          </w:p>
          <w:p w14:paraId="3A252403">
            <w:pPr>
              <w:spacing w:line="200" w:lineRule="exact"/>
            </w:pPr>
            <w:r>
              <w:rPr>
                <w:rFonts w:ascii="方正黑体_GBK" w:hAnsi="方正黑体_GBK" w:eastAsia="方正黑体_GBK" w:cs="宋体"/>
                <w:b/>
                <w:sz w:val="18"/>
                <w:szCs w:val="18"/>
              </w:rPr>
              <w:t>Q1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1CA3BE38">
            <w:pPr>
              <w:spacing w:line="200" w:lineRule="exact"/>
            </w:pPr>
            <w:r>
              <w:rPr>
                <w:rFonts w:ascii="方正黑体_GBK" w:hAnsi="方正黑体_GBK" w:eastAsia="方正黑体_GBK" w:cs="宋体"/>
                <w:b/>
                <w:sz w:val="18"/>
                <w:szCs w:val="18"/>
              </w:rPr>
              <w:t>R1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2DF38B58">
            <w:pPr>
              <w:spacing w:line="200" w:lineRule="exact"/>
            </w:pPr>
            <w:r>
              <w:rPr>
                <w:rFonts w:ascii="方正黑体_GBK" w:hAnsi="方正黑体_GBK" w:eastAsia="方正黑体_GBK" w:cs="宋体"/>
                <w:b/>
                <w:sz w:val="18"/>
                <w:szCs w:val="18"/>
              </w:rPr>
              <w:t>Q2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047DDF21">
            <w:pPr>
              <w:spacing w:line="200" w:lineRule="exact"/>
            </w:pPr>
            <w:r>
              <w:rPr>
                <w:rFonts w:ascii="方正黑体_GBK" w:hAnsi="方正黑体_GBK" w:eastAsia="方正黑体_GBK" w:cs="宋体"/>
                <w:b/>
                <w:sz w:val="18"/>
                <w:szCs w:val="18"/>
              </w:rPr>
              <w:t>R2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768BE27F">
            <w:pPr>
              <w:spacing w:line="200" w:lineRule="exact"/>
            </w:pPr>
            <w:r>
              <w:rPr>
                <w:rFonts w:ascii="方正黑体_GBK" w:hAnsi="方正黑体_GBK" w:eastAsia="方正黑体_GBK" w:cs="宋体"/>
                <w:b/>
                <w:sz w:val="18"/>
                <w:szCs w:val="18"/>
              </w:rPr>
              <w:t>Q3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6E7384BA">
            <w:pPr>
              <w:spacing w:line="200" w:lineRule="exact"/>
            </w:pPr>
            <w:r>
              <w:rPr>
                <w:rFonts w:ascii="方正黑体_GBK" w:hAnsi="方正黑体_GBK" w:eastAsia="方正黑体_GBK" w:cs="宋体"/>
                <w:b/>
                <w:sz w:val="18"/>
                <w:szCs w:val="18"/>
              </w:rPr>
              <w:t>R3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2919042F">
            <w:pPr>
              <w:spacing w:line="200" w:lineRule="exact"/>
            </w:pPr>
            <w:r>
              <w:rPr>
                <w:rFonts w:ascii="方正黑体_GBK" w:hAnsi="方正黑体_GBK" w:eastAsia="方正黑体_GBK" w:cs="宋体"/>
                <w:b/>
                <w:sz w:val="18"/>
                <w:szCs w:val="18"/>
              </w:rPr>
              <w:t>Q4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2879E94B">
            <w:pPr>
              <w:spacing w:line="200" w:lineRule="exact"/>
            </w:pPr>
            <w:r>
              <w:rPr>
                <w:rFonts w:ascii="方正黑体_GBK" w:hAnsi="方正黑体_GBK" w:eastAsia="方正黑体_GBK" w:cs="宋体"/>
                <w:b/>
                <w:sz w:val="18"/>
                <w:szCs w:val="18"/>
              </w:rPr>
              <w:t>R4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49CE70A5">
            <w:pPr>
              <w:spacing w:line="200" w:lineRule="exact"/>
            </w:pPr>
            <w:r>
              <w:rPr>
                <w:rFonts w:ascii="方正黑体_GBK" w:hAnsi="方正黑体_GBK" w:eastAsia="方正黑体_GBK" w:cs="宋体"/>
                <w:b/>
                <w:sz w:val="18"/>
                <w:szCs w:val="18"/>
              </w:rPr>
              <w:t>B1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71C4FFFC">
            <w:pPr>
              <w:spacing w:line="200" w:lineRule="exact"/>
            </w:pPr>
            <w:r>
              <w:rPr>
                <w:rFonts w:ascii="方正黑体_GBK" w:hAnsi="方正黑体_GBK" w:eastAsia="方正黑体_GBK" w:cs="宋体"/>
                <w:b/>
                <w:sz w:val="18"/>
                <w:szCs w:val="18"/>
              </w:rPr>
              <w:t>C1份额：申购/赎回确认日和产品实际到期时，当期产品投资的实际资产组合收益（扣除销售费、固定管理费、托管费等相关费用）超过2.375%（年化，即产品该份额对应的业绩报酬计提基准）时，超过部分管理人将按60%收取业绩报酬。</w:t>
            </w:r>
          </w:p>
          <w:p w14:paraId="71772D96">
            <w:pPr>
              <w:spacing w:line="200" w:lineRule="exact"/>
            </w:pPr>
            <w:r>
              <w:rPr>
                <w:rFonts w:ascii="方正黑体_GBK" w:hAnsi="方正黑体_GBK" w:eastAsia="方正黑体_GBK" w:cs="宋体"/>
                <w:b/>
                <w:sz w:val="18"/>
                <w:szCs w:val="18"/>
              </w:rPr>
              <w:t>D1份额：申购/赎回确认日和产品实际到期时，当期产品投资的实际资产组合收益（扣除销售费、固定管理费、托管费等相关费用）超过2.425%（年化，即产品该份额对应的业绩报酬计提基准）时，超过部分管理人将按60%收取业绩报酬。</w:t>
            </w:r>
          </w:p>
          <w:p w14:paraId="155808A4">
            <w:pPr>
              <w:spacing w:line="200" w:lineRule="exact"/>
            </w:pPr>
            <w:r>
              <w:rPr>
                <w:rFonts w:ascii="方正黑体_GBK" w:hAnsi="方正黑体_GBK" w:eastAsia="方正黑体_GBK" w:cs="宋体"/>
                <w:b/>
                <w:sz w:val="18"/>
                <w:szCs w:val="18"/>
              </w:rPr>
              <w:t>E1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2C30D35F">
            <w:pPr>
              <w:spacing w:line="200" w:lineRule="exact"/>
            </w:pPr>
            <w:r>
              <w:rPr>
                <w:rFonts w:ascii="方正黑体_GBK" w:hAnsi="方正黑体_GBK" w:eastAsia="方正黑体_GBK" w:cs="宋体"/>
                <w:b/>
                <w:sz w:val="18"/>
                <w:szCs w:val="18"/>
              </w:rPr>
              <w:t>F1份额：申购/赎回确认日和产品实际到期时，当期产品投资的实际资产组合收益（扣除销售费、固定管理费、托管费等相关费用）超过2.425%（年化，即产品该份额对应的业绩报酬计提基准）时，超过部分管理人将按60%收取业绩报酬。</w:t>
            </w:r>
          </w:p>
          <w:p w14:paraId="0C363527">
            <w:pPr>
              <w:spacing w:line="200" w:lineRule="exact"/>
            </w:pPr>
            <w:r>
              <w:rPr>
                <w:rFonts w:ascii="方正黑体_GBK" w:hAnsi="方正黑体_GBK" w:eastAsia="方正黑体_GBK" w:cs="宋体"/>
                <w:b/>
                <w:sz w:val="18"/>
                <w:szCs w:val="18"/>
              </w:rPr>
              <w:t>G1份额：申购/赎回确认日和产品实际到期时，当期产品投资的实际资产组合收益（扣除销售费、固定管理费、托管费等相关费用）超过2.475%（年化，即产品该份额对应的业绩报酬计提基准）时，超过部分管理人将按60%收取业绩报酬。</w:t>
            </w:r>
          </w:p>
          <w:p w14:paraId="6B0CA7B6">
            <w:pPr>
              <w:spacing w:line="200" w:lineRule="exact"/>
            </w:pPr>
            <w:r>
              <w:rPr>
                <w:rFonts w:ascii="方正黑体_GBK" w:hAnsi="方正黑体_GBK" w:eastAsia="方正黑体_GBK" w:cs="宋体"/>
                <w:b/>
                <w:sz w:val="18"/>
                <w:szCs w:val="18"/>
              </w:rPr>
              <w:t>J1份额：申购/赎回确认日和产品实际到期时，当期产品投资的实际资产组合收益（扣除销售费、固定管理费、托管费等相关费用）超过2.375%（年化，即产品该份额对应的业绩报酬计提基准）时，超过部分管理人将按60%收取业绩报酬。</w:t>
            </w:r>
          </w:p>
          <w:p w14:paraId="0F212355">
            <w:pPr>
              <w:spacing w:line="200" w:lineRule="exact"/>
            </w:pPr>
            <w:r>
              <w:rPr>
                <w:rFonts w:ascii="方正黑体_GBK" w:hAnsi="方正黑体_GBK" w:eastAsia="方正黑体_GBK" w:cs="宋体"/>
                <w:b/>
                <w:sz w:val="18"/>
                <w:szCs w:val="18"/>
              </w:rPr>
              <w:t>K1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3F98731D">
            <w:pPr>
              <w:spacing w:line="200" w:lineRule="exact"/>
            </w:pPr>
            <w:r>
              <w:rPr>
                <w:rFonts w:ascii="方正黑体_GBK" w:hAnsi="方正黑体_GBK" w:eastAsia="方正黑体_GBK" w:cs="宋体"/>
                <w:b/>
                <w:sz w:val="18"/>
                <w:szCs w:val="18"/>
              </w:rPr>
              <w:t>L1份额：申购/赎回确认日和产品实际到期时，当期产品投资的实际资产组合收益（扣除销售费、固定管理费、托管费等相关费用）超过2.425%（年化，即产品该份额对应的业绩报酬计提基准）时，超过部分管理人将按60%收取业绩报酬。</w:t>
            </w:r>
          </w:p>
          <w:p w14:paraId="55476A73">
            <w:pPr>
              <w:spacing w:line="200" w:lineRule="exact"/>
            </w:pPr>
            <w:r>
              <w:rPr>
                <w:rFonts w:ascii="方正黑体_GBK" w:hAnsi="方正黑体_GBK" w:eastAsia="方正黑体_GBK" w:cs="宋体"/>
                <w:b/>
                <w:sz w:val="18"/>
                <w:szCs w:val="18"/>
              </w:rPr>
              <w:t>M1份额：申购/赎回确认日和产品实际到期时，当期产品投资的实际资产组合收益（扣除销售费、固定管理费、托管费等相关费用）超过2.325%（年化，即产品该份额对应的业绩报酬计提基准）时，超过部分管理人将按60%收取业绩报酬。</w:t>
            </w:r>
          </w:p>
          <w:p w14:paraId="51F29268">
            <w:pPr>
              <w:spacing w:line="200" w:lineRule="exact"/>
            </w:pPr>
            <w:r>
              <w:rPr>
                <w:rFonts w:ascii="方正黑体_GBK" w:hAnsi="方正黑体_GBK" w:eastAsia="方正黑体_GBK" w:cs="宋体"/>
                <w:b/>
                <w:sz w:val="18"/>
                <w:szCs w:val="18"/>
              </w:rPr>
              <w:t>N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5A82362B">
            <w:pPr>
              <w:spacing w:line="200" w:lineRule="exact"/>
            </w:pPr>
            <w:r>
              <w:rPr>
                <w:rFonts w:ascii="方正黑体_GBK" w:hAnsi="方正黑体_GBK" w:eastAsia="方正黑体_GBK" w:cs="宋体"/>
                <w:b/>
                <w:sz w:val="18"/>
                <w:szCs w:val="18"/>
              </w:rPr>
              <w:t>O1份额：申购/赎回确认日和产品实际到期时，当期产品投资的实际资产组合收益（扣除销售费、固定管理费、托管费等相关费用）超过2.425%（年化，即产品该份额对应的业绩报酬计提基准）时，超过部分管理人将按60%收取业绩报酬。</w:t>
            </w:r>
          </w:p>
          <w:p w14:paraId="3898636C">
            <w:pPr>
              <w:spacing w:line="200" w:lineRule="exact"/>
            </w:pPr>
            <w:r>
              <w:rPr>
                <w:rFonts w:ascii="方正黑体_GBK" w:hAnsi="方正黑体_GBK" w:eastAsia="方正黑体_GBK" w:cs="宋体"/>
                <w:b/>
                <w:sz w:val="18"/>
                <w:szCs w:val="18"/>
              </w:rPr>
              <w:t>S1份额：申购/赎回确认日和产品实际到期时，当期产品投资的实际资产组合收益（扣除销售费、固定管理费、托管费等相关费用）超过2.475%（年化，即产品该份额对应的业绩报酬计提基准）时，超过部分管理人将按60%收取业绩报酬。</w:t>
            </w:r>
          </w:p>
          <w:p w14:paraId="6916B172">
            <w:pPr>
              <w:spacing w:line="200" w:lineRule="exact"/>
            </w:pPr>
            <w:r>
              <w:rPr>
                <w:rFonts w:ascii="方正黑体_GBK" w:hAnsi="方正黑体_GBK" w:eastAsia="方正黑体_GBK" w:cs="宋体"/>
                <w:b/>
                <w:sz w:val="18"/>
                <w:szCs w:val="18"/>
              </w:rPr>
              <w:t>S2份额：申购/赎回确认日和产品实际到期时，当期产品投资的实际资产组合收益（扣除销售费、固定管理费、托管费等相关费用）超过2.475%（年化，即产品该份额对应的业绩报酬计提基准）时，超过部分管理人将按60%收取业绩报酬。</w:t>
            </w:r>
          </w:p>
          <w:p w14:paraId="5002BD4F">
            <w:pPr>
              <w:spacing w:line="200" w:lineRule="exact"/>
            </w:pPr>
            <w:r>
              <w:rPr>
                <w:rFonts w:ascii="方正黑体_GBK" w:hAnsi="方正黑体_GBK" w:eastAsia="方正黑体_GBK" w:cs="宋体"/>
                <w:b/>
                <w:sz w:val="18"/>
                <w:szCs w:val="18"/>
              </w:rPr>
              <w:t>S3份额：申购/赎回确认日和产品实际到期时，当期产品投资的实际资产组合收益（扣除销售费、固定管理费、托管费等相关费用）超过2.475%（年化，即产品该份额对应的业绩报酬计提基准）时，超过部分管理人将按60%收取业绩报酬。</w:t>
            </w:r>
          </w:p>
          <w:p w14:paraId="5A3D2C62">
            <w:pPr>
              <w:spacing w:line="200" w:lineRule="exact"/>
            </w:pPr>
            <w:r>
              <w:rPr>
                <w:rFonts w:ascii="方正黑体_GBK" w:hAnsi="方正黑体_GBK" w:eastAsia="方正黑体_GBK" w:cs="宋体"/>
                <w:b/>
                <w:sz w:val="18"/>
                <w:szCs w:val="18"/>
              </w:rPr>
              <w:t>S4份额：申购/赎回确认日和产品实际到期时，当期产品投资的实际资产组合收益（扣除销售费、固定管理费、托管费等相关费用）超过2.475%（年化，即产品该份额对应的业绩报酬计提基准）时，超过部分管理人将按60%收取业绩报酬。</w:t>
            </w:r>
          </w:p>
          <w:p w14:paraId="20B3601C">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43EF00BC">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26625CAE">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554615CF">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302FE6A9">
            <w:pPr>
              <w:spacing w:line="200" w:lineRule="exact"/>
            </w:pPr>
            <w:r>
              <w:rPr>
                <w:rFonts w:ascii="方正黑体_GBK" w:hAnsi="方正黑体_GBK" w:eastAsia="方正黑体_GBK" w:cs="宋体"/>
                <w:b/>
                <w:sz w:val="18"/>
                <w:szCs w:val="18"/>
              </w:rPr>
              <w:t>计算本区间业绩报酬的公式如下：</w:t>
            </w:r>
          </w:p>
          <w:p w14:paraId="0D74F0A3">
            <w:pPr>
              <w:spacing w:line="200" w:lineRule="exact"/>
            </w:pPr>
            <w:r>
              <w:rPr>
                <w:rFonts w:ascii="方正黑体_GBK" w:hAnsi="方正黑体_GBK" w:eastAsia="方正黑体_GBK" w:cs="宋体"/>
                <w:b/>
                <w:sz w:val="18"/>
                <w:szCs w:val="18"/>
              </w:rPr>
              <w:t>A={B-C*D*(1+E*F/365)}*G。</w:t>
            </w:r>
          </w:p>
          <w:p w14:paraId="28BBCD91">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110119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BBF4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2E522E6A">
            <w:pPr>
              <w:spacing w:line="200" w:lineRule="exact"/>
              <w:jc w:val="left"/>
            </w:pPr>
            <w:r>
              <w:rPr>
                <w:rFonts w:ascii="方正黑体_GBK" w:hAnsi="方正黑体_GBK" w:eastAsia="方正黑体_GBK" w:cs="宋体"/>
                <w:color w:val="000000"/>
                <w:sz w:val="18"/>
                <w:szCs w:val="18"/>
              </w:rPr>
              <w:t>具体参见本理财产品风险揭示书。</w:t>
            </w:r>
          </w:p>
          <w:p w14:paraId="11930185">
            <w:pPr>
              <w:spacing w:line="200" w:lineRule="exact"/>
              <w:jc w:val="left"/>
            </w:pPr>
            <w:r>
              <w:rPr>
                <w:rFonts w:ascii="方正黑体_GBK" w:hAnsi="方正黑体_GBK" w:eastAsia="方正黑体_GBK"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6276E488">
            <w:pPr>
              <w:spacing w:line="200" w:lineRule="exact"/>
              <w:jc w:val="left"/>
            </w:pPr>
            <w:r>
              <w:rPr>
                <w:rFonts w:ascii="方正黑体_GBK" w:hAnsi="方正黑体_GBK" w:eastAsia="方正黑体_GBK" w:cs="宋体"/>
                <w:color w:val="000000"/>
                <w:sz w:val="18"/>
                <w:szCs w:val="18"/>
              </w:rPr>
              <w:t>一是建仓或进行组合调整时，若投资资产包括债券或基金，可能由于特定债券或基金的流动性相对不足而无法按预期的价格买进（申购）或卖出（赎回）；</w:t>
            </w:r>
          </w:p>
          <w:p w14:paraId="05CDF848">
            <w:pPr>
              <w:spacing w:line="200" w:lineRule="exact"/>
              <w:jc w:val="left"/>
            </w:pPr>
            <w:r>
              <w:rPr>
                <w:rFonts w:ascii="方正黑体_GBK" w:hAnsi="方正黑体_GBK" w:eastAsia="方正黑体_GBK" w:cs="宋体"/>
                <w:color w:val="000000"/>
                <w:sz w:val="18"/>
                <w:szCs w:val="18"/>
              </w:rPr>
              <w:t>二是为应对投资者的赎回，被迫以不适当的价格卖出债券或赎回基金；</w:t>
            </w:r>
          </w:p>
          <w:p w14:paraId="7572D626">
            <w:pPr>
              <w:spacing w:line="200" w:lineRule="exact"/>
              <w:jc w:val="left"/>
            </w:pPr>
            <w:r>
              <w:rPr>
                <w:rFonts w:ascii="方正黑体_GBK" w:hAnsi="方正黑体_GBK" w:eastAsia="方正黑体_GBK" w:cs="宋体"/>
                <w:color w:val="000000"/>
                <w:sz w:val="18"/>
                <w:szCs w:val="18"/>
              </w:rPr>
              <w:t>三是若投资资产包括非标准化债权类资产，可能由于资产缺少流动性而难以变现。</w:t>
            </w:r>
          </w:p>
          <w:p w14:paraId="1744F831">
            <w:pPr>
              <w:spacing w:line="200" w:lineRule="exact"/>
              <w:jc w:val="left"/>
            </w:pPr>
            <w:r>
              <w:rPr>
                <w:rFonts w:ascii="方正黑体_GBK" w:hAnsi="方正黑体_GBK" w:eastAsia="方正黑体_GBK" w:cs="宋体"/>
                <w:color w:val="000000"/>
                <w:sz w:val="18"/>
                <w:szCs w:val="18"/>
              </w:rPr>
              <w:t>以上情形均可能使产品净值受到不利影响。</w:t>
            </w:r>
          </w:p>
        </w:tc>
      </w:tr>
      <w:tr w14:paraId="201640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2FCC9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619B081">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5245DD9E">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5C7CA93D">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286270E0">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340C16CC">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7BBE49AB">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0A0867C0">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0DEE50F2">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5A499C4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7BCA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4905F836">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嘉兴银行股份有限公司、江苏常熟农村商业银行股份有限公司、江苏苏州农村商业银行股份有限公司、秦皇岛银行股份有限公司、齐鲁银行股份有限公司、贵阳银行股份有限公司、云南红塔银行股份有限公司、中原银行股份有限公司、九江银行股份有限公司、天津农村商业银行股份有限公司、江苏紫金农村商业银行股份有限公司、苏州银行股份有限公司、桂林银行股份有限公司、宁波通商银行股份有限公司、石嘴山银行股份有限公司、江苏丹阳农村商业银行股份有限公司、江苏宜兴农村商业银行股份有限公司、江苏靖江农村商业银行股份有限公司、江苏民丰农村商业银行股份有限公司、江苏建湖农村商业银行股份有限公司、江苏南通农村商业银行股份有限公司、江苏扬州农村商业银行股份有限公司、江苏大丰农村商业银行股份有限公司、江苏镇江农村商业银行股份有限公司、徐州农村商业银行股份有限公司、江苏苏商银行股份有限公司、江苏丰县农村商业银行股份有限公司、江苏句容农村商业银行股份有限公司、廊坊银行股份有限公司、乌鲁木齐银行股份有限公司、河北银行股份有限公司、江苏沛县农村商业银行股份有限公司、交通银行股份有限公司、台州银行股份有限公司、江苏仪征农村商业银行股份有限公司、成都银行股份有限公司、广发银行股份有限公司、江苏沭阳农村商业银行股份有限公司、成都农村商业银行股份有限公司。管理人有权调整本理财产品的销售机构并进行信息披露。</w:t>
            </w:r>
          </w:p>
          <w:p w14:paraId="52396684">
            <w:pPr>
              <w:spacing w:line="200" w:lineRule="exact"/>
              <w:jc w:val="left"/>
            </w:pPr>
            <w:r>
              <w:rPr>
                <w:rFonts w:ascii="方正黑体_GBK" w:hAnsi="方正黑体_GBK" w:eastAsia="方正黑体_GBK" w:cs="宋体"/>
                <w:sz w:val="18"/>
                <w:szCs w:val="18"/>
              </w:rPr>
              <w:t>销售机构主要职责如下：</w:t>
            </w:r>
          </w:p>
          <w:p w14:paraId="64B2319F">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4FC4BC9B">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5376993D">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0DE1F62C">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3019E010">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2ABDC1FE">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60008CD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3600F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31B537E">
            <w:pPr>
              <w:spacing w:line="200" w:lineRule="exact"/>
            </w:pPr>
            <w:r>
              <w:rPr>
                <w:rFonts w:ascii="方正黑体_GBK" w:hAnsi="方正黑体_GBK" w:eastAsia="方正黑体_GBK" w:cs="宋体"/>
                <w:sz w:val="18"/>
                <w:szCs w:val="18"/>
              </w:rPr>
              <w:t>本理财产品托管人为南京银行股份有限公司，主要职责如下：</w:t>
            </w:r>
          </w:p>
          <w:p w14:paraId="32403DDE">
            <w:pPr>
              <w:spacing w:line="200" w:lineRule="exact"/>
            </w:pPr>
            <w:r>
              <w:rPr>
                <w:rFonts w:ascii="方正黑体_GBK" w:hAnsi="方正黑体_GBK" w:eastAsia="方正黑体_GBK" w:cs="宋体"/>
                <w:sz w:val="18"/>
                <w:szCs w:val="18"/>
              </w:rPr>
              <w:t>1.安全保管理财产品财产；</w:t>
            </w:r>
          </w:p>
          <w:p w14:paraId="3CA3521B">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2ABD8963">
            <w:pPr>
              <w:spacing w:line="200" w:lineRule="exact"/>
            </w:pPr>
            <w:r>
              <w:rPr>
                <w:rFonts w:ascii="方正黑体_GBK" w:hAnsi="方正黑体_GBK" w:eastAsia="方正黑体_GBK" w:cs="宋体"/>
                <w:sz w:val="18"/>
                <w:szCs w:val="18"/>
              </w:rPr>
              <w:t>3.按照托管协议约定和管理人的投资指令，及时办理清算、交割事宜；</w:t>
            </w:r>
          </w:p>
          <w:p w14:paraId="55A90E98">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2A8BFF0E">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3266427E">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1DCAEFF1">
            <w:pPr>
              <w:spacing w:line="200" w:lineRule="exact"/>
            </w:pPr>
            <w:r>
              <w:rPr>
                <w:rFonts w:ascii="方正黑体_GBK" w:hAnsi="方正黑体_GBK" w:eastAsia="方正黑体_GBK" w:cs="宋体"/>
                <w:sz w:val="18"/>
                <w:szCs w:val="18"/>
              </w:rPr>
              <w:t>7.理财托管业务活动的记录、账册、报表和其他相关资料保存20年以上；</w:t>
            </w:r>
          </w:p>
          <w:p w14:paraId="22D97E53">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411A9ECB">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0BEE846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E8D9D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48FCA5A7">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广东粤财信托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重庆国际信托股份有限公司，上述投资合作机构主要职责对应如下，具体职责以管理人与投资合作机构签署的合同为准。</w:t>
            </w:r>
          </w:p>
          <w:p w14:paraId="7E9286EA">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广东粤财信托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重庆国际信托股份有限公司。</w:t>
            </w:r>
          </w:p>
          <w:p w14:paraId="48694A14">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57489793">
            <w:pPr>
              <w:spacing w:line="200" w:lineRule="exact"/>
            </w:pPr>
            <w:r>
              <w:rPr>
                <w:rFonts w:ascii="方正黑体_GBK" w:hAnsi="方正黑体_GBK" w:eastAsia="方正黑体_GBK" w:cs="宋体"/>
                <w:sz w:val="18"/>
                <w:szCs w:val="18"/>
              </w:rPr>
              <w:t>上述投资合作机构简介：</w:t>
            </w:r>
          </w:p>
          <w:p w14:paraId="16FDDFB6">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3BC72E39">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753D8FBE">
            <w:pPr>
              <w:spacing w:line="200" w:lineRule="exact"/>
            </w:pPr>
            <w:r>
              <w:rPr>
                <w:rFonts w:ascii="方正黑体_GBK" w:hAnsi="方正黑体_GBK" w:eastAsia="方正黑体_GBK" w:cs="宋体"/>
                <w:sz w:val="18"/>
                <w:szCs w:val="18"/>
              </w:rPr>
              <w:t>广东粤财信托有限公司成立于1985年03月07日，注册资本金380000万元。</w:t>
            </w:r>
          </w:p>
          <w:p w14:paraId="0945D6BC">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75BC01B3">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4AF20D52">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49A355E1">
            <w:pPr>
              <w:spacing w:line="200" w:lineRule="exact"/>
            </w:pPr>
            <w:r>
              <w:rPr>
                <w:rFonts w:ascii="方正黑体_GBK" w:hAnsi="方正黑体_GBK" w:eastAsia="方正黑体_GBK" w:cs="宋体"/>
                <w:sz w:val="18"/>
                <w:szCs w:val="18"/>
              </w:rPr>
              <w:t>华鑫国际信托有限公司成立于1984年06月01日，注册资本金73.95亿元。</w:t>
            </w:r>
          </w:p>
          <w:p w14:paraId="68460F64">
            <w:pPr>
              <w:spacing w:line="200" w:lineRule="exact"/>
            </w:pPr>
            <w:r>
              <w:rPr>
                <w:rFonts w:ascii="方正黑体_GBK" w:hAnsi="方正黑体_GBK" w:eastAsia="方正黑体_GBK" w:cs="宋体"/>
                <w:sz w:val="18"/>
                <w:szCs w:val="18"/>
              </w:rPr>
              <w:t>建信保险资产管理有限公司成立于2016年04月27日，注册资本金3亿元。</w:t>
            </w:r>
          </w:p>
          <w:p w14:paraId="74B05213">
            <w:pPr>
              <w:spacing w:line="200" w:lineRule="exact"/>
            </w:pPr>
            <w:r>
              <w:rPr>
                <w:rFonts w:ascii="方正黑体_GBK" w:hAnsi="方正黑体_GBK" w:eastAsia="方正黑体_GBK" w:cs="宋体"/>
                <w:sz w:val="18"/>
                <w:szCs w:val="18"/>
              </w:rPr>
              <w:t>泰康资产管理有限责任公司成立于2006年02月21日，注册资本金10亿元。</w:t>
            </w:r>
          </w:p>
          <w:p w14:paraId="7AEBEEB8">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32FE8F4E">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3E3781A3">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45C8BA71">
            <w:pPr>
              <w:spacing w:line="200" w:lineRule="exact"/>
            </w:pPr>
            <w:r>
              <w:rPr>
                <w:rFonts w:ascii="方正黑体_GBK" w:hAnsi="方正黑体_GBK" w:eastAsia="方正黑体_GBK" w:cs="宋体"/>
                <w:sz w:val="18"/>
                <w:szCs w:val="18"/>
              </w:rPr>
              <w:t>中粮信托有限责任公司成立于2009年07月27日，注册资本金28.3亿元。</w:t>
            </w:r>
          </w:p>
          <w:p w14:paraId="37F0F061">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385B78A8">
            <w:pPr>
              <w:spacing w:line="200" w:lineRule="exact"/>
            </w:pPr>
            <w:r>
              <w:rPr>
                <w:rFonts w:ascii="方正黑体_GBK" w:hAnsi="方正黑体_GBK" w:eastAsia="方正黑体_GBK" w:cs="宋体"/>
                <w:sz w:val="18"/>
                <w:szCs w:val="18"/>
              </w:rPr>
              <w:t>重庆国际信托股份有限公司成立于1984年10月22日，注册资本金150亿元。</w:t>
            </w:r>
          </w:p>
        </w:tc>
      </w:tr>
      <w:tr w14:paraId="68A4464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C4A02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7EFDF26A">
            <w:pPr>
              <w:spacing w:line="200" w:lineRule="exact"/>
              <w:jc w:val="left"/>
            </w:pPr>
            <w:r>
              <w:rPr>
                <w:rFonts w:ascii="方正黑体_GBK" w:hAnsi="方正黑体_GBK" w:eastAsia="方正黑体_GBK" w:cs="宋体"/>
                <w:color w:val="000000"/>
                <w:sz w:val="18"/>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14:paraId="4A6B5321">
            <w:pPr>
              <w:spacing w:line="200" w:lineRule="exact"/>
              <w:jc w:val="left"/>
            </w:pPr>
            <w:r>
              <w:rPr>
                <w:rFonts w:ascii="方正黑体_GBK" w:hAnsi="方正黑体_GBK" w:eastAsia="方正黑体_GBK" w:cs="宋体"/>
                <w:color w:val="000000"/>
                <w:sz w:val="18"/>
                <w:szCs w:val="18"/>
              </w:rPr>
              <w:t>1.接受全额赎回：当管理人认为有能力兑付投资者的全部赎回申请时，将在赎回确认日按正常赎回程序执行；</w:t>
            </w:r>
          </w:p>
          <w:p w14:paraId="0D461B48">
            <w:pPr>
              <w:spacing w:line="200" w:lineRule="exact"/>
              <w:jc w:val="left"/>
            </w:pPr>
            <w:r>
              <w:rPr>
                <w:rFonts w:ascii="方正黑体_GBK" w:hAnsi="方正黑体_GBK" w:eastAsia="方正黑体_GBK" w:cs="宋体"/>
                <w:color w:val="000000"/>
                <w:sz w:val="18"/>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14:paraId="47B460AF">
            <w:pPr>
              <w:spacing w:line="200" w:lineRule="exact"/>
              <w:jc w:val="left"/>
            </w:pPr>
            <w:r>
              <w:rPr>
                <w:rFonts w:ascii="方正黑体_GBK" w:hAnsi="方正黑体_GBK" w:eastAsia="方正黑体_GBK" w:cs="宋体"/>
                <w:color w:val="000000"/>
                <w:sz w:val="18"/>
                <w:szCs w:val="18"/>
              </w:rPr>
              <w:t>（1）对于接受赎回申请的部分，管理人将按单个投资者的赎回申请份额占当日所有投资者的净赎回申请总份额的比例，确认该投资者当日办理的赎回申请份额。</w:t>
            </w:r>
          </w:p>
          <w:p w14:paraId="4F54BD1F">
            <w:pPr>
              <w:spacing w:line="200" w:lineRule="exact"/>
              <w:jc w:val="left"/>
            </w:pPr>
            <w:r>
              <w:rPr>
                <w:rFonts w:ascii="方正黑体_GBK" w:hAnsi="方正黑体_GBK" w:eastAsia="方正黑体_GBK" w:cs="宋体"/>
                <w:color w:val="000000"/>
                <w:sz w:val="18"/>
                <w:szCs w:val="18"/>
              </w:rPr>
              <w:t>（2）对于暂停接受的部分，管理人将拒绝该部分赎回申请，投资者可在下一个产品开放日再次发起赎回申请。</w:t>
            </w:r>
          </w:p>
          <w:p w14:paraId="0CAB54B7">
            <w:pPr>
              <w:spacing w:line="200" w:lineRule="exact"/>
              <w:jc w:val="left"/>
            </w:pPr>
            <w:r>
              <w:rPr>
                <w:rFonts w:ascii="方正黑体_GBK" w:hAnsi="方正黑体_GBK" w:eastAsia="方正黑体_GBK" w:cs="宋体"/>
                <w:color w:val="000000"/>
                <w:sz w:val="18"/>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14:paraId="1D79191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70F2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连续巨额赎回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580F5FF9">
            <w:pPr>
              <w:spacing w:line="200" w:lineRule="exact"/>
            </w:pPr>
            <w:r>
              <w:rPr>
                <w:rFonts w:ascii="方正黑体_GBK" w:hAnsi="方正黑体_GBK" w:eastAsia="方正黑体_GBK" w:cs="宋体"/>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14:paraId="7648111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D71D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暂停接受认申购</w:t>
            </w:r>
          </w:p>
        </w:tc>
        <w:tc>
          <w:tcPr>
            <w:tcW w:w="5543" w:type="dxa"/>
            <w:tcBorders>
              <w:top w:val="single" w:color="auto" w:sz="4" w:space="0"/>
              <w:left w:val="nil"/>
              <w:bottom w:val="single" w:color="auto" w:sz="4" w:space="0"/>
              <w:right w:val="single" w:color="auto" w:sz="4" w:space="0"/>
              <w:tl2br w:val="nil"/>
              <w:tr2bl w:val="nil"/>
            </w:tcBorders>
            <w:vAlign w:val="center"/>
          </w:tcPr>
          <w:p w14:paraId="11DD15C3">
            <w:pPr>
              <w:spacing w:line="200" w:lineRule="exact"/>
            </w:pPr>
            <w:r>
              <w:rPr>
                <w:rFonts w:ascii="方正黑体_GBK" w:hAnsi="方正黑体_GBK" w:eastAsia="方正黑体_GBK" w:cs="宋体"/>
                <w:sz w:val="18"/>
                <w:szCs w:val="18"/>
              </w:rPr>
              <w:t>发生下列情形时，管理人可暂停接受认申购申请：</w:t>
            </w:r>
          </w:p>
          <w:p w14:paraId="53F2811A">
            <w:pPr>
              <w:spacing w:line="200" w:lineRule="exact"/>
            </w:pPr>
            <w:r>
              <w:rPr>
                <w:rFonts w:ascii="方正黑体_GBK" w:hAnsi="方正黑体_GBK" w:eastAsia="方正黑体_GBK" w:cs="宋体"/>
                <w:sz w:val="18"/>
                <w:szCs w:val="18"/>
              </w:rPr>
              <w:t>1.因不可抗力导致理财产品无法正常运作；</w:t>
            </w:r>
          </w:p>
          <w:p w14:paraId="6717AFE8">
            <w:pPr>
              <w:spacing w:line="200" w:lineRule="exact"/>
            </w:pPr>
            <w:r>
              <w:rPr>
                <w:rFonts w:ascii="方正黑体_GBK" w:hAnsi="方正黑体_GBK" w:eastAsia="方正黑体_GBK" w:cs="宋体"/>
                <w:sz w:val="18"/>
                <w:szCs w:val="18"/>
              </w:rPr>
              <w:t>2.因监管政策、市场发生重大变化，导致理财产品无法正常运作；</w:t>
            </w:r>
          </w:p>
          <w:p w14:paraId="781458D9">
            <w:pPr>
              <w:spacing w:line="200" w:lineRule="exact"/>
            </w:pPr>
            <w:r>
              <w:rPr>
                <w:rFonts w:ascii="方正黑体_GBK" w:hAnsi="方正黑体_GBK" w:eastAsia="方正黑体_GBK" w:cs="宋体"/>
                <w:sz w:val="18"/>
                <w:szCs w:val="18"/>
              </w:rPr>
              <w:t>3.管理人认为需要暂停认申购的其他情形。</w:t>
            </w:r>
          </w:p>
          <w:p w14:paraId="14EB5015">
            <w:pPr>
              <w:spacing w:line="200" w:lineRule="exact"/>
            </w:pPr>
            <w:r>
              <w:rPr>
                <w:rFonts w:ascii="方正黑体_GBK" w:hAnsi="方正黑体_GBK" w:eastAsia="方正黑体_GBK" w:cs="宋体"/>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14:paraId="2D866FC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3241B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暂停接受赎回</w:t>
            </w:r>
          </w:p>
        </w:tc>
        <w:tc>
          <w:tcPr>
            <w:tcW w:w="5543" w:type="dxa"/>
            <w:tcBorders>
              <w:top w:val="single" w:color="auto" w:sz="4" w:space="0"/>
              <w:left w:val="nil"/>
              <w:bottom w:val="single" w:color="auto" w:sz="4" w:space="0"/>
              <w:right w:val="single" w:color="auto" w:sz="4" w:space="0"/>
              <w:tl2br w:val="nil"/>
              <w:tr2bl w:val="nil"/>
            </w:tcBorders>
            <w:vAlign w:val="center"/>
          </w:tcPr>
          <w:p w14:paraId="34ED25BC">
            <w:pPr>
              <w:spacing w:line="200" w:lineRule="exact"/>
            </w:pPr>
            <w:r>
              <w:rPr>
                <w:rFonts w:ascii="方正黑体_GBK" w:hAnsi="方正黑体_GBK" w:eastAsia="方正黑体_GBK" w:cs="宋体"/>
                <w:sz w:val="18"/>
                <w:szCs w:val="18"/>
              </w:rPr>
              <w:t>当本理财产品的当期赎回量超过上期理财产品规模的20%时，管理人有权暂停接受投资者的赎回申请，已经接受的赎回申请管理人有权延缓支付赎回款项，延缓期限不超过20个工作日。</w:t>
            </w:r>
          </w:p>
          <w:p w14:paraId="753385FA">
            <w:pPr>
              <w:spacing w:line="200" w:lineRule="exact"/>
            </w:pPr>
            <w:r>
              <w:rPr>
                <w:rFonts w:ascii="方正黑体_GBK" w:hAnsi="方正黑体_GBK" w:eastAsia="方正黑体_GBK" w:cs="宋体"/>
                <w:b/>
                <w:sz w:val="18"/>
                <w:szCs w:val="18"/>
              </w:rPr>
              <w:t>如发生以上暂停的情况，管理人将在3个交易日内告知投资者，并说明运用相关措施的原因、拟采取的应对安排等，投资者需重新进行资金安排。</w:t>
            </w:r>
          </w:p>
        </w:tc>
      </w:tr>
      <w:tr w14:paraId="4BDA08B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1B5CC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66A904DD">
            <w:pPr>
              <w:spacing w:line="200" w:lineRule="exact"/>
              <w:jc w:val="left"/>
            </w:pPr>
            <w:r>
              <w:rPr>
                <w:rFonts w:ascii="方正黑体_GBK" w:hAnsi="方正黑体_GBK" w:eastAsia="方正黑体_GBK" w:cs="宋体"/>
                <w:sz w:val="18"/>
                <w:szCs w:val="18"/>
              </w:rPr>
              <w:t>1.本理财产品开放日内非操作时间不能进行申购/赎回申请，封闭期内不开放申购/赎回申请。</w:t>
            </w:r>
          </w:p>
          <w:p w14:paraId="6BEDD5A9">
            <w:pPr>
              <w:spacing w:line="200" w:lineRule="exact"/>
              <w:jc w:val="left"/>
            </w:pPr>
            <w:r>
              <w:rPr>
                <w:rFonts w:ascii="方正黑体_GBK" w:hAnsi="方正黑体_GBK" w:eastAsia="方正黑体_GBK" w:cs="宋体"/>
                <w:sz w:val="18"/>
                <w:szCs w:val="18"/>
              </w:rPr>
              <w:t>2.管理人在本理财产品存续期间按照监管规定进行信息披露，详见本理财产品说明书第五条信息披露。</w:t>
            </w:r>
          </w:p>
          <w:p w14:paraId="3E469861">
            <w:pPr>
              <w:spacing w:line="200" w:lineRule="exact"/>
              <w:jc w:val="left"/>
            </w:pPr>
            <w:r>
              <w:rPr>
                <w:rFonts w:ascii="方正黑体_GBK" w:hAnsi="方正黑体_GBK" w:eastAsia="方正黑体_GBK" w:cs="宋体"/>
                <w:b/>
                <w:sz w:val="18"/>
                <w:szCs w:val="18"/>
              </w:rPr>
              <w:t>3.本理财产品投资的资产管理产品的业绩报酬、赎回费等的提取（如有）可能造成本理财产品净值的下降。</w:t>
            </w:r>
          </w:p>
          <w:p w14:paraId="608E42C0">
            <w:pPr>
              <w:spacing w:line="200" w:lineRule="exact"/>
            </w:pPr>
            <w:r>
              <w:rPr>
                <w:rFonts w:ascii="方正黑体_GBK" w:hAnsi="方正黑体_GBK" w:eastAsia="方正黑体_GBK" w:cs="宋体"/>
                <w:b/>
                <w:sz w:val="18"/>
                <w:szCs w:val="18"/>
              </w:rPr>
              <w:t>4.本理财产品可能投资不存在活跃交易市场且需要采用估值技术确定公允价值的资产，且计划投资前述资产的比例达到本理财产品净资产50%以上（“以上”含本数）。</w:t>
            </w:r>
          </w:p>
        </w:tc>
      </w:tr>
      <w:tr w14:paraId="0B6AD0F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87A0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15BE795D">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480A0A32">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5551895D">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3680BBC3">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5FFE000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41F6C87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59D8B906">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7968309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79E64FF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4CE4FBC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4DB8E4D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1B4B743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3AEE265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1FC3F05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7AA754C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5647A35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59150EE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0F8E3DA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497DC73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35C88B0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53C54D5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7C1F85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6F1C434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0B26293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739E76E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174644A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6E89008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15D228B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72C2A8E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0731B66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4C3214F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4584232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0DC1671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7AFDABEC">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南银理财珠联璧合安稳1909一年定开公募人民币理财产品</w:t>
      </w:r>
      <w:r>
        <w:rPr>
          <w:rFonts w:hint="eastAsia" w:ascii="方正黑体_GBK" w:hAnsi="方正黑体_GBK" w:eastAsia="方正黑体_GBK"/>
          <w:vanish w:val="0"/>
          <w:color w:val="3D3D3D"/>
          <w:kern w:val="0"/>
          <w:sz w:val="15"/>
          <w:szCs w:val="15"/>
        </w:rPr>
        <w:t>。</w:t>
      </w:r>
    </w:p>
    <w:p w14:paraId="2912AC3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761D0FF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0C0B56F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720FB82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6E669F43">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327B89F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0043CB3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1A21609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49A7827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1C22ACA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644D59D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36DBF1F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6519930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265BB0B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649399A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41F0686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473B55C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65BEB4C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76CFE1D5">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7B53019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7A2D163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1F63FA2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2CEC64F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5953D27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019C0F1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0831AF95">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67C37E15">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70DE42CF">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2C3E04E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734E3463">
      <w:pPr>
        <w:spacing w:line="200" w:lineRule="exact"/>
        <w:ind w:firstLine="280"/>
        <w:jc w:val="left"/>
      </w:pPr>
      <w:r>
        <w:rPr>
          <w:rFonts w:ascii="方正黑体_GBK" w:hAnsi="方正黑体_GBK" w:eastAsia="方正黑体_GBK" w:cs="宋体"/>
          <w:sz w:val="15"/>
          <w:szCs w:val="20"/>
        </w:rPr>
        <w:t>假设：投资者认购本理财产品10万元，成立日当日产品净值为1.0000元，折算份额100,000份。</w:t>
      </w:r>
    </w:p>
    <w:p w14:paraId="6E978D3C">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情景示例一：产品实际到期日，扣除所有税费后（如有业绩报酬，已扣除）的赎回确认每份额净值为1.0300，则客户在资金到帐日收到到期款项为103,000元。</w:t>
      </w:r>
    </w:p>
    <w:p w14:paraId="471F9DDD">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情景示例二：产品实际到期日，扣除所有税费后（如有业绩报酬，已扣除）的赎回确认每份额净值为0.9700，则客户在资金到帐日收到到期款项为97,000元。</w:t>
      </w:r>
    </w:p>
    <w:p w14:paraId="78B35CF7">
      <w:pPr>
        <w:spacing w:line="200" w:lineRule="exact"/>
      </w:pPr>
      <w:r>
        <w:rPr>
          <w:rFonts w:ascii="方正黑体_GBK" w:hAnsi="方正黑体_GBK" w:eastAsia="方正黑体_GBK" w:cs="宋体"/>
          <w:sz w:val="15"/>
          <w:szCs w:val="20"/>
        </w:rPr>
        <w:t xml:space="preserve"> 以上数据为假设情形中的模拟数据，不代表实际收益，投资需谨慎。</w:t>
      </w:r>
    </w:p>
    <w:p w14:paraId="23F3852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55F2B3F1">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7D34CDF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2CCBBD12">
      <w:pPr>
        <w:spacing w:line="200" w:lineRule="exact"/>
        <w:ind w:firstLine="300"/>
        <w:jc w:val="both"/>
      </w:pPr>
      <w:r>
        <w:rPr>
          <w:rFonts w:ascii="方正黑体_GBK" w:hAnsi="方正黑体_GBK" w:eastAsia="方正黑体_GBK" w:cs="宋体"/>
          <w:sz w:val="15"/>
          <w:szCs w:val="20"/>
        </w:rPr>
        <w:t>（一）估值日</w:t>
      </w:r>
    </w:p>
    <w:p w14:paraId="18555C61">
      <w:pPr>
        <w:spacing w:line="200" w:lineRule="exact"/>
        <w:ind w:firstLine="300"/>
        <w:jc w:val="both"/>
      </w:pPr>
      <w:r>
        <w:rPr>
          <w:rFonts w:ascii="方正黑体_GBK" w:hAnsi="方正黑体_GBK" w:eastAsia="方正黑体_GBK" w:cs="宋体"/>
          <w:sz w:val="15"/>
          <w:szCs w:val="20"/>
        </w:rPr>
        <w:t>本理财产品每个工作日进行估值。</w:t>
      </w:r>
    </w:p>
    <w:p w14:paraId="60D02F1C">
      <w:pPr>
        <w:spacing w:line="200" w:lineRule="exact"/>
        <w:ind w:firstLine="300"/>
        <w:jc w:val="both"/>
      </w:pPr>
      <w:r>
        <w:rPr>
          <w:rFonts w:ascii="方正黑体_GBK" w:hAnsi="方正黑体_GBK" w:eastAsia="方正黑体_GBK" w:cs="宋体"/>
          <w:sz w:val="15"/>
          <w:szCs w:val="20"/>
        </w:rPr>
        <w:t>（二）估值对象</w:t>
      </w:r>
    </w:p>
    <w:p w14:paraId="1EAC69D1">
      <w:pPr>
        <w:spacing w:line="200" w:lineRule="exact"/>
        <w:ind w:firstLine="300"/>
        <w:jc w:val="both"/>
      </w:pPr>
      <w:r>
        <w:rPr>
          <w:rFonts w:ascii="方正黑体_GBK" w:hAnsi="方正黑体_GBK" w:eastAsia="方正黑体_GBK" w:cs="宋体"/>
          <w:sz w:val="15"/>
          <w:szCs w:val="20"/>
        </w:rPr>
        <w:t>本理财产品所拥有的所有资产及负债。</w:t>
      </w:r>
    </w:p>
    <w:p w14:paraId="0BD9CD33">
      <w:pPr>
        <w:spacing w:line="200" w:lineRule="exact"/>
        <w:ind w:firstLine="300"/>
        <w:jc w:val="both"/>
      </w:pPr>
      <w:r>
        <w:rPr>
          <w:rFonts w:ascii="方正黑体_GBK" w:hAnsi="方正黑体_GBK" w:eastAsia="方正黑体_GBK" w:cs="宋体"/>
          <w:sz w:val="15"/>
          <w:szCs w:val="20"/>
        </w:rPr>
        <w:t>（三）估值目的</w:t>
      </w:r>
    </w:p>
    <w:p w14:paraId="6816FC2A">
      <w:pPr>
        <w:spacing w:line="200" w:lineRule="exact"/>
        <w:ind w:firstLine="300"/>
        <w:jc w:val="both"/>
      </w:pPr>
      <w:r>
        <w:rPr>
          <w:rFonts w:ascii="方正黑体_GBK" w:hAnsi="方正黑体_GBK" w:eastAsia="方正黑体_GBK" w:cs="宋体"/>
          <w:sz w:val="15"/>
          <w:szCs w:val="20"/>
        </w:rPr>
        <w:t>客观、准确反映理财产品的价值。</w:t>
      </w:r>
    </w:p>
    <w:p w14:paraId="36EFAEC6">
      <w:pPr>
        <w:spacing w:line="200" w:lineRule="exact"/>
        <w:ind w:firstLine="300"/>
        <w:jc w:val="both"/>
      </w:pPr>
      <w:r>
        <w:rPr>
          <w:rFonts w:ascii="方正黑体_GBK" w:hAnsi="方正黑体_GBK" w:eastAsia="方正黑体_GBK" w:cs="宋体"/>
          <w:sz w:val="15"/>
          <w:szCs w:val="20"/>
        </w:rPr>
        <w:t>（四）估值原则</w:t>
      </w:r>
    </w:p>
    <w:p w14:paraId="1770D98A">
      <w:pPr>
        <w:spacing w:line="200" w:lineRule="exact"/>
        <w:ind w:firstLine="300"/>
        <w:jc w:val="both"/>
      </w:pPr>
      <w:r>
        <w:rPr>
          <w:rFonts w:ascii="方正黑体_GBK" w:hAnsi="方正黑体_GBK" w:eastAsia="方正黑体_GBK" w:cs="宋体"/>
          <w:sz w:val="15"/>
          <w:szCs w:val="20"/>
        </w:rPr>
        <w:t>理财产品应坚持公允价值计量原则，符合会计准则和监管规定的范围内的可选择摊余成本法计量。</w:t>
      </w:r>
    </w:p>
    <w:p w14:paraId="2CAAC454">
      <w:pPr>
        <w:spacing w:line="200" w:lineRule="exact"/>
        <w:ind w:firstLine="300"/>
        <w:jc w:val="both"/>
      </w:pPr>
      <w:r>
        <w:rPr>
          <w:rFonts w:ascii="方正黑体_GBK" w:hAnsi="方正黑体_GBK" w:eastAsia="方正黑体_GBK" w:cs="宋体"/>
          <w:sz w:val="15"/>
          <w:szCs w:val="20"/>
        </w:rPr>
        <w:t>（五）估值方法</w:t>
      </w:r>
    </w:p>
    <w:p w14:paraId="5475C77A">
      <w:pPr>
        <w:spacing w:line="200" w:lineRule="exact"/>
        <w:ind w:firstLine="280"/>
        <w:jc w:val="left"/>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77158E87">
      <w:pPr>
        <w:spacing w:line="200" w:lineRule="exact"/>
        <w:ind w:firstLine="280"/>
        <w:jc w:val="left"/>
      </w:pPr>
      <w:r>
        <w:rPr>
          <w:rFonts w:ascii="方正黑体_GBK" w:hAnsi="方正黑体_GBK" w:eastAsia="方正黑体_GBK" w:cs="宋体"/>
          <w:sz w:val="15"/>
          <w:szCs w:val="20"/>
        </w:rPr>
        <w:t>1.银行存款、回购等货币市场工具</w:t>
      </w:r>
    </w:p>
    <w:p w14:paraId="024A2F42">
      <w:pPr>
        <w:spacing w:line="200" w:lineRule="exact"/>
        <w:ind w:firstLine="280"/>
        <w:jc w:val="left"/>
      </w:pPr>
      <w:r>
        <w:rPr>
          <w:rFonts w:ascii="方正黑体_GBK" w:hAnsi="方正黑体_GBK" w:eastAsia="方正黑体_GBK" w:cs="宋体"/>
          <w:sz w:val="15"/>
          <w:szCs w:val="20"/>
        </w:rPr>
        <w:t>以本金列示，按商定的利率在实际持有期间内逐日计提。</w:t>
      </w:r>
    </w:p>
    <w:p w14:paraId="26895BB4">
      <w:pPr>
        <w:spacing w:line="200" w:lineRule="exact"/>
        <w:ind w:firstLine="280"/>
        <w:jc w:val="left"/>
      </w:pPr>
      <w:r>
        <w:rPr>
          <w:rFonts w:ascii="方正黑体_GBK" w:hAnsi="方正黑体_GBK" w:eastAsia="方正黑体_GBK" w:cs="宋体"/>
          <w:color w:val="3D3D3D"/>
          <w:sz w:val="15"/>
          <w:szCs w:val="20"/>
        </w:rPr>
        <w:t>2.债券类资产</w:t>
      </w:r>
    </w:p>
    <w:p w14:paraId="4590F652">
      <w:pPr>
        <w:spacing w:line="200" w:lineRule="exact"/>
        <w:ind w:firstLine="280"/>
        <w:jc w:val="left"/>
      </w:pPr>
      <w:r>
        <w:rPr>
          <w:rFonts w:ascii="方正黑体_GBK" w:hAnsi="方正黑体_GBK" w:eastAsia="方正黑体_GBK"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以摊余成本计量的金融资产”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14:paraId="51A75625">
      <w:pPr>
        <w:spacing w:line="200" w:lineRule="exact"/>
        <w:ind w:firstLine="280"/>
        <w:jc w:val="left"/>
      </w:pPr>
      <w:r>
        <w:rPr>
          <w:rFonts w:ascii="方正黑体_GBK" w:hAnsi="方正黑体_GBK" w:eastAsia="方正黑体_GBK" w:cs="宋体"/>
          <w:color w:val="3D3D3D"/>
          <w:sz w:val="15"/>
          <w:szCs w:val="20"/>
        </w:rPr>
        <w:t>3.非标准化债权类资产</w:t>
      </w:r>
    </w:p>
    <w:p w14:paraId="5487C2BF">
      <w:pPr>
        <w:spacing w:line="200" w:lineRule="exact"/>
        <w:ind w:firstLine="280"/>
        <w:jc w:val="left"/>
      </w:pPr>
      <w:r>
        <w:rPr>
          <w:rFonts w:ascii="方正黑体_GBK" w:hAnsi="方正黑体_GBK" w:eastAsia="方正黑体_GBK" w:cs="宋体"/>
          <w:color w:val="3D3D3D"/>
          <w:sz w:val="15"/>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以摊余成本计量的金融资产”的资产按摊余成本法估值，并按照会计准则采用合理减值计量模型或第三方减值计量结果进行预期信用损失的减值计提。</w:t>
      </w:r>
    </w:p>
    <w:p w14:paraId="6D2A017B">
      <w:pPr>
        <w:spacing w:line="200" w:lineRule="exact"/>
        <w:ind w:firstLine="280"/>
        <w:jc w:val="left"/>
      </w:pPr>
      <w:r>
        <w:rPr>
          <w:rFonts w:ascii="方正黑体_GBK" w:hAnsi="方正黑体_GBK" w:eastAsia="方正黑体_GBK" w:cs="宋体"/>
          <w:color w:val="3D3D3D"/>
          <w:sz w:val="15"/>
          <w:szCs w:val="20"/>
        </w:rPr>
        <w:t>4.证券投资基金</w:t>
      </w:r>
    </w:p>
    <w:p w14:paraId="4DE4C3DE">
      <w:pPr>
        <w:spacing w:line="200" w:lineRule="exact"/>
        <w:ind w:firstLine="280"/>
        <w:jc w:val="left"/>
      </w:pPr>
      <w:r>
        <w:rPr>
          <w:rFonts w:ascii="方正黑体_GBK" w:hAnsi="方正黑体_GBK" w:eastAsia="方正黑体_GBK"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14:paraId="233E4590">
      <w:pPr>
        <w:spacing w:line="200" w:lineRule="exact"/>
        <w:ind w:firstLine="280"/>
        <w:jc w:val="left"/>
      </w:pPr>
      <w:r>
        <w:rPr>
          <w:rFonts w:ascii="方正黑体_GBK" w:hAnsi="方正黑体_GBK" w:eastAsia="方正黑体_GBK" w:cs="宋体"/>
          <w:color w:val="3D3D3D"/>
          <w:sz w:val="15"/>
          <w:szCs w:val="20"/>
        </w:rPr>
        <w:t>5.股权类资产</w:t>
      </w:r>
    </w:p>
    <w:p w14:paraId="00BEFF5B">
      <w:pPr>
        <w:spacing w:line="200" w:lineRule="exact"/>
        <w:ind w:firstLine="280"/>
        <w:jc w:val="left"/>
      </w:pPr>
      <w:r>
        <w:rPr>
          <w:rFonts w:ascii="方正黑体_GBK" w:hAnsi="方正黑体_GBK" w:eastAsia="方正黑体_GBK"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14:paraId="1E7815C7">
      <w:pPr>
        <w:spacing w:line="200" w:lineRule="exact"/>
        <w:ind w:firstLine="280"/>
        <w:jc w:val="left"/>
      </w:pPr>
      <w:r>
        <w:rPr>
          <w:rFonts w:ascii="方正黑体_GBK" w:hAnsi="方正黑体_GBK" w:eastAsia="方正黑体_GBK" w:cs="宋体"/>
          <w:color w:val="3D3D3D"/>
          <w:sz w:val="15"/>
          <w:szCs w:val="20"/>
        </w:rPr>
        <w:t>6.资管计划、信托计划等资产</w:t>
      </w:r>
    </w:p>
    <w:p w14:paraId="207D9A97">
      <w:pPr>
        <w:spacing w:line="200" w:lineRule="exact"/>
        <w:ind w:firstLine="280"/>
        <w:jc w:val="left"/>
      </w:pPr>
      <w:r>
        <w:rPr>
          <w:rFonts w:ascii="方正黑体_GBK" w:hAnsi="方正黑体_GBK" w:eastAsia="方正黑体_GBK" w:cs="宋体"/>
          <w:color w:val="3D3D3D"/>
          <w:sz w:val="15"/>
          <w:szCs w:val="20"/>
        </w:rPr>
        <w:t>存在公允价值的，按照公允价值估值，或采用估值技术确定估值，也可采用被委托机构提供的估值或计量报告。</w:t>
      </w:r>
    </w:p>
    <w:p w14:paraId="187AFC30">
      <w:pPr>
        <w:spacing w:line="200" w:lineRule="exact"/>
        <w:ind w:firstLine="280"/>
        <w:jc w:val="left"/>
      </w:pPr>
      <w:r>
        <w:rPr>
          <w:rFonts w:ascii="方正黑体_GBK" w:hAnsi="方正黑体_GBK" w:eastAsia="方正黑体_GBK" w:cs="宋体"/>
          <w:color w:val="3D3D3D"/>
          <w:sz w:val="15"/>
          <w:szCs w:val="20"/>
        </w:rPr>
        <w:t>7.其他资产</w:t>
      </w:r>
    </w:p>
    <w:p w14:paraId="26FC1C5D">
      <w:pPr>
        <w:spacing w:line="200" w:lineRule="exact"/>
        <w:ind w:firstLine="280"/>
        <w:jc w:val="left"/>
      </w:pPr>
      <w:r>
        <w:rPr>
          <w:rFonts w:ascii="方正黑体_GBK" w:hAnsi="方正黑体_GBK" w:eastAsia="方正黑体_GBK" w:cs="宋体"/>
          <w:color w:val="3D3D3D"/>
          <w:sz w:val="15"/>
          <w:szCs w:val="20"/>
        </w:rPr>
        <w:t>存在公允价值的，按照公允价值估值，或采用估值技术确定估值，也可采用被委托机构提供的估值或计量报告。具体可参考《企业会计准则》以及相关监管政策的规定。</w:t>
      </w:r>
    </w:p>
    <w:p w14:paraId="174BB801">
      <w:pPr>
        <w:spacing w:line="200" w:lineRule="exact"/>
        <w:ind w:firstLine="280"/>
        <w:jc w:val="left"/>
      </w:pPr>
      <w:r>
        <w:rPr>
          <w:rFonts w:ascii="方正黑体_GBK" w:hAnsi="方正黑体_GBK" w:eastAsia="方正黑体_GBK" w:cs="宋体"/>
          <w:color w:val="3D3D3D"/>
          <w:sz w:val="15"/>
          <w:szCs w:val="20"/>
        </w:rPr>
        <w:t>8.如果管理人或托管人认为按以上规定的方法对产品资产进行估值不能客观反映其公允价值的，可提出异议，管理人和托管人协商一致后，变更公允价值的确定方式，并从经管理人与托管人协商一致日起执行。</w:t>
      </w:r>
    </w:p>
    <w:p w14:paraId="1EA463C5">
      <w:pPr>
        <w:spacing w:line="200" w:lineRule="exact"/>
        <w:ind w:firstLine="280"/>
        <w:jc w:val="left"/>
      </w:pPr>
      <w:r>
        <w:rPr>
          <w:rFonts w:ascii="方正黑体_GBK" w:hAnsi="方正黑体_GBK" w:eastAsia="方正黑体_GBK" w:cs="宋体"/>
          <w:color w:val="3D3D3D"/>
          <w:sz w:val="15"/>
          <w:szCs w:val="20"/>
        </w:rPr>
        <w:t>9.如有新增事项或变更事项，按国家最新规定或管理人最新的约定估值。</w:t>
      </w:r>
    </w:p>
    <w:p w14:paraId="38BC7780">
      <w:pPr>
        <w:spacing w:line="200" w:lineRule="exact"/>
        <w:ind w:firstLine="280"/>
        <w:jc w:val="left"/>
      </w:pPr>
      <w:r>
        <w:rPr>
          <w:rFonts w:ascii="方正黑体_GBK" w:hAnsi="方正黑体_GBK" w:eastAsia="方正黑体_GBK" w:cs="宋体"/>
          <w:sz w:val="15"/>
          <w:szCs w:val="20"/>
        </w:rPr>
        <w:t>开放式理财产品在前一估值日内，产品资产净值50%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3个交易日内告知投资者，并说明运用相关措施的原因、拟采取的应对安排等，投资者需重新进行资金安排。</w:t>
      </w:r>
    </w:p>
    <w:p w14:paraId="1DB590E9">
      <w:pPr>
        <w:spacing w:line="200" w:lineRule="exact"/>
        <w:ind w:firstLine="300"/>
        <w:jc w:val="both"/>
      </w:pPr>
      <w:r>
        <w:rPr>
          <w:rFonts w:ascii="方正黑体_GBK" w:hAnsi="方正黑体_GBK" w:eastAsia="方正黑体_GBK" w:cs="宋体"/>
          <w:sz w:val="15"/>
          <w:szCs w:val="20"/>
        </w:rPr>
        <w:t>（六）估值错误及暂停估值</w:t>
      </w:r>
    </w:p>
    <w:p w14:paraId="74861656">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14:paraId="444D19E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7B698718">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5153038E">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629138B6">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06A4923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52C0292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按月</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025000C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01A3458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71D08A9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21DFA54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77AEC7B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7E26186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0B4E28B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3FAA073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0C1B19C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2A1A9D7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71B41AC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73C51EC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63846F2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384340F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34A1004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47FA662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068A126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6EE0322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38BB1519">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492D9CC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471F1FA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148B2F6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0AE63F67">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0EDD4E0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16EEB413">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615B829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1439245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5ED7894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0EC8C0A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497DB27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27774B3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3047D29E">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定期开放式、固定收益类、公募、净值型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81988">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5B5372"/>
    <w:multiLevelType w:val="multilevel"/>
    <w:tmpl w:val="845B5372"/>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abstractNum w:abstractNumId="1">
    <w:nsid w:val="B8CEF35B"/>
    <w:multiLevelType w:val="multilevel"/>
    <w:tmpl w:val="B8CEF35B"/>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2">
    <w:nsid w:val="1ACDE60F"/>
    <w:multiLevelType w:val="multilevel"/>
    <w:tmpl w:val="1ACDE60F"/>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3">
    <w:nsid w:val="5E29AB5A"/>
    <w:multiLevelType w:val="multilevel"/>
    <w:tmpl w:val="5E29AB5A"/>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1C6025A"/>
    <w:rsid w:val="4EF17E4E"/>
    <w:rsid w:val="544E7B7F"/>
    <w:rsid w:val="642B5904"/>
    <w:rsid w:val="68460921"/>
    <w:rsid w:val="70513C7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e08c11b5"/>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7dd01f16"/>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f4e8ac93"/>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1207d610"/>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888c2d93"/>
    <w:qFormat/>
    <w:uiPriority w:val="0"/>
  </w:style>
  <w:style w:type="paragraph" w:customStyle="1" w:styleId="20">
    <w:name w:val="toc 16c539ecf"/>
    <w:basedOn w:val="15"/>
    <w:next w:val="1"/>
    <w:autoRedefine/>
    <w:qFormat/>
    <w:uiPriority w:val="0"/>
  </w:style>
  <w:style w:type="paragraph" w:customStyle="1" w:styleId="21">
    <w:name w:val="toc 2d8fbe6c5"/>
    <w:basedOn w:val="15"/>
    <w:next w:val="1"/>
    <w:autoRedefine/>
    <w:qFormat/>
    <w:uiPriority w:val="0"/>
    <w:pPr>
      <w:ind w:left="420"/>
    </w:pPr>
  </w:style>
  <w:style w:type="paragraph" w:customStyle="1" w:styleId="22">
    <w:name w:val="toc 36add9663"/>
    <w:basedOn w:val="15"/>
    <w:next w:val="1"/>
    <w:autoRedefine/>
    <w:qFormat/>
    <w:uiPriority w:val="0"/>
    <w:pPr>
      <w:ind w:left="840"/>
    </w:pPr>
  </w:style>
  <w:style w:type="paragraph" w:customStyle="1" w:styleId="23">
    <w:name w:val="toc 46197a100"/>
    <w:basedOn w:val="15"/>
    <w:next w:val="1"/>
    <w:autoRedefine/>
    <w:qFormat/>
    <w:uiPriority w:val="0"/>
    <w:pPr>
      <w:ind w:left="1260"/>
    </w:pPr>
  </w:style>
  <w:style w:type="paragraph" w:customStyle="1" w:styleId="24">
    <w:name w:val="toc 5533b6c38"/>
    <w:basedOn w:val="15"/>
    <w:next w:val="1"/>
    <w:autoRedefine/>
    <w:qFormat/>
    <w:uiPriority w:val="0"/>
    <w:pPr>
      <w:ind w:left="1680"/>
    </w:pPr>
  </w:style>
  <w:style w:type="paragraph" w:customStyle="1" w:styleId="25">
    <w:name w:val="header4af592ab"/>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d061bf37"/>
    <w:basedOn w:val="15"/>
    <w:qFormat/>
    <w:uiPriority w:val="0"/>
    <w:pPr>
      <w:tabs>
        <w:tab w:val="center" w:pos="4153"/>
        <w:tab w:val="right" w:pos="8307"/>
      </w:tabs>
      <w:adjustRightInd/>
      <w:snapToGrid w:val="0"/>
      <w:contextualSpacing w:val="0"/>
      <w:jc w:val="left"/>
    </w:pPr>
    <w:rPr>
      <w:sz w:val="18"/>
    </w:rPr>
  </w:style>
  <w:style w:type="character" w:customStyle="1" w:styleId="27">
    <w:name w:val="Strong6aaa808b"/>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7a01fa22"/>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8f1b33e5"/>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f660bf2d"/>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9cd20a75"/>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161d0fe0"/>
    <w:qFormat/>
    <w:uiPriority w:val="0"/>
  </w:style>
  <w:style w:type="paragraph" w:customStyle="1" w:styleId="34">
    <w:name w:val="Normal Indent0fc429df"/>
    <w:basedOn w:val="29"/>
    <w:qFormat/>
    <w:uiPriority w:val="0"/>
    <w:pPr>
      <w:ind w:firstLine="200" w:firstLineChars="200"/>
    </w:pPr>
  </w:style>
  <w:style w:type="paragraph" w:customStyle="1" w:styleId="35">
    <w:name w:val="toc 5d487465f"/>
    <w:basedOn w:val="29"/>
    <w:next w:val="1"/>
    <w:qFormat/>
    <w:uiPriority w:val="0"/>
    <w:pPr>
      <w:ind w:left="1680"/>
    </w:pPr>
  </w:style>
  <w:style w:type="paragraph" w:customStyle="1" w:styleId="36">
    <w:name w:val="toc 383bb9211"/>
    <w:basedOn w:val="29"/>
    <w:next w:val="1"/>
    <w:qFormat/>
    <w:uiPriority w:val="0"/>
    <w:pPr>
      <w:ind w:left="840"/>
    </w:pPr>
  </w:style>
  <w:style w:type="paragraph" w:customStyle="1" w:styleId="37">
    <w:name w:val="footer05cad034"/>
    <w:basedOn w:val="29"/>
    <w:qFormat/>
    <w:uiPriority w:val="0"/>
    <w:pPr>
      <w:tabs>
        <w:tab w:val="center" w:pos="4153"/>
        <w:tab w:val="right" w:pos="8307"/>
      </w:tabs>
      <w:adjustRightInd/>
      <w:snapToGrid w:val="0"/>
      <w:contextualSpacing w:val="0"/>
      <w:jc w:val="left"/>
    </w:pPr>
    <w:rPr>
      <w:sz w:val="18"/>
    </w:rPr>
  </w:style>
  <w:style w:type="paragraph" w:customStyle="1" w:styleId="38">
    <w:name w:val="headercad1456e"/>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81240d2f"/>
    <w:basedOn w:val="29"/>
    <w:next w:val="1"/>
    <w:qFormat/>
    <w:uiPriority w:val="0"/>
  </w:style>
  <w:style w:type="paragraph" w:customStyle="1" w:styleId="40">
    <w:name w:val="toc 4d654414c"/>
    <w:basedOn w:val="29"/>
    <w:next w:val="1"/>
    <w:qFormat/>
    <w:uiPriority w:val="0"/>
    <w:pPr>
      <w:ind w:left="1260"/>
    </w:pPr>
  </w:style>
  <w:style w:type="paragraph" w:customStyle="1" w:styleId="41">
    <w:name w:val="toc 20e4e4a24"/>
    <w:basedOn w:val="29"/>
    <w:next w:val="1"/>
    <w:qFormat/>
    <w:uiPriority w:val="0"/>
    <w:pPr>
      <w:ind w:left="420"/>
    </w:pPr>
  </w:style>
  <w:style w:type="paragraph" w:customStyle="1" w:styleId="42">
    <w:name w:val="Normal (Web)dc61fed9"/>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69d202eb69d202eb"/>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822c6f45822c6f45"/>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8ecb5eaf8ecb5eaf"/>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c94c979dc94c979d"/>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7c8362a87c8362a8"/>
    <w:qFormat/>
    <w:uiPriority w:val="0"/>
  </w:style>
  <w:style w:type="paragraph" w:customStyle="1" w:styleId="49">
    <w:name w:val="引文目录11ed99fd01ed99fd0"/>
    <w:basedOn w:val="44"/>
    <w:next w:val="1"/>
    <w:qFormat/>
    <w:uiPriority w:val="0"/>
    <w:pPr>
      <w:ind w:left="200" w:leftChars="200"/>
    </w:pPr>
  </w:style>
  <w:style w:type="paragraph" w:customStyle="1" w:styleId="50">
    <w:name w:val="toc 5c08a7922c08a7922"/>
    <w:basedOn w:val="44"/>
    <w:next w:val="1"/>
    <w:qFormat/>
    <w:uiPriority w:val="0"/>
    <w:pPr>
      <w:ind w:left="1680"/>
    </w:pPr>
  </w:style>
  <w:style w:type="paragraph" w:customStyle="1" w:styleId="51">
    <w:name w:val="toc 307cbb8e307cbb8e3"/>
    <w:basedOn w:val="44"/>
    <w:next w:val="1"/>
    <w:qFormat/>
    <w:uiPriority w:val="0"/>
    <w:pPr>
      <w:ind w:left="840"/>
    </w:pPr>
  </w:style>
  <w:style w:type="paragraph" w:customStyle="1" w:styleId="52">
    <w:name w:val="footerb7781e11b7781e11"/>
    <w:basedOn w:val="44"/>
    <w:qFormat/>
    <w:uiPriority w:val="0"/>
    <w:pPr>
      <w:tabs>
        <w:tab w:val="center" w:pos="4153"/>
        <w:tab w:val="right" w:pos="8307"/>
      </w:tabs>
      <w:adjustRightInd/>
      <w:snapToGrid w:val="0"/>
      <w:contextualSpacing w:val="0"/>
      <w:jc w:val="left"/>
    </w:pPr>
    <w:rPr>
      <w:sz w:val="18"/>
    </w:rPr>
  </w:style>
  <w:style w:type="paragraph" w:customStyle="1" w:styleId="53">
    <w:name w:val="header775354d7775354d7"/>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1a5dcd241a5dcd24"/>
    <w:basedOn w:val="44"/>
    <w:next w:val="1"/>
    <w:qFormat/>
    <w:uiPriority w:val="0"/>
  </w:style>
  <w:style w:type="paragraph" w:customStyle="1" w:styleId="55">
    <w:name w:val="toc 411868adf11868adf"/>
    <w:basedOn w:val="44"/>
    <w:next w:val="1"/>
    <w:qFormat/>
    <w:uiPriority w:val="0"/>
    <w:pPr>
      <w:ind w:left="1260"/>
    </w:pPr>
  </w:style>
  <w:style w:type="paragraph" w:customStyle="1" w:styleId="56">
    <w:name w:val="toc 24892ad334892ad33"/>
    <w:basedOn w:val="44"/>
    <w:next w:val="1"/>
    <w:qFormat/>
    <w:uiPriority w:val="0"/>
    <w:pPr>
      <w:ind w:left="420"/>
    </w:pPr>
  </w:style>
  <w:style w:type="paragraph" w:customStyle="1" w:styleId="57">
    <w:name w:val="列出段落1233f62cf233f62cf"/>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28</Pages>
  <Words>31129</Words>
  <Characters>32469</Characters>
  <Lines>81</Lines>
  <Paragraphs>27</Paragraphs>
  <TotalTime>2</TotalTime>
  <ScaleCrop>false</ScaleCrop>
  <LinksUpToDate>false</LinksUpToDate>
  <CharactersWithSpaces>32609</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2025-11-07T06:27:04Z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