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984a72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984a72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984a72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984a72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984a72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984a72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984a72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984a72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984a72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984a72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984a7221"/>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72bf5e8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72bf5e8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fa6e6230"/>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南银理财珠联璧合鑫逸稳三个月109期封闭式公募人民币理财产品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ZZ700322500572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Z7003225000378(投资者可依据该编码在中国理财网www.chinawealth.com.cn查询理财产品相关信息）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A份额：Y80109</w:t>
            </w:r>
          </w:p>
          <w:p>
            <w:pPr>
              <w:pStyle w:val="null10"/>
              <w:spacing w:lineRule="exact" w:line="200"/>
            </w:pPr>
            <w:r>
              <w:rPr>
                <w:rFonts w:ascii="方正黑体_GBK" w:hAnsi="方正黑体_GBK" w:cs="宋体" w:eastAsia="方正黑体_GBK"/>
                <w:sz w:val="18"/>
                <w:szCs w:val="18"/>
              </w:rPr>
              <w:t>B份额：Y81109</w:t>
            </w:r>
          </w:p>
          <w:p>
            <w:pPr>
              <w:pStyle w:val="null10"/>
              <w:spacing w:lineRule="exact" w:line="200"/>
            </w:pPr>
            <w:r>
              <w:rPr>
                <w:rFonts w:ascii="方正黑体_GBK" w:hAnsi="方正黑体_GBK" w:cs="宋体" w:eastAsia="方正黑体_GBK"/>
                <w:sz w:val="18"/>
                <w:szCs w:val="18"/>
              </w:rPr>
              <w:t>C份额：Y82109</w:t>
            </w:r>
          </w:p>
          <w:p>
            <w:pPr>
              <w:pStyle w:val="null10"/>
              <w:spacing w:lineRule="exact" w:line="200"/>
            </w:pPr>
            <w:r>
              <w:rPr>
                <w:rFonts w:ascii="方正黑体_GBK" w:hAnsi="方正黑体_GBK" w:cs="宋体" w:eastAsia="方正黑体_GBK"/>
                <w:sz w:val="18"/>
                <w:szCs w:val="18"/>
              </w:rPr>
              <w:t>D份额：Y83109</w:t>
            </w:r>
          </w:p>
          <w:p>
            <w:pPr>
              <w:pStyle w:val="null10"/>
              <w:spacing w:lineRule="exact" w:line="200"/>
            </w:pPr>
            <w:r>
              <w:rPr>
                <w:rFonts w:ascii="方正黑体_GBK" w:hAnsi="方正黑体_GBK" w:cs="宋体" w:eastAsia="方正黑体_GBK"/>
                <w:sz w:val="18"/>
                <w:szCs w:val="18"/>
              </w:rPr>
              <w:t>E份额：Y84109</w:t>
            </w:r>
          </w:p>
          <w:p>
            <w:pPr>
              <w:pStyle w:val="null10"/>
              <w:spacing w:lineRule="exact" w:line="200"/>
            </w:pPr>
            <w:r>
              <w:rPr>
                <w:rFonts w:ascii="方正黑体_GBK" w:hAnsi="方正黑体_GBK" w:cs="宋体" w:eastAsia="方正黑体_GBK"/>
                <w:sz w:val="18"/>
                <w:szCs w:val="18"/>
              </w:rPr>
              <w:t>H份额：Y87109</w:t>
            </w:r>
          </w:p>
          <w:p>
            <w:pPr>
              <w:pStyle w:val="null10"/>
              <w:spacing w:lineRule="exact" w:line="200"/>
            </w:pPr>
            <w:r>
              <w:rPr>
                <w:rFonts w:ascii="方正黑体_GBK" w:hAnsi="方正黑体_GBK" w:cs="宋体" w:eastAsia="方正黑体_GBK"/>
                <w:sz w:val="18"/>
                <w:szCs w:val="18"/>
              </w:rPr>
              <w:t>J份额：Y89109</w:t>
            </w:r>
          </w:p>
          <w:p>
            <w:pPr>
              <w:pStyle w:val="null10"/>
              <w:spacing w:lineRule="exact" w:line="200"/>
            </w:pPr>
            <w:r>
              <w:rPr>
                <w:rFonts w:ascii="方正黑体_GBK" w:hAnsi="方正黑体_GBK" w:cs="宋体" w:eastAsia="方正黑体_GBK"/>
                <w:sz w:val="18"/>
                <w:szCs w:val="18"/>
              </w:rPr>
              <w:t>K份额：YA80109</w:t>
            </w:r>
          </w:p>
          <w:p>
            <w:pPr>
              <w:pStyle w:val="null10"/>
              <w:spacing w:lineRule="exact" w:line="200"/>
            </w:pPr>
            <w:r>
              <w:rPr>
                <w:rFonts w:ascii="方正黑体_GBK" w:hAnsi="方正黑体_GBK" w:cs="宋体" w:eastAsia="方正黑体_GBK"/>
                <w:sz w:val="18"/>
                <w:szCs w:val="18"/>
              </w:rPr>
              <w:t>L份额：YB80109</w:t>
            </w:r>
          </w:p>
          <w:p>
            <w:pPr>
              <w:pStyle w:val="null10"/>
              <w:spacing w:lineRule="exact" w:line="200"/>
            </w:pPr>
            <w:r>
              <w:rPr>
                <w:rFonts w:ascii="方正黑体_GBK" w:hAnsi="方正黑体_GBK" w:cs="宋体" w:eastAsia="方正黑体_GBK"/>
                <w:sz w:val="18"/>
                <w:szCs w:val="18"/>
              </w:rPr>
              <w:t>P份额：YF80109</w:t>
            </w:r>
          </w:p>
          <w:p>
            <w:pPr>
              <w:pStyle w:val="null10"/>
              <w:spacing w:lineRule="exact" w:line="200"/>
            </w:pPr>
            <w:r>
              <w:rPr>
                <w:rFonts w:ascii="方正黑体_GBK" w:hAnsi="方正黑体_GBK" w:cs="宋体" w:eastAsia="方正黑体_GBK"/>
                <w:sz w:val="18"/>
                <w:szCs w:val="18"/>
              </w:rPr>
              <w:t>Q份额：YG80109</w:t>
            </w:r>
          </w:p>
          <w:p>
            <w:pPr>
              <w:pStyle w:val="null10"/>
              <w:spacing w:lineRule="exact" w:line="200"/>
            </w:pPr>
            <w:r>
              <w:rPr>
                <w:rFonts w:ascii="方正黑体_GBK" w:hAnsi="方正黑体_GBK" w:cs="宋体" w:eastAsia="方正黑体_GBK"/>
                <w:sz w:val="18"/>
                <w:szCs w:val="18"/>
              </w:rPr>
              <w:t>R份额：YH80109</w:t>
            </w:r>
          </w:p>
          <w:p>
            <w:pPr>
              <w:pStyle w:val="null10"/>
              <w:spacing w:lineRule="exact" w:line="200"/>
            </w:pPr>
            <w:r>
              <w:rPr>
                <w:rFonts w:ascii="方正黑体_GBK" w:hAnsi="方正黑体_GBK" w:cs="宋体" w:eastAsia="方正黑体_GBK"/>
                <w:sz w:val="18"/>
                <w:szCs w:val="18"/>
              </w:rPr>
              <w:t>Q1份额：YI80109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A份额：除B、C、D、E、H、J、K、L、P、Q、R、Q1份额以外的所有客户（详见“销售机构”条款）。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青岛农村商业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新客户)、江苏江都农村商业银行股份有限公司、江苏镇江农村商业银行股份有限公司(20万元起购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C份额：四川天府银行股份有限公司( 新客新资金)、烟台银行股份有限公司( 特邀客户)、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兰州银行股份有限公司、富邦华一银行有限公司(20万元起购)、桂林银行股份有限公司(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高净值客户专享份额)、天津农村商业银行股份有限公司(私行客群)、江苏扬州农村商业银行股份有限公司( 公司客户)。</w:t>
            </w:r>
          </w:p>
          <w:p>
            <w:pPr>
              <w:pStyle w:val="null10"/>
              <w:spacing w:lineRule="exact" w:line="200"/>
            </w:pPr>
            <w:r>
              <w:rPr>
                <w:rFonts w:ascii="方正黑体_GBK" w:hAnsi="方正黑体_GBK" w:cs="宋体" w:eastAsia="方正黑体_GBK"/>
                <w:sz w:val="18"/>
                <w:szCs w:val="18"/>
              </w:rPr>
              <w:t>P份额：湖北银行股份有限公司金融资产50万（含）-100万元以上客群，1万元起购。</w:t>
            </w:r>
          </w:p>
          <w:p>
            <w:pPr>
              <w:pStyle w:val="null10"/>
              <w:spacing w:lineRule="exact" w:line="200"/>
            </w:pPr>
            <w:r>
              <w:rPr>
                <w:rFonts w:ascii="方正黑体_GBK" w:hAnsi="方正黑体_GBK" w:cs="宋体" w:eastAsia="方正黑体_GBK"/>
                <w:sz w:val="18"/>
                <w:szCs w:val="18"/>
              </w:rPr>
              <w:t>Q份额：湖北银行股份有限公司普通客群，50万元起购。</w:t>
            </w:r>
          </w:p>
          <w:p>
            <w:pPr>
              <w:pStyle w:val="null10"/>
              <w:spacing w:lineRule="exact" w:line="200"/>
            </w:pPr>
            <w:r>
              <w:rPr>
                <w:rFonts w:ascii="方正黑体_GBK" w:hAnsi="方正黑体_GBK" w:cs="宋体" w:eastAsia="方正黑体_GBK"/>
                <w:sz w:val="18"/>
                <w:szCs w:val="18"/>
              </w:rPr>
              <w:t>R份额：湖北银行股份有限公司普通客群，100万元起购。</w:t>
            </w:r>
          </w:p>
          <w:p>
            <w:pPr>
              <w:pStyle w:val="null10"/>
              <w:spacing w:lineRule="exact" w:line="200"/>
            </w:pPr>
            <w:r>
              <w:rPr>
                <w:rFonts w:ascii="方正黑体_GBK" w:hAnsi="方正黑体_GBK" w:cs="宋体" w:eastAsia="方正黑体_GBK"/>
                <w:sz w:val="18"/>
                <w:szCs w:val="18"/>
              </w:rPr>
              <w:t>Q1份额：湖北银行股份有限金融资产100万元（含）以上客群，1万元起购。</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P份额/Q1份额：</w:t>
            </w:r>
          </w:p>
          <w:p>
            <w:pPr>
              <w:pStyle w:val="null10"/>
              <w:spacing w:lineRule="exact" w:line="200"/>
            </w:pPr>
            <w:r>
              <w:rPr>
                <w:rFonts w:ascii="方正黑体_GBK" w:hAnsi="方正黑体_GBK" w:cs="宋体" w:eastAsia="方正黑体_GBK"/>
                <w:sz w:val="18"/>
                <w:szCs w:val="18"/>
              </w:rPr>
              <w:t>个人投资者投资起点金额1万元人民币，以1元的整数倍递增；</w:t>
            </w:r>
          </w:p>
          <w:p>
            <w:pPr>
              <w:pStyle w:val="null10"/>
              <w:spacing w:lineRule="exact" w:line="200"/>
            </w:pPr>
            <w:r>
              <w:rPr>
                <w:rFonts w:ascii="方正黑体_GBK" w:hAnsi="方正黑体_GBK" w:cs="宋体" w:eastAsia="方正黑体_GBK"/>
                <w:sz w:val="18"/>
                <w:szCs w:val="18"/>
              </w:rPr>
              <w:t>机构投资者投资起点金额1万元人民币，以1元的整数倍递增；</w:t>
            </w:r>
          </w:p>
          <w:p>
            <w:pPr>
              <w:pStyle w:val="null10"/>
              <w:spacing w:lineRule="exact" w:line="200"/>
            </w:pPr>
            <w:r>
              <w:rPr>
                <w:rFonts w:ascii="方正黑体_GBK" w:hAnsi="方正黑体_GBK" w:cs="宋体" w:eastAsia="方正黑体_GBK"/>
                <w:sz w:val="18"/>
                <w:szCs w:val="18"/>
              </w:rPr>
              <w:t>Q份额：</w:t>
            </w:r>
          </w:p>
          <w:p>
            <w:pPr>
              <w:pStyle w:val="null10"/>
              <w:spacing w:lineRule="exact" w:line="200"/>
            </w:pPr>
            <w:r>
              <w:rPr>
                <w:rFonts w:ascii="方正黑体_GBK" w:hAnsi="方正黑体_GBK" w:cs="宋体" w:eastAsia="方正黑体_GBK"/>
                <w:sz w:val="18"/>
                <w:szCs w:val="18"/>
              </w:rPr>
              <w:t>个人投资者投资起点金额50万元人民币，以1元的整数倍递增；</w:t>
            </w:r>
          </w:p>
          <w:p>
            <w:pPr>
              <w:pStyle w:val="null10"/>
              <w:spacing w:lineRule="exact" w:line="200"/>
            </w:pPr>
            <w:r>
              <w:rPr>
                <w:rFonts w:ascii="方正黑体_GBK" w:hAnsi="方正黑体_GBK" w:cs="宋体" w:eastAsia="方正黑体_GBK"/>
                <w:sz w:val="18"/>
                <w:szCs w:val="18"/>
              </w:rPr>
              <w:t>机构投资者投资起点金额50万元人民币，以1元的整数倍递增；</w:t>
            </w:r>
          </w:p>
          <w:p>
            <w:pPr>
              <w:pStyle w:val="null10"/>
              <w:spacing w:lineRule="exact" w:line="200"/>
            </w:pPr>
            <w:r>
              <w:rPr>
                <w:rFonts w:ascii="方正黑体_GBK" w:hAnsi="方正黑体_GBK" w:cs="宋体" w:eastAsia="方正黑体_GBK"/>
                <w:sz w:val="18"/>
                <w:szCs w:val="18"/>
              </w:rPr>
              <w:t>R份额：</w:t>
            </w:r>
          </w:p>
          <w:p>
            <w:pPr>
              <w:pStyle w:val="null10"/>
              <w:spacing w:lineRule="exact" w:line="200"/>
            </w:pPr>
            <w:r>
              <w:rPr>
                <w:rFonts w:ascii="方正黑体_GBK" w:hAnsi="方正黑体_GBK" w:cs="宋体" w:eastAsia="方正黑体_GBK"/>
                <w:sz w:val="18"/>
                <w:szCs w:val="18"/>
              </w:rPr>
              <w:t>个人投资者投资起点金额100万元人民币，以1元的整数倍递增；</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A份额/B份额/C份额/D份额/E份额/H份额/J份额/K份额/L份额/P份额/Q份额/R份额/Q1份额：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2025年11月12日 09:00—2025年11月18日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2025年11月19日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2025年11月19日—实际到期日（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2026年02月26日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A份额：业绩比较基准为1.78%(年化)。</w:t>
            </w:r>
          </w:p>
          <w:p>
            <w:pPr>
              <w:pStyle w:val="null10"/>
              <w:spacing w:lineRule="exact" w:line="200"/>
            </w:pPr>
            <w:r>
              <w:rPr>
                <w:rFonts w:ascii="方正黑体_GBK" w:hAnsi="方正黑体_GBK" w:cs="宋体" w:eastAsia="方正黑体_GBK"/>
                <w:sz w:val="18"/>
                <w:szCs w:val="18"/>
              </w:rPr>
              <w:t>B份额：业绩比较基准为1.88%(年化)。</w:t>
            </w:r>
          </w:p>
          <w:p>
            <w:pPr>
              <w:pStyle w:val="null10"/>
              <w:spacing w:lineRule="exact" w:line="200"/>
            </w:pPr>
            <w:r>
              <w:rPr>
                <w:rFonts w:ascii="方正黑体_GBK" w:hAnsi="方正黑体_GBK" w:cs="宋体" w:eastAsia="方正黑体_GBK"/>
                <w:sz w:val="18"/>
                <w:szCs w:val="18"/>
              </w:rPr>
              <w:t>C份额：业绩比较基准为1.98%(年化)。</w:t>
            </w:r>
          </w:p>
          <w:p>
            <w:pPr>
              <w:pStyle w:val="null10"/>
              <w:spacing w:lineRule="exact" w:line="200"/>
            </w:pPr>
            <w:r>
              <w:rPr>
                <w:rFonts w:ascii="方正黑体_GBK" w:hAnsi="方正黑体_GBK" w:cs="宋体" w:eastAsia="方正黑体_GBK"/>
                <w:sz w:val="18"/>
                <w:szCs w:val="18"/>
              </w:rPr>
              <w:t>D份额：业绩比较基准为2.03%(年化)。</w:t>
            </w:r>
          </w:p>
          <w:p>
            <w:pPr>
              <w:pStyle w:val="null10"/>
              <w:spacing w:lineRule="exact" w:line="200"/>
            </w:pPr>
            <w:r>
              <w:rPr>
                <w:rFonts w:ascii="方正黑体_GBK" w:hAnsi="方正黑体_GBK" w:cs="宋体" w:eastAsia="方正黑体_GBK"/>
                <w:sz w:val="18"/>
                <w:szCs w:val="18"/>
              </w:rPr>
              <w:t>E份额：业绩比较基准为1.93%(年化)。</w:t>
            </w:r>
          </w:p>
          <w:p>
            <w:pPr>
              <w:pStyle w:val="null10"/>
              <w:spacing w:lineRule="exact" w:line="200"/>
            </w:pPr>
            <w:r>
              <w:rPr>
                <w:rFonts w:ascii="方正黑体_GBK" w:hAnsi="方正黑体_GBK" w:cs="宋体" w:eastAsia="方正黑体_GBK"/>
                <w:sz w:val="18"/>
                <w:szCs w:val="18"/>
              </w:rPr>
              <w:t>H份额：业绩比较基准为1.88%(年化)。</w:t>
            </w:r>
          </w:p>
          <w:p>
            <w:pPr>
              <w:pStyle w:val="null10"/>
              <w:spacing w:lineRule="exact" w:line="200"/>
            </w:pPr>
            <w:r>
              <w:rPr>
                <w:rFonts w:ascii="方正黑体_GBK" w:hAnsi="方正黑体_GBK" w:cs="宋体" w:eastAsia="方正黑体_GBK"/>
                <w:sz w:val="18"/>
                <w:szCs w:val="18"/>
              </w:rPr>
              <w:t>J份额：业绩比较基准为1.78%(年化)。</w:t>
            </w:r>
          </w:p>
          <w:p>
            <w:pPr>
              <w:pStyle w:val="null10"/>
              <w:spacing w:lineRule="exact" w:line="200"/>
            </w:pPr>
            <w:r>
              <w:rPr>
                <w:rFonts w:ascii="方正黑体_GBK" w:hAnsi="方正黑体_GBK" w:cs="宋体" w:eastAsia="方正黑体_GBK"/>
                <w:sz w:val="18"/>
                <w:szCs w:val="18"/>
              </w:rPr>
              <w:t>K份额：业绩比较基准为2.03%(年化)。</w:t>
            </w:r>
          </w:p>
          <w:p>
            <w:pPr>
              <w:pStyle w:val="null10"/>
              <w:spacing w:lineRule="exact" w:line="200"/>
            </w:pPr>
            <w:r>
              <w:rPr>
                <w:rFonts w:ascii="方正黑体_GBK" w:hAnsi="方正黑体_GBK" w:cs="宋体" w:eastAsia="方正黑体_GBK"/>
                <w:sz w:val="18"/>
                <w:szCs w:val="18"/>
              </w:rPr>
              <w:t>L份额：业绩比较基准为2.03%(年化)。</w:t>
            </w:r>
          </w:p>
          <w:p>
            <w:pPr>
              <w:pStyle w:val="null10"/>
              <w:spacing w:lineRule="exact" w:line="200"/>
            </w:pPr>
            <w:r>
              <w:rPr>
                <w:rFonts w:ascii="方正黑体_GBK" w:hAnsi="方正黑体_GBK" w:cs="宋体" w:eastAsia="方正黑体_GBK"/>
                <w:sz w:val="18"/>
                <w:szCs w:val="18"/>
              </w:rPr>
              <w:t>P份额：业绩比较基准为1.83%(年化)。</w:t>
            </w:r>
          </w:p>
          <w:p>
            <w:pPr>
              <w:pStyle w:val="null10"/>
              <w:spacing w:lineRule="exact" w:line="200"/>
            </w:pPr>
            <w:r>
              <w:rPr>
                <w:rFonts w:ascii="方正黑体_GBK" w:hAnsi="方正黑体_GBK" w:cs="宋体" w:eastAsia="方正黑体_GBK"/>
                <w:sz w:val="18"/>
                <w:szCs w:val="18"/>
              </w:rPr>
              <w:t>Q份额：业绩比较基准为1.83%(年化)。</w:t>
            </w:r>
          </w:p>
          <w:p>
            <w:pPr>
              <w:pStyle w:val="null10"/>
              <w:spacing w:lineRule="exact" w:line="200"/>
            </w:pPr>
            <w:r>
              <w:rPr>
                <w:rFonts w:ascii="方正黑体_GBK" w:hAnsi="方正黑体_GBK" w:cs="宋体" w:eastAsia="方正黑体_GBK"/>
                <w:sz w:val="18"/>
                <w:szCs w:val="18"/>
              </w:rPr>
              <w:t>R份额：业绩比较基准为1.88%(年化)。</w:t>
            </w:r>
          </w:p>
          <w:p>
            <w:pPr>
              <w:pStyle w:val="null10"/>
              <w:spacing w:lineRule="exact" w:line="200"/>
            </w:pPr>
            <w:r>
              <w:rPr>
                <w:rFonts w:ascii="方正黑体_GBK" w:hAnsi="方正黑体_GBK" w:cs="宋体" w:eastAsia="方正黑体_GBK"/>
                <w:sz w:val="18"/>
                <w:szCs w:val="18"/>
              </w:rPr>
              <w:t>Q1份额：业绩比较基准为1.88%(年化)。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Q份额：销售费年化0.15%</w:t>
            </w:r>
          </w:p>
          <w:p>
            <w:pPr>
              <w:pStyle w:val="null10"/>
              <w:spacing w:lineRule="exact" w:line="200"/>
            </w:pPr>
            <w:r>
              <w:rPr>
                <w:rFonts w:ascii="方正黑体_GBK" w:hAnsi="方正黑体_GBK" w:cs="宋体" w:eastAsia="方正黑体_GBK"/>
                <w:sz w:val="18"/>
                <w:b/>
                <w:szCs w:val="18"/>
              </w:rPr>
              <w:t>R份额：销售费年化0.1%</w:t>
            </w:r>
          </w:p>
          <w:p>
            <w:pPr>
              <w:pStyle w:val="null10"/>
              <w:spacing w:lineRule="exact" w:line="200"/>
            </w:pPr>
            <w:r>
              <w:rPr>
                <w:rFonts w:ascii="方正黑体_GBK" w:hAnsi="方正黑体_GBK" w:cs="宋体" w:eastAsia="方正黑体_GBK"/>
                <w:sz w:val="18"/>
                <w:b/>
                <w:szCs w:val="18"/>
              </w:rPr>
              <w:t>Q1份额：销售费年化0.15%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P份额：固定管理费年化0.15%</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A份额：到期兑付时，当期产品投资的实际资产组合收益（扣除销售费、固定管理费、托管费等相关费用）超过1.78%（年化，即产品该份额对应的业绩报酬计提基准）时，超过部分管理人将按60%收取业绩报酬。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J份额：到期兑付时，当期产品投资的实际资产组合收益（扣除销售费、固定管理费、托管费等相关费用）超过1.78%（年化，即产品该份额对应的业绩报酬计提基准）时，超过部分管理人将按60%收取业绩报酬。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青岛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72bf5e8e"/>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79f19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79f19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79f199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79f1999"/>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79f199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79f199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79f199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79f1999"/>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南银理财珠联璧合鑫逸稳三个月109期封闭式公募人民币理财产品</w:t>
      </w:r>
      <w:r>
        <w:rPr>
          <w:rFonts w:ascii="方正黑体_GBK" w:eastAsia="方正黑体_GBK" w:hint="eastAsia" w:hAnsi="方正黑体_GBK"/>
          <w:vanish w:val="0"/>
          <w:color w:val="3D3D3D"/>
          <w:kern w:val="0"/>
          <w:sz w:val="15"/>
          <w:szCs w:val="15"/>
        </w:rPr>
        <w:t>。</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79f1999"/>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79f199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79f199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79f199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25e0a6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25e0a6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25e0a6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25e0a6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25e0a6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25e0a6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79f199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79f199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79f1999"/>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25e0a644"/>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72bf5e8e"/>
        <w:keepNext w:val="0"/>
        <w:keepLines w:val="0"/>
        <w:pageBreakBefore w:val="0"/>
        <w:widowControl/>
        <w:suppressLineNumbers w:val="0"/>
        <w:suppressAutoHyphens w:val="0"/>
        <w:spacing w:line="200" w:lineRule="exact"/>
        <w:ind w:firstLineChars="200" w:firstLine="300"/>
        <w:rPr>
          <w:rStyle w:val="25e0a644"/>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72bf5e8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72bf5e8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72bf5e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72bf5e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72bf5e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72bf5e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72bf5e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72bf5e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72bf5e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72bf5e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72bf5e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72bf5e8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72bf5e8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72bf5e8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72bf5e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72bf5e8e"/>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2"/>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984a7221">
    <w:name w:val="Normal984a722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a26d9a2">
    <w:name w:val="heading 1fa26d9a2"/>
    <w:basedOn w:val="984a722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92ba22f">
    <w:name w:val="heading 2992ba22f"/>
    <w:basedOn w:val="984a722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b77939b">
    <w:name w:val="heading 3eb77939b"/>
    <w:basedOn w:val="984a722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0a46ea7">
    <w:name w:val="Default Paragraph Fontd0a46ea7"/>
  </w:style>
  <w:style xmlns:r="http://schemas.openxmlformats.org/officeDocument/2006/relationships" w:type="paragraph" w:styleId="09fe9c9a">
    <w:name w:val="toc 109fe9c9a"/>
    <w:basedOn w:val="984a7221"/>
    <w:autoRedefine/>
    <w:next w:val="0"/>
  </w:style>
  <w:style xmlns:r="http://schemas.openxmlformats.org/officeDocument/2006/relationships" w:type="paragraph" w:styleId="4cd31388">
    <w:name w:val="toc 24cd31388"/>
    <w:basedOn w:val="984a7221"/>
    <w:autoRedefine/>
    <w:next w:val="0"/>
    <w:pPr>
      <w:ind w:left="420"/>
    </w:pPr>
  </w:style>
  <w:style xmlns:r="http://schemas.openxmlformats.org/officeDocument/2006/relationships" w:type="paragraph" w:styleId="76a3a1d9">
    <w:name w:val="toc 376a3a1d9"/>
    <w:basedOn w:val="984a7221"/>
    <w:autoRedefine/>
    <w:next w:val="0"/>
    <w:pPr>
      <w:ind w:left="840"/>
    </w:pPr>
  </w:style>
  <w:style xmlns:r="http://schemas.openxmlformats.org/officeDocument/2006/relationships" w:type="paragraph" w:styleId="8a80e4f1">
    <w:name w:val="toc 48a80e4f1"/>
    <w:basedOn w:val="984a7221"/>
    <w:autoRedefine/>
    <w:next w:val="0"/>
    <w:pPr>
      <w:ind w:left="1260"/>
    </w:pPr>
  </w:style>
  <w:style xmlns:r="http://schemas.openxmlformats.org/officeDocument/2006/relationships" w:type="paragraph" w:styleId="42834055">
    <w:name w:val="toc 542834055"/>
    <w:basedOn w:val="984a7221"/>
    <w:autoRedefine/>
    <w:next w:val="0"/>
    <w:pPr>
      <w:ind w:left="1680"/>
    </w:pPr>
  </w:style>
  <w:style xmlns:r="http://schemas.openxmlformats.org/officeDocument/2006/relationships" w:type="paragraph" w:styleId="ecd949f1">
    <w:name w:val="headerecd949f1"/>
    <w:basedOn w:val="984a722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2574913">
    <w:name w:val="footera2574913"/>
    <w:basedOn w:val="984a7221"/>
    <w:pPr>
      <w:tabs>
        <w:tab w:val="center" w:pos="4153"/>
        <w:tab w:val="right" w:pos="8307"/>
      </w:tabs>
      <w:adjustRightInd/>
      <w:snapToGrid w:val="0"/>
      <w:contextualSpacing w:val="0"/>
      <w:jc w:val="left"/>
    </w:pPr>
    <w:rPr>
      <w:sz w:val="18"/>
    </w:rPr>
  </w:style>
  <w:style xmlns:r="http://schemas.openxmlformats.org/officeDocument/2006/relationships" w:type="character" w:styleId="9e70e4d9">
    <w:name w:val="Strong9e70e4d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2bf5e8e">
    <w:name w:val="Normal72bf5e8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dbce3287">
    <w:name w:val="heading 1dbce3287"/>
    <w:basedOn w:val="72bf5e8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b8d8960">
    <w:name w:val="heading 22b8d8960"/>
    <w:basedOn w:val="72bf5e8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4490dcf">
    <w:name w:val="heading 3b4490dcf"/>
    <w:basedOn w:val="72bf5e8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1927dce">
    <w:name w:val="Default Paragraph Font01927dce"/>
  </w:style>
  <w:style xmlns:r="http://schemas.openxmlformats.org/officeDocument/2006/relationships" w:type="paragraph" w:styleId="5c39e32f">
    <w:name w:val="Normal Indent5c39e32f"/>
    <w:basedOn w:val="72bf5e8e"/>
    <w:pPr>
      <w:ind w:firstLineChars="200" w:firstLine="200"/>
    </w:pPr>
  </w:style>
  <w:style xmlns:r="http://schemas.openxmlformats.org/officeDocument/2006/relationships" w:type="paragraph" w:styleId="b3b9fcb8">
    <w:name w:val="toc 5b3b9fcb8"/>
    <w:basedOn w:val="72bf5e8e"/>
    <w:next w:val="0"/>
    <w:pPr>
      <w:ind w:left="1680"/>
    </w:pPr>
  </w:style>
  <w:style xmlns:r="http://schemas.openxmlformats.org/officeDocument/2006/relationships" w:type="paragraph" w:styleId="7df2e8d7">
    <w:name w:val="toc 37df2e8d7"/>
    <w:basedOn w:val="72bf5e8e"/>
    <w:next w:val="0"/>
    <w:pPr>
      <w:ind w:left="840"/>
    </w:pPr>
  </w:style>
  <w:style xmlns:r="http://schemas.openxmlformats.org/officeDocument/2006/relationships" w:type="paragraph" w:styleId="4bd1e74e">
    <w:name w:val="footer4bd1e74e"/>
    <w:basedOn w:val="72bf5e8e"/>
    <w:pPr>
      <w:tabs>
        <w:tab w:val="center" w:pos="4153"/>
        <w:tab w:val="right" w:pos="8307"/>
      </w:tabs>
      <w:adjustRightInd/>
      <w:snapToGrid w:val="0"/>
      <w:contextualSpacing w:val="0"/>
      <w:jc w:val="left"/>
    </w:pPr>
    <w:rPr>
      <w:sz w:val="18"/>
    </w:rPr>
  </w:style>
  <w:style xmlns:r="http://schemas.openxmlformats.org/officeDocument/2006/relationships" w:type="paragraph" w:styleId="b0978f08">
    <w:name w:val="headerb0978f08"/>
    <w:basedOn w:val="72bf5e8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dab6a7e">
    <w:name w:val="toc 16dab6a7e"/>
    <w:basedOn w:val="72bf5e8e"/>
    <w:next w:val="0"/>
  </w:style>
  <w:style xmlns:r="http://schemas.openxmlformats.org/officeDocument/2006/relationships" w:type="paragraph" w:styleId="4a4d29de">
    <w:name w:val="toc 44a4d29de"/>
    <w:basedOn w:val="72bf5e8e"/>
    <w:next w:val="0"/>
    <w:pPr>
      <w:ind w:left="1260"/>
    </w:pPr>
  </w:style>
  <w:style xmlns:r="http://schemas.openxmlformats.org/officeDocument/2006/relationships" w:type="paragraph" w:styleId="9f6bd2dd">
    <w:name w:val="toc 29f6bd2dd"/>
    <w:basedOn w:val="72bf5e8e"/>
    <w:next w:val="0"/>
    <w:pPr>
      <w:ind w:left="420"/>
    </w:pPr>
  </w:style>
  <w:style xmlns:r="http://schemas.openxmlformats.org/officeDocument/2006/relationships" w:type="paragraph" w:styleId="fa6e6230">
    <w:name w:val="Normal (Web)fa6e6230"/>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79f1999">
    <w:name w:val="Normal079f1999079f199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1e475a5">
    <w:name w:val="heading 1d1e475a5d1e475a5"/>
    <w:basedOn w:val="079f199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de10182">
    <w:name w:val="heading 2ede10182ede10182"/>
    <w:basedOn w:val="079f199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4a1f5de">
    <w:name w:val="heading 354a1f5de54a1f5de"/>
    <w:basedOn w:val="079f199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7725018">
    <w:name w:val="Default Paragraph Font2772501827725018"/>
  </w:style>
  <w:style xmlns:r="http://schemas.openxmlformats.org/officeDocument/2006/relationships" w:type="paragraph" w:customStyle="1" w:styleId="ed75b09b">
    <w:name w:val="引文目录1ed75b09bed75b09b"/>
    <w:basedOn w:val="079f1999"/>
    <w:next w:val="0"/>
    <w:pPr>
      <w:ind w:leftChars="200" w:left="200"/>
    </w:pPr>
  </w:style>
  <w:style xmlns:r="http://schemas.openxmlformats.org/officeDocument/2006/relationships" w:type="paragraph" w:styleId="3bf4db33">
    <w:name w:val="toc 53bf4db333bf4db33"/>
    <w:basedOn w:val="079f1999"/>
    <w:next w:val="0"/>
    <w:pPr>
      <w:ind w:left="1680"/>
    </w:pPr>
  </w:style>
  <w:style xmlns:r="http://schemas.openxmlformats.org/officeDocument/2006/relationships" w:type="paragraph" w:styleId="4ffe98dc">
    <w:name w:val="toc 34ffe98dc4ffe98dc"/>
    <w:basedOn w:val="079f1999"/>
    <w:next w:val="0"/>
    <w:pPr>
      <w:ind w:left="840"/>
    </w:pPr>
  </w:style>
  <w:style xmlns:r="http://schemas.openxmlformats.org/officeDocument/2006/relationships" w:type="paragraph" w:styleId="37aa63e9">
    <w:name w:val="footer37aa63e937aa63e9"/>
    <w:basedOn w:val="079f1999"/>
    <w:pPr>
      <w:tabs>
        <w:tab w:val="center" w:pos="4153"/>
        <w:tab w:val="right" w:pos="8307"/>
      </w:tabs>
      <w:adjustRightInd/>
      <w:snapToGrid w:val="0"/>
      <w:contextualSpacing w:val="0"/>
      <w:jc w:val="left"/>
    </w:pPr>
    <w:rPr>
      <w:sz w:val="18"/>
    </w:rPr>
  </w:style>
  <w:style xmlns:r="http://schemas.openxmlformats.org/officeDocument/2006/relationships" w:type="paragraph" w:styleId="3a40c387">
    <w:name w:val="header3a40c3873a40c387"/>
    <w:basedOn w:val="079f199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23fcbae">
    <w:name w:val="toc 1f23fcbaef23fcbae"/>
    <w:basedOn w:val="079f1999"/>
    <w:next w:val="0"/>
  </w:style>
  <w:style xmlns:r="http://schemas.openxmlformats.org/officeDocument/2006/relationships" w:type="paragraph" w:styleId="97602e3f">
    <w:name w:val="toc 497602e3f97602e3f"/>
    <w:basedOn w:val="079f1999"/>
    <w:next w:val="0"/>
    <w:pPr>
      <w:ind w:left="1260"/>
    </w:pPr>
  </w:style>
  <w:style xmlns:r="http://schemas.openxmlformats.org/officeDocument/2006/relationships" w:type="paragraph" w:styleId="4cee3a18">
    <w:name w:val="toc 24cee3a184cee3a18"/>
    <w:basedOn w:val="079f1999"/>
    <w:next w:val="0"/>
    <w:pPr>
      <w:ind w:left="420"/>
    </w:pPr>
  </w:style>
  <w:style xmlns:r="http://schemas.openxmlformats.org/officeDocument/2006/relationships" w:type="paragraph" w:customStyle="1" w:styleId="25e0a644">
    <w:name w:val="列出段落125e0a64425e0a644"/>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