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9d55f5f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9d55f5f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9d55f5f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9d55f5f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9d55f5f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9d55f5f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9d55f5f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9d55f5f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9d55f5f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9d55f5f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9d55f5f6"/>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c9493cc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c9493cc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3b29b31b"/>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南银理财珠联璧合鑫逸稳半年151期封闭式公募人民币理财产品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ZZ700322500573</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Z7003225000367(投资者可依据该编码在中国理财网www.chinawealth.com.cn查询理财产品相关信息）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A份额：Y70151</w:t>
            </w:r>
          </w:p>
          <w:p>
            <w:pPr>
              <w:pStyle w:val="null10"/>
              <w:spacing w:lineRule="exact" w:line="200"/>
            </w:pPr>
            <w:r>
              <w:rPr>
                <w:rFonts w:ascii="方正黑体_GBK" w:hAnsi="方正黑体_GBK" w:cs="宋体" w:eastAsia="方正黑体_GBK"/>
                <w:sz w:val="18"/>
                <w:szCs w:val="18"/>
              </w:rPr>
              <w:t>B份额：Y71151</w:t>
            </w:r>
          </w:p>
          <w:p>
            <w:pPr>
              <w:pStyle w:val="null10"/>
              <w:spacing w:lineRule="exact" w:line="200"/>
            </w:pPr>
            <w:r>
              <w:rPr>
                <w:rFonts w:ascii="方正黑体_GBK" w:hAnsi="方正黑体_GBK" w:cs="宋体" w:eastAsia="方正黑体_GBK"/>
                <w:sz w:val="18"/>
                <w:szCs w:val="18"/>
              </w:rPr>
              <w:t>C份额：Y72151</w:t>
            </w:r>
          </w:p>
          <w:p>
            <w:pPr>
              <w:pStyle w:val="null10"/>
              <w:spacing w:lineRule="exact" w:line="200"/>
            </w:pPr>
            <w:r>
              <w:rPr>
                <w:rFonts w:ascii="方正黑体_GBK" w:hAnsi="方正黑体_GBK" w:cs="宋体" w:eastAsia="方正黑体_GBK"/>
                <w:sz w:val="18"/>
                <w:szCs w:val="18"/>
              </w:rPr>
              <w:t>D份额：Y73151</w:t>
            </w:r>
          </w:p>
          <w:p>
            <w:pPr>
              <w:pStyle w:val="null10"/>
              <w:spacing w:lineRule="exact" w:line="200"/>
            </w:pPr>
            <w:r>
              <w:rPr>
                <w:rFonts w:ascii="方正黑体_GBK" w:hAnsi="方正黑体_GBK" w:cs="宋体" w:eastAsia="方正黑体_GBK"/>
                <w:sz w:val="18"/>
                <w:szCs w:val="18"/>
              </w:rPr>
              <w:t>F份额：Y75151</w:t>
            </w:r>
          </w:p>
          <w:p>
            <w:pPr>
              <w:pStyle w:val="null10"/>
              <w:spacing w:lineRule="exact" w:line="200"/>
            </w:pPr>
            <w:r>
              <w:rPr>
                <w:rFonts w:ascii="方正黑体_GBK" w:hAnsi="方正黑体_GBK" w:cs="宋体" w:eastAsia="方正黑体_GBK"/>
                <w:sz w:val="18"/>
                <w:szCs w:val="18"/>
              </w:rPr>
              <w:t>G份额：Y76151</w:t>
            </w:r>
          </w:p>
          <w:p>
            <w:pPr>
              <w:pStyle w:val="null10"/>
              <w:spacing w:lineRule="exact" w:line="200"/>
            </w:pPr>
            <w:r>
              <w:rPr>
                <w:rFonts w:ascii="方正黑体_GBK" w:hAnsi="方正黑体_GBK" w:cs="宋体" w:eastAsia="方正黑体_GBK"/>
                <w:sz w:val="18"/>
                <w:szCs w:val="18"/>
              </w:rPr>
              <w:t>H份额：Y77151</w:t>
            </w:r>
          </w:p>
          <w:p>
            <w:pPr>
              <w:pStyle w:val="null10"/>
              <w:spacing w:lineRule="exact" w:line="200"/>
            </w:pPr>
            <w:r>
              <w:rPr>
                <w:rFonts w:ascii="方正黑体_GBK" w:hAnsi="方正黑体_GBK" w:cs="宋体" w:eastAsia="方正黑体_GBK"/>
                <w:sz w:val="18"/>
                <w:szCs w:val="18"/>
              </w:rPr>
              <w:t>J份额：Y79151</w:t>
            </w:r>
          </w:p>
          <w:p>
            <w:pPr>
              <w:pStyle w:val="null10"/>
              <w:spacing w:lineRule="exact" w:line="200"/>
            </w:pPr>
            <w:r>
              <w:rPr>
                <w:rFonts w:ascii="方正黑体_GBK" w:hAnsi="方正黑体_GBK" w:cs="宋体" w:eastAsia="方正黑体_GBK"/>
                <w:sz w:val="18"/>
                <w:szCs w:val="18"/>
              </w:rPr>
              <w:t>L份额：YB70151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A份额：除B、C、D、F、G、H、J、L份额以外的所有客户（详见“销售机构”条款）。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青岛农村商业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代发客户)、中原银行股份有限公司(县域客群专属)、桂林银行股份有限公司(常规客户)、石嘴山银行股份有限公司( 分行特供)、江苏江都农村商业银行股份有限公司、江苏淮安农村商业银行股份有限公司( 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)、江苏海安农村商业银行股份有限公司。</w:t>
            </w:r>
          </w:p>
          <w:p>
            <w:pPr>
              <w:pStyle w:val="null10"/>
              <w:spacing w:lineRule="exact" w:line="200"/>
            </w:pPr>
            <w:r>
              <w:rPr>
                <w:rFonts w:ascii="方正黑体_GBK" w:hAnsi="方正黑体_GBK" w:cs="宋体" w:eastAsia="方正黑体_GBK"/>
                <w:sz w:val="18"/>
                <w:szCs w:val="18"/>
              </w:rPr>
              <w:t>C份额：:徽商银行股份有限公司(特定分行专享)、杭州银行股份有限公司( 私行客群)、四川天府银行股份有限公司( 新客新资金客户)、江苏张家港农村商业银行股份有限公司(特定客户)、烟台银行股份有限公司( 特邀客户)、江苏江南农村商业银行股份有限公司(私享客户)、蒙商银行股份有限公司(特邀客户)、长沙银行股份有限公司、郑州银行股份有限公司、日照银行股份有限公司、泰安银行股份有限公司、齐鲁银行股份有限公司(特邀客户 )、台州银行股份有限公司( 新客专享)、天津农村商业银行股份有限公司(军人客户)、云南红塔银行股份有限公司( 财富客户)、兰州银行股份有限公司、桂林银行股份有限公司( 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(50万元起购 )。</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 新客户)。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私行客群)、江苏扬州农村商业银行股份有限公司( 公司客户)。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A份额/B份额/C份额/D份额/F份额/G份额/H份额/J份额/L份额：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2025年11月12日 09:00—2025年11月18日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2025年11月19日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2025年11月19日—实际到期日（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2026年06月03日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A份额：业绩比较基准为1.83%(年化)。</w:t>
            </w:r>
          </w:p>
          <w:p>
            <w:pPr>
              <w:pStyle w:val="null10"/>
              <w:spacing w:lineRule="exact" w:line="200"/>
            </w:pPr>
            <w:r>
              <w:rPr>
                <w:rFonts w:ascii="方正黑体_GBK" w:hAnsi="方正黑体_GBK" w:cs="宋体" w:eastAsia="方正黑体_GBK"/>
                <w:sz w:val="18"/>
                <w:szCs w:val="18"/>
              </w:rPr>
              <w:t>B份额：业绩比较基准为1.93%(年化)。</w:t>
            </w:r>
          </w:p>
          <w:p>
            <w:pPr>
              <w:pStyle w:val="null10"/>
              <w:spacing w:lineRule="exact" w:line="200"/>
            </w:pPr>
            <w:r>
              <w:rPr>
                <w:rFonts w:ascii="方正黑体_GBK" w:hAnsi="方正黑体_GBK" w:cs="宋体" w:eastAsia="方正黑体_GBK"/>
                <w:sz w:val="18"/>
                <w:szCs w:val="18"/>
              </w:rPr>
              <w:t>C份额：业绩比较基准为2.03%(年化)。</w:t>
            </w:r>
          </w:p>
          <w:p>
            <w:pPr>
              <w:pStyle w:val="null10"/>
              <w:spacing w:lineRule="exact" w:line="200"/>
            </w:pPr>
            <w:r>
              <w:rPr>
                <w:rFonts w:ascii="方正黑体_GBK" w:hAnsi="方正黑体_GBK" w:cs="宋体" w:eastAsia="方正黑体_GBK"/>
                <w:sz w:val="18"/>
                <w:szCs w:val="18"/>
              </w:rPr>
              <w:t>D份额：业绩比较基准为2.13%(年化)。</w:t>
            </w:r>
          </w:p>
          <w:p>
            <w:pPr>
              <w:pStyle w:val="null10"/>
              <w:spacing w:lineRule="exact" w:line="200"/>
            </w:pPr>
            <w:r>
              <w:rPr>
                <w:rFonts w:ascii="方正黑体_GBK" w:hAnsi="方正黑体_GBK" w:cs="宋体" w:eastAsia="方正黑体_GBK"/>
                <w:sz w:val="18"/>
                <w:szCs w:val="18"/>
              </w:rPr>
              <w:t>F份额：业绩比较基准为1.88%(年化)。</w:t>
            </w:r>
          </w:p>
          <w:p>
            <w:pPr>
              <w:pStyle w:val="null10"/>
              <w:spacing w:lineRule="exact" w:line="200"/>
            </w:pPr>
            <w:r>
              <w:rPr>
                <w:rFonts w:ascii="方正黑体_GBK" w:hAnsi="方正黑体_GBK" w:cs="宋体" w:eastAsia="方正黑体_GBK"/>
                <w:sz w:val="18"/>
                <w:szCs w:val="18"/>
              </w:rPr>
              <w:t>G份额：业绩比较基准为1.93%(年化)。</w:t>
            </w:r>
          </w:p>
          <w:p>
            <w:pPr>
              <w:pStyle w:val="null10"/>
              <w:spacing w:lineRule="exact" w:line="200"/>
            </w:pPr>
            <w:r>
              <w:rPr>
                <w:rFonts w:ascii="方正黑体_GBK" w:hAnsi="方正黑体_GBK" w:cs="宋体" w:eastAsia="方正黑体_GBK"/>
                <w:sz w:val="18"/>
                <w:szCs w:val="18"/>
              </w:rPr>
              <w:t>H份额：业绩比较基准为1.93%(年化)。</w:t>
            </w:r>
          </w:p>
          <w:p>
            <w:pPr>
              <w:pStyle w:val="null10"/>
              <w:spacing w:lineRule="exact" w:line="200"/>
            </w:pPr>
            <w:r>
              <w:rPr>
                <w:rFonts w:ascii="方正黑体_GBK" w:hAnsi="方正黑体_GBK" w:cs="宋体" w:eastAsia="方正黑体_GBK"/>
                <w:sz w:val="18"/>
                <w:szCs w:val="18"/>
              </w:rPr>
              <w:t>J份额：业绩比较基准为1.83%(年化)。</w:t>
            </w:r>
          </w:p>
          <w:p>
            <w:pPr>
              <w:pStyle w:val="null10"/>
              <w:spacing w:lineRule="exact" w:line="200"/>
            </w:pPr>
            <w:r>
              <w:rPr>
                <w:rFonts w:ascii="方正黑体_GBK" w:hAnsi="方正黑体_GBK" w:cs="宋体" w:eastAsia="方正黑体_GBK"/>
                <w:sz w:val="18"/>
                <w:szCs w:val="18"/>
              </w:rPr>
              <w:t>L份额：业绩比较基准为2.08%(年化)。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H份额：固定管理费年化0.13%</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D份额：到期兑付时，当期产品投资的实际资产组合收益（扣除销售费、固定管理费、托管费等相关费用）超过2.13%（年化，即产品该份额对应的业绩报酬计提基准）时，超过部分管理人将按60%收取业绩报酬。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L份额：到期兑付时，当期产品投资的实际资产组合收益（扣除销售费、固定管理费、托管费等相关费用）超过2.08%（年化，即产品该份额对应的业绩报酬计提基准）时，超过部分管理人将按60%收取业绩报酬。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江苏海安农村商业银行股份有限公司、青岛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c9493ccd"/>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4a36be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4a36be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4a36be1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4a36be1d"/>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4a36be1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4a36be1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4a36be1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4a36be1d"/>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南银理财珠联璧合鑫逸稳半年151期封闭式公募人民币理财产品</w:t>
      </w:r>
      <w:r>
        <w:rPr>
          <w:rFonts w:ascii="方正黑体_GBK" w:eastAsia="方正黑体_GBK" w:hint="eastAsia" w:hAnsi="方正黑体_GBK"/>
          <w:vanish w:val="0"/>
          <w:color w:val="3D3D3D"/>
          <w:kern w:val="0"/>
          <w:sz w:val="15"/>
          <w:szCs w:val="15"/>
        </w:rPr>
        <w:t>。</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4a36be1d"/>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4a36be1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4a36be1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4a36be1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ec29533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ec29533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ec29533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ec29533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ec29533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ec29533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4a36be1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4a36be1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4a36be1d"/>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ec295339"/>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c9493ccd"/>
        <w:keepNext w:val="0"/>
        <w:keepLines w:val="0"/>
        <w:pageBreakBefore w:val="0"/>
        <w:widowControl/>
        <w:suppressLineNumbers w:val="0"/>
        <w:suppressAutoHyphens w:val="0"/>
        <w:spacing w:line="200" w:lineRule="exact"/>
        <w:ind w:firstLineChars="200" w:firstLine="300"/>
        <w:rPr>
          <w:rStyle w:val="ec295339"/>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c9493cc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c9493cc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c9493c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c9493c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c9493c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c9493c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c9493c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c9493c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c9493c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c9493c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c9493c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c9493cc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c9493cc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c9493cc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c9493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c9493ccd"/>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1"/>
  </w:num>
  <w:num w:numId="3">
    <w:abstractNumId w:val="2"/>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9d55f5f6">
    <w:name w:val="Normal9d55f5f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33a430e">
    <w:name w:val="heading 1233a430e"/>
    <w:basedOn w:val="9d55f5f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6360948">
    <w:name w:val="heading 236360948"/>
    <w:basedOn w:val="9d55f5f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575ebe2">
    <w:name w:val="heading 32575ebe2"/>
    <w:basedOn w:val="9d55f5f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1d33f7f">
    <w:name w:val="Default Paragraph Font51d33f7f"/>
  </w:style>
  <w:style xmlns:r="http://schemas.openxmlformats.org/officeDocument/2006/relationships" w:type="paragraph" w:styleId="59840e02">
    <w:name w:val="toc 159840e02"/>
    <w:basedOn w:val="9d55f5f6"/>
    <w:autoRedefine/>
    <w:next w:val="0"/>
  </w:style>
  <w:style xmlns:r="http://schemas.openxmlformats.org/officeDocument/2006/relationships" w:type="paragraph" w:styleId="1adb6060">
    <w:name w:val="toc 21adb6060"/>
    <w:basedOn w:val="9d55f5f6"/>
    <w:autoRedefine/>
    <w:next w:val="0"/>
    <w:pPr>
      <w:ind w:left="420"/>
    </w:pPr>
  </w:style>
  <w:style xmlns:r="http://schemas.openxmlformats.org/officeDocument/2006/relationships" w:type="paragraph" w:styleId="02d64597">
    <w:name w:val="toc 302d64597"/>
    <w:basedOn w:val="9d55f5f6"/>
    <w:autoRedefine/>
    <w:next w:val="0"/>
    <w:pPr>
      <w:ind w:left="840"/>
    </w:pPr>
  </w:style>
  <w:style xmlns:r="http://schemas.openxmlformats.org/officeDocument/2006/relationships" w:type="paragraph" w:styleId="419e9c75">
    <w:name w:val="toc 4419e9c75"/>
    <w:basedOn w:val="9d55f5f6"/>
    <w:autoRedefine/>
    <w:next w:val="0"/>
    <w:pPr>
      <w:ind w:left="1260"/>
    </w:pPr>
  </w:style>
  <w:style xmlns:r="http://schemas.openxmlformats.org/officeDocument/2006/relationships" w:type="paragraph" w:styleId="e34c2271">
    <w:name w:val="toc 5e34c2271"/>
    <w:basedOn w:val="9d55f5f6"/>
    <w:autoRedefine/>
    <w:next w:val="0"/>
    <w:pPr>
      <w:ind w:left="1680"/>
    </w:pPr>
  </w:style>
  <w:style xmlns:r="http://schemas.openxmlformats.org/officeDocument/2006/relationships" w:type="paragraph" w:styleId="aed005b9">
    <w:name w:val="headeraed005b9"/>
    <w:basedOn w:val="9d55f5f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7baf63c">
    <w:name w:val="footerd7baf63c"/>
    <w:basedOn w:val="9d55f5f6"/>
    <w:pPr>
      <w:tabs>
        <w:tab w:val="center" w:pos="4153"/>
        <w:tab w:val="right" w:pos="8307"/>
      </w:tabs>
      <w:adjustRightInd/>
      <w:snapToGrid w:val="0"/>
      <w:contextualSpacing w:val="0"/>
      <w:jc w:val="left"/>
    </w:pPr>
    <w:rPr>
      <w:sz w:val="18"/>
    </w:rPr>
  </w:style>
  <w:style xmlns:r="http://schemas.openxmlformats.org/officeDocument/2006/relationships" w:type="character" w:styleId="9d1e3249">
    <w:name w:val="Strong9d1e3249"/>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9493ccd">
    <w:name w:val="Normalc9493cc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230c5b8c">
    <w:name w:val="heading 1230c5b8c"/>
    <w:basedOn w:val="c9493cc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4ae0cf2">
    <w:name w:val="heading 244ae0cf2"/>
    <w:basedOn w:val="c9493cc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f7e2cc4">
    <w:name w:val="heading 33f7e2cc4"/>
    <w:basedOn w:val="c9493cc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cfc199a">
    <w:name w:val="Default Paragraph Font7cfc199a"/>
  </w:style>
  <w:style xmlns:r="http://schemas.openxmlformats.org/officeDocument/2006/relationships" w:type="paragraph" w:styleId="188d53bc">
    <w:name w:val="Normal Indent188d53bc"/>
    <w:basedOn w:val="c9493ccd"/>
    <w:pPr>
      <w:ind w:firstLineChars="200" w:firstLine="200"/>
    </w:pPr>
  </w:style>
  <w:style xmlns:r="http://schemas.openxmlformats.org/officeDocument/2006/relationships" w:type="paragraph" w:styleId="a3cd0ebb">
    <w:name w:val="toc 5a3cd0ebb"/>
    <w:basedOn w:val="c9493ccd"/>
    <w:next w:val="0"/>
    <w:pPr>
      <w:ind w:left="1680"/>
    </w:pPr>
  </w:style>
  <w:style xmlns:r="http://schemas.openxmlformats.org/officeDocument/2006/relationships" w:type="paragraph" w:styleId="bfc695c4">
    <w:name w:val="toc 3bfc695c4"/>
    <w:basedOn w:val="c9493ccd"/>
    <w:next w:val="0"/>
    <w:pPr>
      <w:ind w:left="840"/>
    </w:pPr>
  </w:style>
  <w:style xmlns:r="http://schemas.openxmlformats.org/officeDocument/2006/relationships" w:type="paragraph" w:styleId="563a9b7e">
    <w:name w:val="footer563a9b7e"/>
    <w:basedOn w:val="c9493ccd"/>
    <w:pPr>
      <w:tabs>
        <w:tab w:val="center" w:pos="4153"/>
        <w:tab w:val="right" w:pos="8307"/>
      </w:tabs>
      <w:adjustRightInd/>
      <w:snapToGrid w:val="0"/>
      <w:contextualSpacing w:val="0"/>
      <w:jc w:val="left"/>
    </w:pPr>
    <w:rPr>
      <w:sz w:val="18"/>
    </w:rPr>
  </w:style>
  <w:style xmlns:r="http://schemas.openxmlformats.org/officeDocument/2006/relationships" w:type="paragraph" w:styleId="17c3c2aa">
    <w:name w:val="header17c3c2aa"/>
    <w:basedOn w:val="c9493cc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1e274cc">
    <w:name w:val="toc 1d1e274cc"/>
    <w:basedOn w:val="c9493ccd"/>
    <w:next w:val="0"/>
  </w:style>
  <w:style xmlns:r="http://schemas.openxmlformats.org/officeDocument/2006/relationships" w:type="paragraph" w:styleId="bdcc69f2">
    <w:name w:val="toc 4bdcc69f2"/>
    <w:basedOn w:val="c9493ccd"/>
    <w:next w:val="0"/>
    <w:pPr>
      <w:ind w:left="1260"/>
    </w:pPr>
  </w:style>
  <w:style xmlns:r="http://schemas.openxmlformats.org/officeDocument/2006/relationships" w:type="paragraph" w:styleId="4adbb527">
    <w:name w:val="toc 24adbb527"/>
    <w:basedOn w:val="c9493ccd"/>
    <w:next w:val="0"/>
    <w:pPr>
      <w:ind w:left="420"/>
    </w:pPr>
  </w:style>
  <w:style xmlns:r="http://schemas.openxmlformats.org/officeDocument/2006/relationships" w:type="paragraph" w:styleId="3b29b31b">
    <w:name w:val="Normal (Web)3b29b31b"/>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4a36be1d">
    <w:name w:val="Normal4a36be1d4a36be1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2195263f">
    <w:name w:val="heading 12195263f2195263f"/>
    <w:basedOn w:val="4a36be1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59d6b92">
    <w:name w:val="heading 2f59d6b92f59d6b92"/>
    <w:basedOn w:val="4a36be1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808b4cc">
    <w:name w:val="heading 30808b4cc0808b4cc"/>
    <w:basedOn w:val="4a36be1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7715e5b">
    <w:name w:val="Default Paragraph Font87715e5b87715e5b"/>
  </w:style>
  <w:style xmlns:r="http://schemas.openxmlformats.org/officeDocument/2006/relationships" w:type="paragraph" w:customStyle="1" w:styleId="6a6221d9">
    <w:name w:val="引文目录16a6221d96a6221d9"/>
    <w:basedOn w:val="4a36be1d"/>
    <w:next w:val="0"/>
    <w:pPr>
      <w:ind w:leftChars="200" w:left="200"/>
    </w:pPr>
  </w:style>
  <w:style xmlns:r="http://schemas.openxmlformats.org/officeDocument/2006/relationships" w:type="paragraph" w:styleId="2cfd5361">
    <w:name w:val="toc 52cfd53612cfd5361"/>
    <w:basedOn w:val="4a36be1d"/>
    <w:next w:val="0"/>
    <w:pPr>
      <w:ind w:left="1680"/>
    </w:pPr>
  </w:style>
  <w:style xmlns:r="http://schemas.openxmlformats.org/officeDocument/2006/relationships" w:type="paragraph" w:styleId="090b23c5">
    <w:name w:val="toc 3090b23c5090b23c5"/>
    <w:basedOn w:val="4a36be1d"/>
    <w:next w:val="0"/>
    <w:pPr>
      <w:ind w:left="840"/>
    </w:pPr>
  </w:style>
  <w:style xmlns:r="http://schemas.openxmlformats.org/officeDocument/2006/relationships" w:type="paragraph" w:styleId="6b0eb4bc">
    <w:name w:val="footer6b0eb4bc6b0eb4bc"/>
    <w:basedOn w:val="4a36be1d"/>
    <w:pPr>
      <w:tabs>
        <w:tab w:val="center" w:pos="4153"/>
        <w:tab w:val="right" w:pos="8307"/>
      </w:tabs>
      <w:adjustRightInd/>
      <w:snapToGrid w:val="0"/>
      <w:contextualSpacing w:val="0"/>
      <w:jc w:val="left"/>
    </w:pPr>
    <w:rPr>
      <w:sz w:val="18"/>
    </w:rPr>
  </w:style>
  <w:style xmlns:r="http://schemas.openxmlformats.org/officeDocument/2006/relationships" w:type="paragraph" w:styleId="ffe56c8e">
    <w:name w:val="headerffe56c8effe56c8e"/>
    <w:basedOn w:val="4a36be1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ff33b7d">
    <w:name w:val="toc 16ff33b7d6ff33b7d"/>
    <w:basedOn w:val="4a36be1d"/>
    <w:next w:val="0"/>
  </w:style>
  <w:style xmlns:r="http://schemas.openxmlformats.org/officeDocument/2006/relationships" w:type="paragraph" w:styleId="bd3ba723">
    <w:name w:val="toc 4bd3ba723bd3ba723"/>
    <w:basedOn w:val="4a36be1d"/>
    <w:next w:val="0"/>
    <w:pPr>
      <w:ind w:left="1260"/>
    </w:pPr>
  </w:style>
  <w:style xmlns:r="http://schemas.openxmlformats.org/officeDocument/2006/relationships" w:type="paragraph" w:styleId="31885ace">
    <w:name w:val="toc 231885ace31885ace"/>
    <w:basedOn w:val="4a36be1d"/>
    <w:next w:val="0"/>
    <w:pPr>
      <w:ind w:left="420"/>
    </w:pPr>
  </w:style>
  <w:style xmlns:r="http://schemas.openxmlformats.org/officeDocument/2006/relationships" w:type="paragraph" w:customStyle="1" w:styleId="ec295339">
    <w:name w:val="列出段落1ec295339ec295339"/>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