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97230A">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7F99637F">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61BE8C61">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49F4610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6253897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7CDA9DB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南银理财珠联璧合鑫逸稳一年248期封闭式公募人民币理财产品</w:t>
            </w:r>
          </w:p>
        </w:tc>
      </w:tr>
      <w:tr w14:paraId="42C62DC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147A76A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4444B9C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117496A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3E4ACB8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723B106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448CED8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63DD63F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4854ADA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ZZ700322500574</w:t>
            </w:r>
          </w:p>
        </w:tc>
      </w:tr>
      <w:tr w14:paraId="4D45DEC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715B7C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3AB34DB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Z7003225000374(投资者可依据该编码在中国理财网www.chinawealth.com.cn查询理财产品相关信息）</w:t>
            </w:r>
          </w:p>
        </w:tc>
      </w:tr>
      <w:tr w14:paraId="28957F7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C0AB2E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205CEFDF">
            <w:pPr>
              <w:spacing w:line="200" w:lineRule="exact"/>
            </w:pPr>
            <w:r>
              <w:rPr>
                <w:rFonts w:ascii="方正黑体_GBK" w:hAnsi="方正黑体_GBK" w:eastAsia="方正黑体_GBK" w:cs="宋体"/>
                <w:sz w:val="18"/>
                <w:szCs w:val="18"/>
              </w:rPr>
              <w:t>A份额：Y30248</w:t>
            </w:r>
          </w:p>
          <w:p w14:paraId="75307661">
            <w:pPr>
              <w:spacing w:line="200" w:lineRule="exact"/>
            </w:pPr>
            <w:r>
              <w:rPr>
                <w:rFonts w:ascii="方正黑体_GBK" w:hAnsi="方正黑体_GBK" w:eastAsia="方正黑体_GBK" w:cs="宋体"/>
                <w:sz w:val="18"/>
                <w:szCs w:val="18"/>
              </w:rPr>
              <w:t>B份额：Y31248</w:t>
            </w:r>
          </w:p>
          <w:p w14:paraId="7CA89247">
            <w:pPr>
              <w:spacing w:line="200" w:lineRule="exact"/>
            </w:pPr>
            <w:r>
              <w:rPr>
                <w:rFonts w:ascii="方正黑体_GBK" w:hAnsi="方正黑体_GBK" w:eastAsia="方正黑体_GBK" w:cs="宋体"/>
                <w:sz w:val="18"/>
                <w:szCs w:val="18"/>
              </w:rPr>
              <w:t>C份额：Y32248</w:t>
            </w:r>
          </w:p>
          <w:p w14:paraId="5F6D0538">
            <w:pPr>
              <w:spacing w:line="200" w:lineRule="exact"/>
            </w:pPr>
            <w:r>
              <w:rPr>
                <w:rFonts w:ascii="方正黑体_GBK" w:hAnsi="方正黑体_GBK" w:eastAsia="方正黑体_GBK" w:cs="宋体"/>
                <w:sz w:val="18"/>
                <w:szCs w:val="18"/>
              </w:rPr>
              <w:t>D份额：Y33248</w:t>
            </w:r>
          </w:p>
          <w:p w14:paraId="1D0D3C64">
            <w:pPr>
              <w:spacing w:line="200" w:lineRule="exact"/>
            </w:pPr>
            <w:r>
              <w:rPr>
                <w:rFonts w:ascii="方正黑体_GBK" w:hAnsi="方正黑体_GBK" w:eastAsia="方正黑体_GBK" w:cs="宋体"/>
                <w:sz w:val="18"/>
                <w:szCs w:val="18"/>
              </w:rPr>
              <w:t>F份额：Y35248</w:t>
            </w:r>
          </w:p>
          <w:p w14:paraId="33840879">
            <w:pPr>
              <w:spacing w:line="200" w:lineRule="exact"/>
            </w:pPr>
            <w:r>
              <w:rPr>
                <w:rFonts w:ascii="方正黑体_GBK" w:hAnsi="方正黑体_GBK" w:eastAsia="方正黑体_GBK" w:cs="宋体"/>
                <w:sz w:val="18"/>
                <w:szCs w:val="18"/>
              </w:rPr>
              <w:t>G份额：Y36248</w:t>
            </w:r>
          </w:p>
          <w:p w14:paraId="0A415344">
            <w:pPr>
              <w:spacing w:line="200" w:lineRule="exact"/>
            </w:pPr>
            <w:r>
              <w:rPr>
                <w:rFonts w:ascii="方正黑体_GBK" w:hAnsi="方正黑体_GBK" w:eastAsia="方正黑体_GBK" w:cs="宋体"/>
                <w:sz w:val="18"/>
                <w:szCs w:val="18"/>
              </w:rPr>
              <w:t>K份额：YA30248</w:t>
            </w:r>
          </w:p>
          <w:p w14:paraId="483AE47B">
            <w:pPr>
              <w:spacing w:line="200" w:lineRule="exact"/>
            </w:pPr>
            <w:r>
              <w:rPr>
                <w:rFonts w:ascii="方正黑体_GBK" w:hAnsi="方正黑体_GBK" w:eastAsia="方正黑体_GBK" w:cs="宋体"/>
                <w:sz w:val="18"/>
                <w:szCs w:val="18"/>
              </w:rPr>
              <w:t>L份额：YB30248</w:t>
            </w:r>
          </w:p>
          <w:p w14:paraId="28D76BF0">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4E2AA60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57FAF7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3E2FEB60">
            <w:pPr>
              <w:spacing w:line="200" w:lineRule="exact"/>
            </w:pPr>
            <w:r>
              <w:rPr>
                <w:rFonts w:ascii="方正黑体_GBK" w:hAnsi="方正黑体_GBK" w:eastAsia="方正黑体_GBK" w:cs="宋体"/>
                <w:sz w:val="18"/>
                <w:szCs w:val="18"/>
              </w:rPr>
              <w:t>全国</w:t>
            </w:r>
          </w:p>
        </w:tc>
      </w:tr>
      <w:tr w14:paraId="3EF4475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E92AE5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4042ED87">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236203A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D09582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3D8D3E86">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7966443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C0F98B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02CBA647">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766ABC74">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744A796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D62BC8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779F043D">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071CFFD1">
            <w:pPr>
              <w:spacing w:line="200" w:lineRule="exact"/>
            </w:pPr>
            <w:r>
              <w:rPr>
                <w:rFonts w:ascii="方正黑体_GBK" w:hAnsi="方正黑体_GBK" w:eastAsia="方正黑体_GBK" w:cs="宋体"/>
                <w:sz w:val="18"/>
                <w:szCs w:val="18"/>
              </w:rPr>
              <w:t>A份额：除B、C、D、F、G、K、L份额以外的所有客户（详见“销售机构”条款）。</w:t>
            </w:r>
          </w:p>
          <w:p w14:paraId="3BBE9068">
            <w:pPr>
              <w:spacing w:line="200" w:lineRule="exact"/>
            </w:pPr>
            <w:r>
              <w:rPr>
                <w:rFonts w:ascii="方正黑体_GBK" w:hAnsi="方正黑体_GBK" w:eastAsia="方正黑体_GBK" w:cs="宋体"/>
                <w:sz w:val="18"/>
                <w:szCs w:val="18"/>
              </w:rPr>
              <w:t>B份额：南京银行股份有限公司(新客或新资金或代发客户)、江苏太仓农村商业银行股份有限公司、青岛银行股份有限公司( 私行客户)、徽商银行股份有限公司( 常规客群)、杭州银行股份有限公司( 大众客户)、温州银行股份有限公司、烟台银行股份有限公司( 社保卡客户)、齐商银行股份有限公司、广州银行股份有限公司、江苏常熟农村商业银行股份有限公司( 专属客户)、苏州银行股份有限公司( 大众客户)、秦皇岛银行股份有限公司、潍坊银行股份有限公司( 财富客户)、齐鲁银行股份有限公司( 政务服务中心支行开业专享)、甘肃银行股份有限公司、天津农村商业银行股份有限公司( 滨海分行专属)、江苏南通农村商业银行股份有限公司( 代发客户)、江苏江都农村商业银行股份有限公司、江苏淮安农村商业银行股份有限公司(财富客户)、江苏镇江农村商业银行股份有限公司( 20万元起购)、江苏如皋农村商业银行股份有限公司( 代发客户)、徐州农村商业银行股份有限公司( 财富客群)、江苏紫金农村商业银行股份有限公司、江苏沛县农村商业银行股份有限公司、江苏仪征农村商业银行股份有限公司( 20万元起购)、枣庄银行股份有限公司。</w:t>
            </w:r>
          </w:p>
          <w:p w14:paraId="7D412EDB">
            <w:pPr>
              <w:spacing w:line="200" w:lineRule="exact"/>
            </w:pPr>
            <w:r>
              <w:rPr>
                <w:rFonts w:ascii="方正黑体_GBK" w:hAnsi="方正黑体_GBK" w:eastAsia="方正黑体_GBK" w:cs="宋体"/>
                <w:sz w:val="18"/>
                <w:szCs w:val="18"/>
              </w:rPr>
              <w:t>C份额：徽商银行股份有限公司(南京分行专属、马鞍山分行教师专属理财)、杭州银行股份有限公司( 私行客户)、烟台银行股份有限公司(特邀客户)、嘉兴银行股份有限公司( 私行客户)、郑州银行股份有限公司、苏州银行股份有限公司( 公司客户)、日照银行股份有限公司(特邀客群)、泰安银行股份有限公司、齐鲁银行股份有限公司(特邀客群)、天津农村商业银行股份有限公司(军人客户)、云南红塔银行股份有限公司(分行定制)、兰州银行股份有限公司、宁波通商银行股份有限公司( 价值客户和新客专属)、江苏泰兴农村商业银行股份有限公司、江苏响水农村商业银行股份有限公司(起点金额50万)、江苏靖江农村商业银行股份有限公司、江苏盐城农村商业银行股份有限公司( 行庆特供)、江苏南通农村商业银行股份有限公司( 机构客户)、江苏兴化农村商业银行股份有限公司、江苏镇江农村商业银行股份有限公司( 100万元起购)、江苏滨海农村商业银行股份有限公司、江苏射阳农村商业银行股份有限公司、江苏句容农村商业银行股份有限公司、江苏如东农村商业银行股份有限公司。</w:t>
            </w:r>
          </w:p>
          <w:p w14:paraId="6E845F77">
            <w:pPr>
              <w:spacing w:line="200" w:lineRule="exact"/>
            </w:pPr>
            <w:r>
              <w:rPr>
                <w:rFonts w:ascii="方正黑体_GBK" w:hAnsi="方正黑体_GBK" w:eastAsia="方正黑体_GBK" w:cs="宋体"/>
                <w:sz w:val="18"/>
                <w:szCs w:val="18"/>
              </w:rPr>
              <w:t>D份额：天津农村商业银行股份有限公司( 新客户)。</w:t>
            </w:r>
          </w:p>
          <w:p w14:paraId="6FBD5884">
            <w:pPr>
              <w:spacing w:line="200" w:lineRule="exact"/>
            </w:pPr>
            <w:r>
              <w:rPr>
                <w:rFonts w:ascii="方正黑体_GBK" w:hAnsi="方正黑体_GBK" w:eastAsia="方正黑体_GBK" w:cs="宋体"/>
                <w:sz w:val="18"/>
                <w:szCs w:val="18"/>
              </w:rPr>
              <w:t>F份额：兴业银行股份有限公司（普通客户）。</w:t>
            </w:r>
          </w:p>
          <w:p w14:paraId="7C48E1B5">
            <w:pPr>
              <w:spacing w:line="200" w:lineRule="exact"/>
            </w:pPr>
            <w:r>
              <w:rPr>
                <w:rFonts w:ascii="方正黑体_GBK" w:hAnsi="方正黑体_GBK" w:eastAsia="方正黑体_GBK" w:cs="宋体"/>
                <w:sz w:val="18"/>
                <w:szCs w:val="18"/>
              </w:rPr>
              <w:t>G份额：兴业银行股份有限公司（新客户）。</w:t>
            </w:r>
          </w:p>
          <w:p w14:paraId="289FC18E">
            <w:pPr>
              <w:spacing w:line="200" w:lineRule="exact"/>
            </w:pPr>
            <w:r>
              <w:rPr>
                <w:rFonts w:ascii="方正黑体_GBK" w:hAnsi="方正黑体_GBK" w:eastAsia="方正黑体_GBK" w:cs="宋体"/>
                <w:sz w:val="18"/>
                <w:szCs w:val="18"/>
              </w:rPr>
              <w:t>K份额：吉林银行股份有限公司。</w:t>
            </w:r>
          </w:p>
          <w:p w14:paraId="04DA3E9F">
            <w:pPr>
              <w:spacing w:line="200" w:lineRule="exact"/>
            </w:pPr>
            <w:r>
              <w:rPr>
                <w:rFonts w:ascii="方正黑体_GBK" w:hAnsi="方正黑体_GBK" w:eastAsia="方正黑体_GBK" w:cs="宋体"/>
                <w:sz w:val="18"/>
                <w:szCs w:val="18"/>
              </w:rPr>
              <w:t>L份额：江苏张家港农村商业银行股份有限公司( 特定客户)、江苏常熟农村商业银行股份有限公司( 专属特定客群)、苏州银行股份有限公司( 特邀客群)、天津农村商业银行股份有限公司( 私行客群)。</w:t>
            </w:r>
          </w:p>
          <w:p w14:paraId="61B674B2">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3DAF424B">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5DAF7C7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A32A90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788F2F81">
            <w:pPr>
              <w:spacing w:line="200" w:lineRule="exact"/>
            </w:pPr>
            <w:r>
              <w:rPr>
                <w:rFonts w:ascii="方正黑体_GBK" w:hAnsi="方正黑体_GBK" w:eastAsia="方正黑体_GBK" w:cs="宋体"/>
                <w:sz w:val="18"/>
                <w:szCs w:val="18"/>
              </w:rPr>
              <w:t>A份额/B份额/C份额/D份额/F份额/G份额/K份额/L份额：</w:t>
            </w:r>
          </w:p>
          <w:p w14:paraId="4E5F7F9D">
            <w:pPr>
              <w:spacing w:line="200" w:lineRule="exact"/>
            </w:pPr>
            <w:r>
              <w:rPr>
                <w:rFonts w:ascii="方正黑体_GBK" w:hAnsi="方正黑体_GBK" w:eastAsia="方正黑体_GBK" w:cs="宋体"/>
                <w:sz w:val="18"/>
                <w:szCs w:val="18"/>
              </w:rPr>
              <w:t>个人投资者投资起点金额1元人民币，以1元的整数倍递增；</w:t>
            </w:r>
          </w:p>
          <w:p w14:paraId="76ED92AA">
            <w:pPr>
              <w:spacing w:line="200" w:lineRule="exact"/>
            </w:pPr>
            <w:r>
              <w:rPr>
                <w:rFonts w:ascii="方正黑体_GBK" w:hAnsi="方正黑体_GBK" w:eastAsia="方正黑体_GBK" w:cs="宋体"/>
                <w:sz w:val="18"/>
                <w:szCs w:val="18"/>
              </w:rPr>
              <w:t>机构投资者投资起点金额1元人民币，以1元的整数倍递增；</w:t>
            </w:r>
          </w:p>
          <w:p w14:paraId="6DFDFCD6">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05DE0D3F">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3169CC5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E19AA90">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76EE9619">
            <w:pPr>
              <w:spacing w:line="200" w:lineRule="exact"/>
            </w:pPr>
            <w:r>
              <w:rPr>
                <w:rFonts w:ascii="方正黑体_GBK" w:hAnsi="方正黑体_GBK" w:eastAsia="方正黑体_GBK" w:cs="宋体"/>
                <w:sz w:val="18"/>
                <w:szCs w:val="18"/>
              </w:rPr>
              <w:t>A份额/B份额/C份额/D份额/F份额/G份额/K份额/L份额：</w:t>
            </w:r>
          </w:p>
          <w:p w14:paraId="49C3384A">
            <w:pPr>
              <w:spacing w:line="200" w:lineRule="exact"/>
            </w:pPr>
            <w:r>
              <w:rPr>
                <w:rFonts w:ascii="方正黑体_GBK" w:hAnsi="方正黑体_GBK" w:eastAsia="方正黑体_GBK" w:cs="宋体"/>
                <w:sz w:val="18"/>
                <w:szCs w:val="18"/>
              </w:rPr>
              <w:t>暂不设置单个投资者持有金额上限；</w:t>
            </w:r>
          </w:p>
          <w:p w14:paraId="7FAC59B1">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3C143040">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19AF98E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32905A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2ACC3F62">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3CB896C1">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205F33D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5CE8EA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1D297B78">
            <w:pPr>
              <w:spacing w:line="200" w:lineRule="exact"/>
            </w:pPr>
            <w:r>
              <w:rPr>
                <w:rFonts w:ascii="方正黑体_GBK" w:hAnsi="方正黑体_GBK" w:eastAsia="方正黑体_GBK" w:cs="宋体"/>
                <w:color w:val="000000"/>
                <w:sz w:val="18"/>
                <w:szCs w:val="18"/>
              </w:rPr>
              <w:t>2025年11月12日 09:00—2025年11月18日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125222B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4D7F716">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62933361">
            <w:pPr>
              <w:spacing w:line="200" w:lineRule="exact"/>
            </w:pPr>
            <w:r>
              <w:rPr>
                <w:rFonts w:ascii="方正黑体_GBK" w:hAnsi="方正黑体_GBK" w:eastAsia="方正黑体_GBK" w:cs="宋体"/>
                <w:sz w:val="18"/>
                <w:szCs w:val="18"/>
              </w:rPr>
              <w:t>认购份额=确认认购金额/1。（认购份额以去尾法保留两位小数）</w:t>
            </w:r>
          </w:p>
        </w:tc>
      </w:tr>
      <w:tr w14:paraId="470EDC3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4EB405B">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2FE7AABA">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4AFCCA3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25C4FA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73821CB6">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2025年11月19日</w:t>
            </w:r>
          </w:p>
        </w:tc>
      </w:tr>
      <w:tr w14:paraId="14402A9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21BA22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00D24330">
            <w:pPr>
              <w:spacing w:line="200" w:lineRule="exact"/>
            </w:pPr>
            <w:r>
              <w:rPr>
                <w:rFonts w:ascii="方正黑体_GBK" w:hAnsi="方正黑体_GBK" w:eastAsia="方正黑体_GBK" w:cs="宋体"/>
                <w:sz w:val="18"/>
                <w:szCs w:val="18"/>
              </w:rPr>
              <w:t>2025年11月19日—实际到期日（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399天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52987E1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DB63C0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7CB9628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2026年12月23日</w:t>
            </w:r>
          </w:p>
        </w:tc>
      </w:tr>
      <w:tr w14:paraId="132C38E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CE13D62">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023A1470">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6691629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916767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016D0A08">
            <w:pPr>
              <w:spacing w:line="200" w:lineRule="exact"/>
            </w:pPr>
            <w:r>
              <w:rPr>
                <w:rFonts w:ascii="方正黑体_GBK" w:hAnsi="方正黑体_GBK" w:eastAsia="方正黑体_GBK" w:cs="宋体"/>
                <w:sz w:val="18"/>
                <w:szCs w:val="18"/>
              </w:rPr>
              <w:t>本理财产品存续期间不进行分红。</w:t>
            </w:r>
          </w:p>
          <w:p w14:paraId="647B48BC">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6BADC31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C95A67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4B1D2859">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5A574E2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29010F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6A43464E">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730270A3">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6B0AA91F">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29F7DBE9">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3A6348C5">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410FB682">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5B6C87B8">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1AA99D9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73CE97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182108BA">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7D6CFB3A">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09288C6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EBC8D8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5429A962">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131D28A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0498D1F">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23DAD4EF">
            <w:pPr>
              <w:spacing w:line="200" w:lineRule="exact"/>
            </w:pPr>
            <w:r>
              <w:rPr>
                <w:rFonts w:ascii="方正黑体_GBK" w:hAnsi="方正黑体_GBK" w:eastAsia="方正黑体_GBK" w:cs="宋体"/>
                <w:b/>
                <w:sz w:val="18"/>
                <w:szCs w:val="18"/>
              </w:rPr>
              <w:t>本理财产品拟投资以下备选非标准化债权类资产：</w:t>
            </w:r>
          </w:p>
          <w:p w14:paraId="4C0FF5F2">
            <w:pPr>
              <w:spacing w:line="200" w:lineRule="exact"/>
            </w:pPr>
            <w:r>
              <w:rPr>
                <w:rFonts w:ascii="方正黑体_GBK" w:hAnsi="方正黑体_GBK" w:eastAsia="方正黑体_GBK"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3128DF33">
            <w:pPr>
              <w:spacing w:line="200" w:lineRule="exact"/>
            </w:pPr>
            <w:r>
              <w:rPr>
                <w:rFonts w:ascii="方正黑体_GBK" w:hAnsi="方正黑体_GBK" w:eastAsia="方正黑体_GBK"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11094B2E">
            <w:pPr>
              <w:spacing w:line="200" w:lineRule="exact"/>
            </w:pPr>
            <w:r>
              <w:rPr>
                <w:rFonts w:ascii="方正黑体_GBK" w:hAnsi="方正黑体_GBK" w:eastAsia="方正黑体_GBK"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13622B86">
            <w:pPr>
              <w:spacing w:line="200" w:lineRule="exact"/>
            </w:pPr>
            <w:r>
              <w:rPr>
                <w:rFonts w:ascii="方正黑体_GBK" w:hAnsi="方正黑体_GBK" w:eastAsia="方正黑体_GBK"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0C3BCCDE">
            <w:pPr>
              <w:spacing w:line="200" w:lineRule="exact"/>
            </w:pPr>
            <w:r>
              <w:rPr>
                <w:rFonts w:ascii="方正黑体_GBK" w:hAnsi="方正黑体_GBK" w:eastAsia="方正黑体_GBK"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14:paraId="56C1ED52">
            <w:pPr>
              <w:spacing w:line="200" w:lineRule="exact"/>
            </w:pPr>
            <w:r>
              <w:rPr>
                <w:rFonts w:ascii="方正黑体_GBK" w:hAnsi="方正黑体_GBK" w:eastAsia="方正黑体_GBK"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10D91775">
            <w:pPr>
              <w:spacing w:line="200" w:lineRule="exact"/>
            </w:pPr>
            <w:r>
              <w:rPr>
                <w:rFonts w:ascii="方正黑体_GBK" w:hAnsi="方正黑体_GBK" w:eastAsia="方正黑体_GBK"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6543E03F">
            <w:pPr>
              <w:spacing w:line="200" w:lineRule="exact"/>
            </w:pPr>
            <w:r>
              <w:rPr>
                <w:rFonts w:ascii="方正黑体_GBK" w:hAnsi="方正黑体_GBK" w:eastAsia="方正黑体_GBK"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14:paraId="3ED0597E">
            <w:pPr>
              <w:spacing w:line="200" w:lineRule="exact"/>
            </w:pPr>
            <w:r>
              <w:rPr>
                <w:rFonts w:ascii="方正黑体_GBK" w:hAnsi="方正黑体_GBK" w:eastAsia="方正黑体_GBK"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14:paraId="5BCDFC4E">
            <w:pPr>
              <w:spacing w:line="200" w:lineRule="exact"/>
            </w:pPr>
            <w:r>
              <w:rPr>
                <w:rFonts w:ascii="方正黑体_GBK" w:hAnsi="方正黑体_GBK" w:eastAsia="方正黑体_GBK"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14:paraId="53A4DBB7">
            <w:pPr>
              <w:spacing w:line="200" w:lineRule="exact"/>
            </w:pPr>
            <w:r>
              <w:rPr>
                <w:rFonts w:ascii="方正黑体_GBK" w:hAnsi="方正黑体_GBK" w:eastAsia="方正黑体_GBK"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14:paraId="00343698">
            <w:pPr>
              <w:spacing w:line="200" w:lineRule="exact"/>
            </w:pPr>
            <w:r>
              <w:rPr>
                <w:rFonts w:ascii="方正黑体_GBK" w:hAnsi="方正黑体_GBK" w:eastAsia="方正黑体_GBK" w:cs="宋体"/>
                <w:sz w:val="18"/>
                <w:szCs w:val="18"/>
              </w:rPr>
              <w:t>12.信托贷款：资产类型为信托公司设立的资金信托计划，底层资产为抖音及信托公司双重审核、信托公司自主风控后发放的“放心借”贷款资产，资产到期日不超过理财产品到期日。</w:t>
            </w:r>
          </w:p>
          <w:p w14:paraId="64352F5D">
            <w:pPr>
              <w:spacing w:line="200" w:lineRule="exact"/>
            </w:pPr>
            <w:r>
              <w:rPr>
                <w:rFonts w:ascii="方正黑体_GBK" w:hAnsi="方正黑体_GBK" w:eastAsia="方正黑体_GBK"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14:paraId="4E89C248">
            <w:pPr>
              <w:spacing w:line="200" w:lineRule="exact"/>
            </w:pPr>
            <w:r>
              <w:rPr>
                <w:rFonts w:ascii="方正黑体_GBK" w:hAnsi="方正黑体_GBK" w:eastAsia="方正黑体_GBK"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14:paraId="160B6671">
            <w:pPr>
              <w:spacing w:line="200" w:lineRule="exact"/>
            </w:pPr>
            <w:r>
              <w:rPr>
                <w:rFonts w:ascii="方正黑体_GBK" w:hAnsi="方正黑体_GBK" w:eastAsia="方正黑体_GBK"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12C27E4C">
            <w:pPr>
              <w:spacing w:line="200" w:lineRule="exact"/>
            </w:pPr>
            <w:r>
              <w:rPr>
                <w:rFonts w:ascii="方正黑体_GBK" w:hAnsi="方正黑体_GBK" w:eastAsia="方正黑体_GBK" w:cs="宋体"/>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066E590D">
            <w:pPr>
              <w:spacing w:line="200" w:lineRule="exact"/>
            </w:pPr>
            <w:r>
              <w:rPr>
                <w:rFonts w:ascii="方正黑体_GBK" w:hAnsi="方正黑体_GBK" w:eastAsia="方正黑体_GBK" w:cs="宋体"/>
                <w:b/>
                <w:sz w:val="18"/>
                <w:szCs w:val="18"/>
              </w:rPr>
              <w:t>以上资产剩余期限均不超过产品期限。</w:t>
            </w:r>
          </w:p>
          <w:p w14:paraId="323989E7">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7D7AE50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524CDB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4604A907">
            <w:pPr>
              <w:spacing w:line="200" w:lineRule="exact"/>
            </w:pPr>
            <w:r>
              <w:rPr>
                <w:rFonts w:ascii="方正黑体_GBK" w:hAnsi="方正黑体_GBK" w:eastAsia="方正黑体_GBK" w:cs="宋体"/>
                <w:sz w:val="18"/>
                <w:szCs w:val="18"/>
              </w:rPr>
              <w:t>A份额：业绩比较基准为年化2.15%-2.4% 。</w:t>
            </w:r>
          </w:p>
          <w:p w14:paraId="1458CA73">
            <w:pPr>
              <w:spacing w:line="200" w:lineRule="exact"/>
            </w:pPr>
            <w:r>
              <w:rPr>
                <w:rFonts w:ascii="方正黑体_GBK" w:hAnsi="方正黑体_GBK" w:eastAsia="方正黑体_GBK" w:cs="宋体"/>
                <w:sz w:val="18"/>
                <w:szCs w:val="18"/>
              </w:rPr>
              <w:t>B份额：业绩比较基准为年化2.25%-2.5% 。</w:t>
            </w:r>
          </w:p>
          <w:p w14:paraId="5D60E648">
            <w:pPr>
              <w:spacing w:line="200" w:lineRule="exact"/>
            </w:pPr>
            <w:r>
              <w:rPr>
                <w:rFonts w:ascii="方正黑体_GBK" w:hAnsi="方正黑体_GBK" w:eastAsia="方正黑体_GBK" w:cs="宋体"/>
                <w:sz w:val="18"/>
                <w:szCs w:val="18"/>
              </w:rPr>
              <w:t>C份额：业绩比较基准为年化2.35%-2.6% 。</w:t>
            </w:r>
          </w:p>
          <w:p w14:paraId="7566671A">
            <w:pPr>
              <w:spacing w:line="200" w:lineRule="exact"/>
            </w:pPr>
            <w:r>
              <w:rPr>
                <w:rFonts w:ascii="方正黑体_GBK" w:hAnsi="方正黑体_GBK" w:eastAsia="方正黑体_GBK" w:cs="宋体"/>
                <w:sz w:val="18"/>
                <w:szCs w:val="18"/>
              </w:rPr>
              <w:t>D份额：业绩比较基准为年化2.45%-2.7% 。</w:t>
            </w:r>
          </w:p>
          <w:p w14:paraId="5BAF3888">
            <w:pPr>
              <w:spacing w:line="200" w:lineRule="exact"/>
            </w:pPr>
            <w:r>
              <w:rPr>
                <w:rFonts w:ascii="方正黑体_GBK" w:hAnsi="方正黑体_GBK" w:eastAsia="方正黑体_GBK" w:cs="宋体"/>
                <w:sz w:val="18"/>
                <w:szCs w:val="18"/>
              </w:rPr>
              <w:t>F份额：业绩比较基准为年化2.2%-2.45% 。</w:t>
            </w:r>
          </w:p>
          <w:p w14:paraId="6F20AE30">
            <w:pPr>
              <w:spacing w:line="200" w:lineRule="exact"/>
            </w:pPr>
            <w:r>
              <w:rPr>
                <w:rFonts w:ascii="方正黑体_GBK" w:hAnsi="方正黑体_GBK" w:eastAsia="方正黑体_GBK" w:cs="宋体"/>
                <w:sz w:val="18"/>
                <w:szCs w:val="18"/>
              </w:rPr>
              <w:t>G份额：业绩比较基准为年化2.25%-2.5% 。</w:t>
            </w:r>
          </w:p>
          <w:p w14:paraId="7F451CC8">
            <w:pPr>
              <w:spacing w:line="200" w:lineRule="exact"/>
            </w:pPr>
            <w:r>
              <w:rPr>
                <w:rFonts w:ascii="方正黑体_GBK" w:hAnsi="方正黑体_GBK" w:eastAsia="方正黑体_GBK" w:cs="宋体"/>
                <w:sz w:val="18"/>
                <w:szCs w:val="18"/>
              </w:rPr>
              <w:t>K份额：业绩比较基准为年化2.3%-2.55% 。</w:t>
            </w:r>
          </w:p>
          <w:p w14:paraId="6443DCD9">
            <w:pPr>
              <w:spacing w:line="200" w:lineRule="exact"/>
            </w:pPr>
            <w:r>
              <w:rPr>
                <w:rFonts w:ascii="方正黑体_GBK" w:hAnsi="方正黑体_GBK" w:eastAsia="方正黑体_GBK" w:cs="宋体"/>
                <w:sz w:val="18"/>
                <w:szCs w:val="18"/>
              </w:rPr>
              <w:t>L份额：业绩比较基准为年化2.4%-2.65% 。</w:t>
            </w:r>
          </w:p>
          <w:p w14:paraId="7DD6D871">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50745C21">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2CA2E53E">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4637757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87F65BA">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6B17495B">
            <w:pPr>
              <w:spacing w:line="200" w:lineRule="exact"/>
            </w:pPr>
            <w:r>
              <w:rPr>
                <w:rFonts w:ascii="方正黑体_GBK" w:hAnsi="方正黑体_GBK" w:eastAsia="方正黑体_GBK" w:cs="宋体"/>
                <w:b/>
                <w:sz w:val="18"/>
                <w:szCs w:val="18"/>
              </w:rPr>
              <w:t>认/申购费：本理财产品暂不收取认/申购费。</w:t>
            </w:r>
          </w:p>
          <w:p w14:paraId="75AF5C0D">
            <w:pPr>
              <w:spacing w:line="200" w:lineRule="exact"/>
            </w:pPr>
            <w:r>
              <w:rPr>
                <w:rFonts w:ascii="方正黑体_GBK" w:hAnsi="方正黑体_GBK" w:eastAsia="方正黑体_GBK" w:cs="宋体"/>
                <w:b/>
                <w:sz w:val="18"/>
                <w:szCs w:val="18"/>
              </w:rPr>
              <w:t>赎回费：本理财产品暂不收取赎回费。</w:t>
            </w:r>
          </w:p>
          <w:p w14:paraId="39F43DE4">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59E333EA">
            <w:pPr>
              <w:spacing w:line="200" w:lineRule="exact"/>
            </w:pPr>
            <w:r>
              <w:rPr>
                <w:rFonts w:ascii="方正黑体_GBK" w:hAnsi="方正黑体_GBK" w:eastAsia="方正黑体_GBK" w:cs="宋体"/>
                <w:b/>
                <w:sz w:val="18"/>
                <w:szCs w:val="18"/>
              </w:rPr>
              <w:t>A份额：销售费年化0.2%</w:t>
            </w:r>
          </w:p>
          <w:p w14:paraId="6FD44A71">
            <w:pPr>
              <w:spacing w:line="200" w:lineRule="exact"/>
            </w:pPr>
            <w:r>
              <w:rPr>
                <w:rFonts w:ascii="方正黑体_GBK" w:hAnsi="方正黑体_GBK" w:eastAsia="方正黑体_GBK" w:cs="宋体"/>
                <w:b/>
                <w:sz w:val="18"/>
                <w:szCs w:val="18"/>
              </w:rPr>
              <w:t>B份额：销售费年化0.15%</w:t>
            </w:r>
          </w:p>
          <w:p w14:paraId="135D4CCC">
            <w:pPr>
              <w:spacing w:line="200" w:lineRule="exact"/>
            </w:pPr>
            <w:r>
              <w:rPr>
                <w:rFonts w:ascii="方正黑体_GBK" w:hAnsi="方正黑体_GBK" w:eastAsia="方正黑体_GBK" w:cs="宋体"/>
                <w:b/>
                <w:sz w:val="18"/>
                <w:szCs w:val="18"/>
              </w:rPr>
              <w:t>C份额：销售费年化0.05%</w:t>
            </w:r>
          </w:p>
          <w:p w14:paraId="30D7ADFB">
            <w:pPr>
              <w:spacing w:line="200" w:lineRule="exact"/>
            </w:pPr>
            <w:r>
              <w:rPr>
                <w:rFonts w:ascii="方正黑体_GBK" w:hAnsi="方正黑体_GBK" w:eastAsia="方正黑体_GBK" w:cs="宋体"/>
                <w:b/>
                <w:sz w:val="18"/>
                <w:szCs w:val="18"/>
              </w:rPr>
              <w:t>D份额：销售费年化0%</w:t>
            </w:r>
          </w:p>
          <w:p w14:paraId="6C57773D">
            <w:pPr>
              <w:spacing w:line="200" w:lineRule="exact"/>
            </w:pPr>
            <w:r>
              <w:rPr>
                <w:rFonts w:ascii="方正黑体_GBK" w:hAnsi="方正黑体_GBK" w:eastAsia="方正黑体_GBK" w:cs="宋体"/>
                <w:b/>
                <w:sz w:val="18"/>
                <w:szCs w:val="18"/>
              </w:rPr>
              <w:t>F份额：销售费年化0.25%</w:t>
            </w:r>
          </w:p>
          <w:p w14:paraId="5D570FBB">
            <w:pPr>
              <w:spacing w:line="200" w:lineRule="exact"/>
            </w:pPr>
            <w:r>
              <w:rPr>
                <w:rFonts w:ascii="方正黑体_GBK" w:hAnsi="方正黑体_GBK" w:eastAsia="方正黑体_GBK" w:cs="宋体"/>
                <w:b/>
                <w:sz w:val="18"/>
                <w:szCs w:val="18"/>
              </w:rPr>
              <w:t>G份额：销售费年化0.2%</w:t>
            </w:r>
          </w:p>
          <w:p w14:paraId="331921B4">
            <w:pPr>
              <w:spacing w:line="200" w:lineRule="exact"/>
            </w:pPr>
            <w:r>
              <w:rPr>
                <w:rFonts w:ascii="方正黑体_GBK" w:hAnsi="方正黑体_GBK" w:eastAsia="方正黑体_GBK" w:cs="宋体"/>
                <w:b/>
                <w:sz w:val="18"/>
                <w:szCs w:val="18"/>
              </w:rPr>
              <w:t>K份额：销售费年化0.15%</w:t>
            </w:r>
          </w:p>
          <w:p w14:paraId="7162CF87">
            <w:pPr>
              <w:spacing w:line="200" w:lineRule="exact"/>
            </w:pPr>
            <w:r>
              <w:rPr>
                <w:rFonts w:ascii="方正黑体_GBK" w:hAnsi="方正黑体_GBK" w:eastAsia="方正黑体_GBK" w:cs="宋体"/>
                <w:b/>
                <w:sz w:val="18"/>
                <w:szCs w:val="18"/>
              </w:rPr>
              <w:t>L份额：销售费年化0.05%</w:t>
            </w:r>
          </w:p>
          <w:p w14:paraId="69B13367">
            <w:pPr>
              <w:spacing w:line="200" w:lineRule="exact"/>
            </w:pPr>
            <w:r>
              <w:rPr>
                <w:rFonts w:ascii="方正黑体_GBK" w:hAnsi="方正黑体_GBK" w:eastAsia="方正黑体_GBK" w:cs="宋体"/>
                <w:b/>
                <w:sz w:val="18"/>
                <w:szCs w:val="18"/>
              </w:rPr>
              <w:t>每日计提的销售费=前一日理财产品资产净值×年化销售费率÷365</w:t>
            </w:r>
          </w:p>
          <w:p w14:paraId="695263F8">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05559AA4">
            <w:pPr>
              <w:spacing w:line="200" w:lineRule="exact"/>
            </w:pPr>
            <w:r>
              <w:rPr>
                <w:rFonts w:ascii="方正黑体_GBK" w:hAnsi="方正黑体_GBK" w:eastAsia="方正黑体_GBK" w:cs="宋体"/>
                <w:b/>
                <w:sz w:val="18"/>
                <w:szCs w:val="18"/>
              </w:rPr>
              <w:t>A份额：固定管理费年化0.2%</w:t>
            </w:r>
          </w:p>
          <w:p w14:paraId="5D5D5393">
            <w:pPr>
              <w:spacing w:line="200" w:lineRule="exact"/>
            </w:pPr>
            <w:r>
              <w:rPr>
                <w:rFonts w:ascii="方正黑体_GBK" w:hAnsi="方正黑体_GBK" w:eastAsia="方正黑体_GBK" w:cs="宋体"/>
                <w:b/>
                <w:sz w:val="18"/>
                <w:szCs w:val="18"/>
              </w:rPr>
              <w:t>B份额：固定管理费年化0.15%</w:t>
            </w:r>
          </w:p>
          <w:p w14:paraId="5DD2C2FE">
            <w:pPr>
              <w:spacing w:line="200" w:lineRule="exact"/>
            </w:pPr>
            <w:r>
              <w:rPr>
                <w:rFonts w:ascii="方正黑体_GBK" w:hAnsi="方正黑体_GBK" w:eastAsia="方正黑体_GBK" w:cs="宋体"/>
                <w:b/>
                <w:sz w:val="18"/>
                <w:szCs w:val="18"/>
              </w:rPr>
              <w:t>C份额：固定管理费年化0.15%</w:t>
            </w:r>
          </w:p>
          <w:p w14:paraId="22B96C3F">
            <w:pPr>
              <w:spacing w:line="200" w:lineRule="exact"/>
            </w:pPr>
            <w:r>
              <w:rPr>
                <w:rFonts w:ascii="方正黑体_GBK" w:hAnsi="方正黑体_GBK" w:eastAsia="方正黑体_GBK" w:cs="宋体"/>
                <w:b/>
                <w:sz w:val="18"/>
                <w:szCs w:val="18"/>
              </w:rPr>
              <w:t>D份额：固定管理费年化0.1%</w:t>
            </w:r>
          </w:p>
          <w:p w14:paraId="4C638099">
            <w:pPr>
              <w:spacing w:line="200" w:lineRule="exact"/>
            </w:pPr>
            <w:r>
              <w:rPr>
                <w:rFonts w:ascii="方正黑体_GBK" w:hAnsi="方正黑体_GBK" w:eastAsia="方正黑体_GBK" w:cs="宋体"/>
                <w:b/>
                <w:sz w:val="18"/>
                <w:szCs w:val="18"/>
              </w:rPr>
              <w:t>F份额：固定管理费年化0.1%</w:t>
            </w:r>
          </w:p>
          <w:p w14:paraId="620EC6C7">
            <w:pPr>
              <w:spacing w:line="200" w:lineRule="exact"/>
            </w:pPr>
            <w:r>
              <w:rPr>
                <w:rFonts w:ascii="方正黑体_GBK" w:hAnsi="方正黑体_GBK" w:eastAsia="方正黑体_GBK" w:cs="宋体"/>
                <w:b/>
                <w:sz w:val="18"/>
                <w:szCs w:val="18"/>
              </w:rPr>
              <w:t>G份额：固定管理费年化0.1%</w:t>
            </w:r>
          </w:p>
          <w:p w14:paraId="59205767">
            <w:pPr>
              <w:spacing w:line="200" w:lineRule="exact"/>
            </w:pPr>
            <w:r>
              <w:rPr>
                <w:rFonts w:ascii="方正黑体_GBK" w:hAnsi="方正黑体_GBK" w:eastAsia="方正黑体_GBK" w:cs="宋体"/>
                <w:b/>
                <w:sz w:val="18"/>
                <w:szCs w:val="18"/>
              </w:rPr>
              <w:t>K份额：固定管理费年化0.1%</w:t>
            </w:r>
          </w:p>
          <w:p w14:paraId="48D8FB72">
            <w:pPr>
              <w:spacing w:line="200" w:lineRule="exact"/>
            </w:pPr>
            <w:r>
              <w:rPr>
                <w:rFonts w:ascii="方正黑体_GBK" w:hAnsi="方正黑体_GBK" w:eastAsia="方正黑体_GBK" w:cs="宋体"/>
                <w:b/>
                <w:sz w:val="18"/>
                <w:szCs w:val="18"/>
              </w:rPr>
              <w:t>L份额：固定管理费年化0.1%</w:t>
            </w:r>
          </w:p>
          <w:p w14:paraId="61665227">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2EE42515">
            <w:pPr>
              <w:spacing w:line="200" w:lineRule="exact"/>
            </w:pPr>
            <w:r>
              <w:rPr>
                <w:rFonts w:ascii="方正黑体_GBK" w:hAnsi="方正黑体_GBK" w:eastAsia="方正黑体_GBK" w:cs="宋体"/>
                <w:b/>
                <w:sz w:val="18"/>
                <w:szCs w:val="18"/>
              </w:rPr>
              <w:t>托管费：</w:t>
            </w:r>
          </w:p>
          <w:p w14:paraId="18DFBBC5">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04FB7FE4">
            <w:pPr>
              <w:spacing w:line="200" w:lineRule="exact"/>
            </w:pPr>
            <w:r>
              <w:rPr>
                <w:rFonts w:ascii="方正黑体_GBK" w:hAnsi="方正黑体_GBK" w:eastAsia="方正黑体_GBK" w:cs="宋体"/>
                <w:b/>
                <w:sz w:val="18"/>
                <w:szCs w:val="18"/>
              </w:rPr>
              <w:t>每日计提的托管费=前一日理财产品资产净值×年化托管费率÷365</w:t>
            </w:r>
          </w:p>
          <w:p w14:paraId="5B77F91D">
            <w:pPr>
              <w:spacing w:line="200" w:lineRule="exact"/>
            </w:pPr>
            <w:r>
              <w:rPr>
                <w:rFonts w:ascii="方正黑体_GBK" w:hAnsi="方正黑体_GBK" w:eastAsia="方正黑体_GBK" w:cs="宋体"/>
                <w:b/>
                <w:sz w:val="18"/>
                <w:szCs w:val="18"/>
              </w:rPr>
              <w:t>业绩报酬：</w:t>
            </w:r>
          </w:p>
          <w:p w14:paraId="79B175AC">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在2.15%（含）（年化，即产品该份额对应的业绩报酬计提基准）至2.4%（不含）之间的部分，管理人将按超过2.15%部分的50%收取业绩报酬；在2.4%（含）（年化，即产品该份额对应的业绩报酬计提基准）以上的部分，管理人将按超过2.4%部分的60%收取业绩报酬。</w:t>
            </w:r>
          </w:p>
          <w:p w14:paraId="6BDC94A5">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在2.25%（含）（年化，即产品该份额对应的业绩报酬计提基准）至2.5%（不含）之间的部分，管理人将按超过2.25%部分的50%收取业绩报酬；在2.5%（含）（年化，即产品该份额对应的业绩报酬计提基准）以上的部分，管理人将按超过2.5%部分的60%收取业绩报酬。</w:t>
            </w:r>
          </w:p>
          <w:p w14:paraId="7091672A">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在2.35%（含）（年化，即产品该份额对应的业绩报酬计提基准）至2.6%（不含）之间的部分，管理人将按超过2.35%部分的50%收取业绩报酬；在2.6%（含）（年化，即产品该份额对应的业绩报酬计提基准）以上的部分，管理人将按超过2.6%部分的60%收取业绩报酬。</w:t>
            </w:r>
          </w:p>
          <w:p w14:paraId="7427D1C8">
            <w:pPr>
              <w:spacing w:line="200" w:lineRule="exact"/>
            </w:pPr>
            <w:r>
              <w:rPr>
                <w:rFonts w:ascii="方正黑体_GBK" w:hAnsi="方正黑体_GBK" w:eastAsia="方正黑体_GBK" w:cs="宋体"/>
                <w:b/>
                <w:sz w:val="18"/>
                <w:szCs w:val="18"/>
              </w:rPr>
              <w:t>D份额：到期兑付时，当期产品投资的实际资产组合收益（扣除销售费、固定管理费、托管费等相关费用）在2.45%（含）（年化，即产品该份额对应的业绩报酬计提基准）至2.7%（不含）之间的部分，管理人将按超过2.45%部分的50%收取业绩报酬；在2.7%（含）（年化，即产品该份额对应的业绩报酬计提基准）以上的部分，管理人将按超过2.7%部分的60%收取业绩报酬。</w:t>
            </w:r>
          </w:p>
          <w:p w14:paraId="1F1A358C">
            <w:pPr>
              <w:spacing w:line="200" w:lineRule="exact"/>
            </w:pPr>
            <w:r>
              <w:rPr>
                <w:rFonts w:ascii="方正黑体_GBK" w:hAnsi="方正黑体_GBK" w:eastAsia="方正黑体_GBK" w:cs="宋体"/>
                <w:b/>
                <w:sz w:val="18"/>
                <w:szCs w:val="18"/>
              </w:rPr>
              <w:t>F份额：到期兑付时，当期产品投资的实际资产组合收益（扣除销售费、固定管理费、托管费等相关费用）在2.2%（含）（年化，即产品该份额对应的业绩报酬计提基准）至2.45%（不含）之间的部分，管理人将按超过2.2%部分的50%收取业绩报酬；在2.45%（含）（年化，即产品该份额对应的业绩报酬计提基准）以上的部分，管理人将按超过2.45%部分的60%收取业绩报酬。</w:t>
            </w:r>
          </w:p>
          <w:p w14:paraId="6DD851E9">
            <w:pPr>
              <w:spacing w:line="200" w:lineRule="exact"/>
            </w:pPr>
            <w:r>
              <w:rPr>
                <w:rFonts w:ascii="方正黑体_GBK" w:hAnsi="方正黑体_GBK" w:eastAsia="方正黑体_GBK" w:cs="宋体"/>
                <w:b/>
                <w:sz w:val="18"/>
                <w:szCs w:val="18"/>
              </w:rPr>
              <w:t>G份额：到期兑付时，当期产品投资的实际资产组合收益（扣除销售费、固定管理费、托管费等相关费用）在2.25%（含）（年化，即产品该份额对应的业绩报酬计提基准）至2.5%（不含）之间的部分，管理人将按超过2.25%部分的50%收取业绩报酬；在2.5%（含）（年化，即产品该份额对应的业绩报酬计提基准）以上的部分，管理人将按超过2.5%部分的60%收取业绩报酬。</w:t>
            </w:r>
          </w:p>
          <w:p w14:paraId="2B743632">
            <w:pPr>
              <w:spacing w:line="200" w:lineRule="exact"/>
            </w:pPr>
            <w:r>
              <w:rPr>
                <w:rFonts w:ascii="方正黑体_GBK" w:hAnsi="方正黑体_GBK" w:eastAsia="方正黑体_GBK" w:cs="宋体"/>
                <w:b/>
                <w:sz w:val="18"/>
                <w:szCs w:val="18"/>
              </w:rPr>
              <w:t>K份额：到期兑付时，当期产品投资的实际资产组合收益（扣除销售费、固定管理费、托管费等相关费用）在2.3%（含）（年化，即产品该份额对应的业绩报酬计提基准）至2.55%（不含）之间的部分，管理人将按超过2.3%部分的50%收取业绩报酬；在2.55%（含）（年化，即产品该份额对应的业绩报酬计提基准）以上的部分，管理人将按超过2.55%部分的60%收取业绩报酬。</w:t>
            </w:r>
          </w:p>
          <w:p w14:paraId="2DE2C166">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在2.4%（含）（年化，即产品该份额对应的业绩报酬计提基准）至2.65%（不含）之间的部分，管理人将按超过2.4%部分的50%收取业绩报酬；在2.65%（含）（年化，即产品该份额对应的业绩报酬计提基准）以上的部分，管理人将按超过2.65%部分的60%收取业绩报酬。</w:t>
            </w:r>
          </w:p>
          <w:p w14:paraId="4A2098D0">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454C0442">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03A90FAE">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02D0F26A">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4E5C6433">
            <w:pPr>
              <w:spacing w:line="200" w:lineRule="exact"/>
            </w:pPr>
            <w:r>
              <w:rPr>
                <w:rFonts w:ascii="方正黑体_GBK" w:hAnsi="方正黑体_GBK" w:eastAsia="方正黑体_GBK" w:cs="宋体"/>
                <w:b/>
                <w:sz w:val="18"/>
                <w:szCs w:val="18"/>
              </w:rPr>
              <w:t>计算本区间业绩报酬的公式如下：</w:t>
            </w:r>
          </w:p>
          <w:p w14:paraId="78D6F171">
            <w:pPr>
              <w:spacing w:line="200" w:lineRule="exact"/>
            </w:pPr>
            <w:r>
              <w:rPr>
                <w:rFonts w:ascii="方正黑体_GBK" w:hAnsi="方正黑体_GBK" w:eastAsia="方正黑体_GBK" w:cs="宋体"/>
                <w:b/>
                <w:sz w:val="18"/>
                <w:szCs w:val="18"/>
              </w:rPr>
              <w:t>A={B-C*D*(1+E*F/365)}*G。</w:t>
            </w:r>
          </w:p>
          <w:p w14:paraId="26FDE10B">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p w14:paraId="5D0DE553">
            <w:pPr>
              <w:spacing w:line="200" w:lineRule="exact"/>
            </w:pPr>
            <w:r>
              <w:rPr>
                <w:rFonts w:ascii="方正黑体_GBK" w:hAnsi="方正黑体_GBK" w:eastAsia="方正黑体_GBK" w:cs="宋体"/>
                <w:b/>
                <w:sz w:val="18"/>
                <w:szCs w:val="18"/>
              </w:rPr>
              <w:t>3.本理财产品所有份额的固定管理费自本理财产品成立日（含）至2025年12月31日（含）期间优惠至0.01%。</w:t>
            </w:r>
          </w:p>
        </w:tc>
      </w:tr>
      <w:tr w14:paraId="2398180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E73188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3E020A04">
            <w:pPr>
              <w:spacing w:line="200" w:lineRule="exact"/>
            </w:pPr>
            <w:r>
              <w:rPr>
                <w:rFonts w:ascii="方正黑体_GBK" w:hAnsi="方正黑体_GBK" w:eastAsia="方正黑体_GBK" w:cs="宋体"/>
                <w:sz w:val="18"/>
                <w:szCs w:val="18"/>
              </w:rPr>
              <w:t>具体详见本理财产品风险揭示书。</w:t>
            </w:r>
          </w:p>
        </w:tc>
      </w:tr>
      <w:tr w14:paraId="381D5E9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00A864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20B3F104">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4BC585E7">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3AF956E1">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2DE59035">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3F3AB0BC">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0E624490">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4C24D0F6">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3122F799">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52962FE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B5FFC1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6ECF65D1">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江苏太仓农村商业银行股份有限公司、青岛银行股份有限公司、杭州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齐鲁银行股份有限公司、云南红塔银行股份有限公司、中原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甘肃银行股份有限公司、江苏仪征农村商业银行股份有限公司、金华银行股份有限公司、连云港东方农村商业银行股份有限公司、德州银行股份有限公司、北京农村商业银行股份有限公司、上海农村商业银行股份有限公司、江苏沭阳农村商业银行股份有限公司、湖州银行股份有限公司、江苏灌云农村商业银行股份有限公司。管理人有权调整本理财产品的销售机构并进行信息披露。</w:t>
            </w:r>
          </w:p>
          <w:p w14:paraId="79BE3A1E">
            <w:pPr>
              <w:spacing w:line="200" w:lineRule="exact"/>
              <w:jc w:val="left"/>
            </w:pPr>
            <w:r>
              <w:rPr>
                <w:rFonts w:ascii="方正黑体_GBK" w:hAnsi="方正黑体_GBK" w:eastAsia="方正黑体_GBK" w:cs="宋体"/>
                <w:sz w:val="18"/>
                <w:szCs w:val="18"/>
              </w:rPr>
              <w:t>销售机构主要职责如下：</w:t>
            </w:r>
          </w:p>
          <w:p w14:paraId="757CAF43">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3F46F434">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5EFF1E49">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7E8EA1CD">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79347BE0">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2CCE19BC">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5815859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9D1D4B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424BB420">
            <w:pPr>
              <w:spacing w:line="200" w:lineRule="exact"/>
            </w:pPr>
            <w:r>
              <w:rPr>
                <w:rFonts w:ascii="方正黑体_GBK" w:hAnsi="方正黑体_GBK" w:eastAsia="方正黑体_GBK" w:cs="宋体"/>
                <w:sz w:val="18"/>
                <w:szCs w:val="18"/>
              </w:rPr>
              <w:t>本理财产品托管人为南京银行股份有限公司，主要职责如下：</w:t>
            </w:r>
          </w:p>
          <w:p w14:paraId="4141E555">
            <w:pPr>
              <w:spacing w:line="200" w:lineRule="exact"/>
            </w:pPr>
            <w:r>
              <w:rPr>
                <w:rFonts w:ascii="方正黑体_GBK" w:hAnsi="方正黑体_GBK" w:eastAsia="方正黑体_GBK" w:cs="宋体"/>
                <w:sz w:val="18"/>
                <w:szCs w:val="18"/>
              </w:rPr>
              <w:t>1.安全保管理财产品财产；</w:t>
            </w:r>
          </w:p>
          <w:p w14:paraId="366D8891">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1178C311">
            <w:pPr>
              <w:spacing w:line="200" w:lineRule="exact"/>
            </w:pPr>
            <w:r>
              <w:rPr>
                <w:rFonts w:ascii="方正黑体_GBK" w:hAnsi="方正黑体_GBK" w:eastAsia="方正黑体_GBK" w:cs="宋体"/>
                <w:sz w:val="18"/>
                <w:szCs w:val="18"/>
              </w:rPr>
              <w:t>3.按照托管协议约定和管理人的投资指令，及时办理清算、交割事宜；</w:t>
            </w:r>
          </w:p>
          <w:p w14:paraId="1C44F91E">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37132B57">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511EB4B1">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5ADAD67E">
            <w:pPr>
              <w:spacing w:line="200" w:lineRule="exact"/>
            </w:pPr>
            <w:r>
              <w:rPr>
                <w:rFonts w:ascii="方正黑体_GBK" w:hAnsi="方正黑体_GBK" w:eastAsia="方正黑体_GBK" w:cs="宋体"/>
                <w:sz w:val="18"/>
                <w:szCs w:val="18"/>
              </w:rPr>
              <w:t>7.理财托管业务活动的记录、账册、报表和其他相关资料保存20年以上；</w:t>
            </w:r>
          </w:p>
          <w:p w14:paraId="61D701EB">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67BCDC55">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5A5D3C1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5CBB51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121BFBA8">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14:paraId="476F87B1">
            <w:pPr>
              <w:spacing w:line="200" w:lineRule="exact"/>
            </w:pPr>
            <w:r>
              <w:rPr>
                <w:rFonts w:ascii="方正黑体_GBK" w:hAnsi="方正黑体_GBK" w:eastAsia="方正黑体_GBK" w:cs="宋体"/>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w:t>
            </w:r>
          </w:p>
          <w:p w14:paraId="7CC45196">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65CBED3E">
            <w:pPr>
              <w:spacing w:line="200" w:lineRule="exact"/>
            </w:pPr>
            <w:r>
              <w:rPr>
                <w:rFonts w:ascii="方正黑体_GBK" w:hAnsi="方正黑体_GBK" w:eastAsia="方正黑体_GBK" w:cs="宋体"/>
                <w:sz w:val="18"/>
                <w:szCs w:val="18"/>
              </w:rPr>
              <w:t>上述投资合作机构简介：</w:t>
            </w:r>
          </w:p>
          <w:p w14:paraId="75DF572B">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050C0796">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5C1C0555">
            <w:pPr>
              <w:spacing w:line="200" w:lineRule="exact"/>
            </w:pPr>
            <w:r>
              <w:rPr>
                <w:rFonts w:ascii="方正黑体_GBK" w:hAnsi="方正黑体_GBK" w:eastAsia="方正黑体_GBK" w:cs="宋体"/>
                <w:sz w:val="18"/>
                <w:szCs w:val="18"/>
              </w:rPr>
              <w:t>国联基金管理有限公司成立于2013年05月31日，注册资本金11.5亿元。</w:t>
            </w:r>
          </w:p>
          <w:p w14:paraId="7FAEF894">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2EA9F825">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0347CA3D">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4D57CD30">
            <w:pPr>
              <w:spacing w:line="200" w:lineRule="exact"/>
            </w:pPr>
            <w:r>
              <w:rPr>
                <w:rFonts w:ascii="方正黑体_GBK" w:hAnsi="方正黑体_GBK" w:eastAsia="方正黑体_GBK" w:cs="宋体"/>
                <w:sz w:val="18"/>
                <w:szCs w:val="18"/>
              </w:rPr>
              <w:t>华鑫国际信托有限公司成立于1984年06月01日，注册资本金73.95亿元。</w:t>
            </w:r>
          </w:p>
          <w:p w14:paraId="12BD57CD">
            <w:pPr>
              <w:spacing w:line="200" w:lineRule="exact"/>
            </w:pPr>
            <w:r>
              <w:rPr>
                <w:rFonts w:ascii="方正黑体_GBK" w:hAnsi="方正黑体_GBK" w:eastAsia="方正黑体_GBK" w:cs="宋体"/>
                <w:sz w:val="18"/>
                <w:szCs w:val="18"/>
              </w:rPr>
              <w:t>建信保险资产管理有限公司成立于2016年04月27日，注册资本金3亿元。</w:t>
            </w:r>
          </w:p>
          <w:p w14:paraId="15D1838E">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42ECF76C">
            <w:pPr>
              <w:spacing w:line="200" w:lineRule="exact"/>
            </w:pPr>
            <w:r>
              <w:rPr>
                <w:rFonts w:ascii="方正黑体_GBK" w:hAnsi="方正黑体_GBK" w:eastAsia="方正黑体_GBK" w:cs="宋体"/>
                <w:sz w:val="18"/>
                <w:szCs w:val="18"/>
              </w:rPr>
              <w:t>泰康资产管理有限责任公司成立于2006年02月21日，注册资本金10亿元。</w:t>
            </w:r>
          </w:p>
          <w:p w14:paraId="342890E1">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1AC9F8AA">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1510E558">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37313D6D">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5F7DB7C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4260FC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592FBD8B">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62FD172A">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1BD5B3F7">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16903D6B">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43C9202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1C2F68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55AD6FF2">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421CE50D">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139DBD02">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4DB9475B">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0ECC3866">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4A72CBC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4E536DCB">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586DE2A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5E112ED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14BD4B8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45741E3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1A335571">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17BE2F7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55A4796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6B6AAA7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4807431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46DE429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4B10016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09B708CB">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05EC9D2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450BE56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2841CFE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7D20748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0D4B2A0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5DDD0F5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2B6935F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31A5EB2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77BDBCF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2DC6ABF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057649C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456C209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4990804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1B7B6B00">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04B81D5F">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南银理财珠联璧合鑫逸稳一年248期封闭式公募人民币理财产品</w:t>
      </w:r>
      <w:r>
        <w:rPr>
          <w:rFonts w:hint="eastAsia" w:ascii="方正黑体_GBK" w:hAnsi="方正黑体_GBK" w:eastAsia="方正黑体_GBK"/>
          <w:vanish w:val="0"/>
          <w:color w:val="3D3D3D"/>
          <w:kern w:val="0"/>
          <w:sz w:val="15"/>
          <w:szCs w:val="15"/>
        </w:rPr>
        <w:t>。</w:t>
      </w:r>
    </w:p>
    <w:p w14:paraId="7DDC776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0E2484E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45D83BB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60ADE3E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758AF0DC">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7C0AF8C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2133547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088F01F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3784BBA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3E28D45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7CDA885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1BF9879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62EECE3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3E8EEA2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2FB2BF3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5412E2A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7478E85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6B73FF18">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0E6BB0A3">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527E85A3">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4D3AF6F1">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7542B663">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2F253E5E">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12D80D34">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7F303A8F">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3D2410CF">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7895DC75">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1EADA14E">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5284DB5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057997E6">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12F93ADA">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2B390293">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037F44E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7EF2971C">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7C5811F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1E21D08E">
      <w:pPr>
        <w:spacing w:line="200" w:lineRule="exact"/>
        <w:ind w:firstLine="300"/>
        <w:jc w:val="both"/>
      </w:pPr>
      <w:r>
        <w:rPr>
          <w:rFonts w:ascii="方正黑体_GBK" w:hAnsi="方正黑体_GBK" w:eastAsia="方正黑体_GBK" w:cs="宋体"/>
          <w:sz w:val="15"/>
          <w:szCs w:val="20"/>
        </w:rPr>
        <w:t>（一）估值日</w:t>
      </w:r>
    </w:p>
    <w:p w14:paraId="4A298E3E">
      <w:pPr>
        <w:spacing w:line="200" w:lineRule="exact"/>
        <w:ind w:firstLine="300"/>
        <w:jc w:val="both"/>
      </w:pPr>
      <w:r>
        <w:rPr>
          <w:rFonts w:ascii="方正黑体_GBK" w:hAnsi="方正黑体_GBK" w:eastAsia="方正黑体_GBK" w:cs="宋体"/>
          <w:sz w:val="15"/>
          <w:szCs w:val="20"/>
        </w:rPr>
        <w:t>本理财产品每个工作日进行估值。</w:t>
      </w:r>
    </w:p>
    <w:p w14:paraId="091BA5D2">
      <w:pPr>
        <w:spacing w:line="200" w:lineRule="exact"/>
        <w:ind w:firstLine="300"/>
        <w:jc w:val="both"/>
      </w:pPr>
      <w:r>
        <w:rPr>
          <w:rFonts w:ascii="方正黑体_GBK" w:hAnsi="方正黑体_GBK" w:eastAsia="方正黑体_GBK" w:cs="宋体"/>
          <w:sz w:val="15"/>
          <w:szCs w:val="20"/>
        </w:rPr>
        <w:t>（二）估值对象</w:t>
      </w:r>
    </w:p>
    <w:p w14:paraId="2D7B86BE">
      <w:pPr>
        <w:spacing w:line="200" w:lineRule="exact"/>
        <w:ind w:firstLine="300"/>
        <w:jc w:val="both"/>
      </w:pPr>
      <w:r>
        <w:rPr>
          <w:rFonts w:ascii="方正黑体_GBK" w:hAnsi="方正黑体_GBK" w:eastAsia="方正黑体_GBK" w:cs="宋体"/>
          <w:sz w:val="15"/>
          <w:szCs w:val="20"/>
        </w:rPr>
        <w:t>本理财产品所拥有的所有资产及负债。</w:t>
      </w:r>
    </w:p>
    <w:p w14:paraId="2313D092">
      <w:pPr>
        <w:spacing w:line="200" w:lineRule="exact"/>
        <w:ind w:firstLine="300"/>
        <w:jc w:val="both"/>
      </w:pPr>
      <w:r>
        <w:rPr>
          <w:rFonts w:ascii="方正黑体_GBK" w:hAnsi="方正黑体_GBK" w:eastAsia="方正黑体_GBK" w:cs="宋体"/>
          <w:sz w:val="15"/>
          <w:szCs w:val="20"/>
        </w:rPr>
        <w:t>（三）估值目的</w:t>
      </w:r>
    </w:p>
    <w:p w14:paraId="165CE099">
      <w:pPr>
        <w:spacing w:line="200" w:lineRule="exact"/>
        <w:ind w:firstLine="300"/>
        <w:jc w:val="both"/>
      </w:pPr>
      <w:r>
        <w:rPr>
          <w:rFonts w:ascii="方正黑体_GBK" w:hAnsi="方正黑体_GBK" w:eastAsia="方正黑体_GBK" w:cs="宋体"/>
          <w:sz w:val="15"/>
          <w:szCs w:val="20"/>
        </w:rPr>
        <w:t>客观、准确反映理财产品的价值。</w:t>
      </w:r>
    </w:p>
    <w:p w14:paraId="4CA01C93">
      <w:pPr>
        <w:spacing w:line="200" w:lineRule="exact"/>
        <w:ind w:firstLine="300"/>
        <w:jc w:val="both"/>
      </w:pPr>
      <w:r>
        <w:rPr>
          <w:rFonts w:ascii="方正黑体_GBK" w:hAnsi="方正黑体_GBK" w:eastAsia="方正黑体_GBK" w:cs="宋体"/>
          <w:sz w:val="15"/>
          <w:szCs w:val="20"/>
        </w:rPr>
        <w:t>（四）估值原则</w:t>
      </w:r>
    </w:p>
    <w:p w14:paraId="0E51132F">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39048775">
      <w:pPr>
        <w:spacing w:line="200" w:lineRule="exact"/>
        <w:ind w:firstLine="300"/>
        <w:jc w:val="both"/>
      </w:pPr>
      <w:r>
        <w:rPr>
          <w:rFonts w:ascii="方正黑体_GBK" w:hAnsi="方正黑体_GBK" w:eastAsia="方正黑体_GBK" w:cs="宋体"/>
          <w:sz w:val="15"/>
          <w:szCs w:val="20"/>
        </w:rPr>
        <w:t>（五）估值方法</w:t>
      </w:r>
    </w:p>
    <w:p w14:paraId="6A56A84F">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56CD9233">
      <w:pPr>
        <w:spacing w:line="200" w:lineRule="exact"/>
        <w:ind w:firstLine="440"/>
      </w:pPr>
      <w:r>
        <w:rPr>
          <w:rFonts w:ascii="方正黑体_GBK" w:hAnsi="方正黑体_GBK" w:eastAsia="方正黑体_GBK" w:cs="宋体"/>
          <w:sz w:val="18"/>
          <w:szCs w:val="20"/>
        </w:rPr>
        <w:t>1.银行存款、回购等货币市场工具</w:t>
      </w:r>
    </w:p>
    <w:p w14:paraId="54AC1A5C">
      <w:pPr>
        <w:spacing w:line="200" w:lineRule="exact"/>
        <w:ind w:firstLine="440"/>
      </w:pPr>
      <w:r>
        <w:rPr>
          <w:rFonts w:ascii="方正黑体_GBK" w:hAnsi="方正黑体_GBK" w:eastAsia="方正黑体_GBK" w:cs="宋体"/>
          <w:sz w:val="18"/>
          <w:szCs w:val="20"/>
        </w:rPr>
        <w:t>以本金列示，逐日计提利息。</w:t>
      </w:r>
    </w:p>
    <w:p w14:paraId="14587D36">
      <w:pPr>
        <w:spacing w:line="200" w:lineRule="exact"/>
        <w:ind w:firstLine="440"/>
      </w:pPr>
      <w:r>
        <w:rPr>
          <w:rFonts w:ascii="方正黑体_GBK" w:hAnsi="方正黑体_GBK" w:eastAsia="方正黑体_GBK" w:cs="宋体"/>
          <w:sz w:val="18"/>
          <w:szCs w:val="20"/>
        </w:rPr>
        <w:t>2.债券类资产</w:t>
      </w:r>
    </w:p>
    <w:p w14:paraId="041E4555">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15C38BA1">
      <w:pPr>
        <w:spacing w:line="200" w:lineRule="exact"/>
        <w:ind w:firstLine="440"/>
      </w:pPr>
      <w:r>
        <w:rPr>
          <w:rFonts w:ascii="方正黑体_GBK" w:hAnsi="方正黑体_GBK" w:eastAsia="方正黑体_GBK" w:cs="宋体"/>
          <w:sz w:val="18"/>
          <w:szCs w:val="20"/>
        </w:rPr>
        <w:t>3.非标准化债权类资产</w:t>
      </w:r>
    </w:p>
    <w:p w14:paraId="27E107CD">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138728B2">
      <w:pPr>
        <w:spacing w:line="200" w:lineRule="exact"/>
        <w:ind w:firstLine="440"/>
      </w:pPr>
      <w:r>
        <w:rPr>
          <w:rFonts w:ascii="方正黑体_GBK" w:hAnsi="方正黑体_GBK" w:eastAsia="方正黑体_GBK" w:cs="宋体"/>
          <w:sz w:val="18"/>
          <w:szCs w:val="20"/>
        </w:rPr>
        <w:t>4.证券投资基金、资管计划、信托计划等资产</w:t>
      </w:r>
    </w:p>
    <w:p w14:paraId="55BCB61C">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3728F53F">
      <w:pPr>
        <w:spacing w:line="200" w:lineRule="exact"/>
        <w:ind w:firstLine="440"/>
      </w:pPr>
      <w:r>
        <w:rPr>
          <w:rFonts w:ascii="方正黑体_GBK" w:hAnsi="方正黑体_GBK" w:eastAsia="方正黑体_GBK" w:cs="宋体"/>
          <w:sz w:val="18"/>
          <w:szCs w:val="20"/>
        </w:rPr>
        <w:t>5.股权类及其他资产</w:t>
      </w:r>
    </w:p>
    <w:p w14:paraId="7C3E796F">
      <w:pPr>
        <w:spacing w:line="200" w:lineRule="exact"/>
        <w:ind w:firstLine="440"/>
      </w:pPr>
      <w:r>
        <w:rPr>
          <w:rFonts w:ascii="方正黑体_GBK" w:hAnsi="方正黑体_GBK" w:eastAsia="方正黑体_GBK" w:cs="宋体"/>
          <w:sz w:val="18"/>
          <w:szCs w:val="20"/>
        </w:rPr>
        <w:t>按照公允价值估值，优先采用市值法估值。</w:t>
      </w:r>
    </w:p>
    <w:p w14:paraId="7F29BC5F">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319F2F83">
      <w:pPr>
        <w:spacing w:line="200" w:lineRule="exact"/>
        <w:ind w:firstLine="300"/>
        <w:jc w:val="both"/>
      </w:pPr>
      <w:r>
        <w:rPr>
          <w:rFonts w:ascii="方正黑体_GBK" w:hAnsi="方正黑体_GBK" w:eastAsia="方正黑体_GBK" w:cs="宋体"/>
          <w:sz w:val="15"/>
          <w:szCs w:val="20"/>
        </w:rPr>
        <w:t>（六）估值错误及暂停估值</w:t>
      </w:r>
    </w:p>
    <w:p w14:paraId="720C2ADA">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569E99E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7B3CCB43">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14BFC477">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7923FE23">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417216C4">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460243C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363AB989">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40D6BD7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313B4A3A">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3C53203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774F8DA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6B281CB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2C319F52">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132B3AE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01D5888A">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4AC0C5A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03A3FC10">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1EF232A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41ECF0A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6BE95C2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3F5B99C1">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08F9BC6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229C011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2A21DC2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35B6FAB5">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03B0991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401CDDE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1E98719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7E7C1954">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4AA0A64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2448A391">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680C878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2E2AF76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5E2AE47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305CC9C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5D099FF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3221EE6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2EEA6EA9">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12391E">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9"/>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4B2D427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qFormat/>
    <w:uiPriority w:val="0"/>
    <w:rPr>
      <w:b/>
    </w:rPr>
  </w:style>
  <w:style w:type="paragraph" w:customStyle="1" w:styleId="15">
    <w:name w:val="Normalbb970593"/>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2d28bcd8"/>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18fc6981"/>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205b786d"/>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3c1be02f"/>
    <w:uiPriority w:val="0"/>
  </w:style>
  <w:style w:type="paragraph" w:customStyle="1" w:styleId="20">
    <w:name w:val="toc 1c210cea9"/>
    <w:basedOn w:val="15"/>
    <w:next w:val="1"/>
    <w:autoRedefine/>
    <w:uiPriority w:val="0"/>
  </w:style>
  <w:style w:type="paragraph" w:customStyle="1" w:styleId="21">
    <w:name w:val="toc 28d28bcbe"/>
    <w:basedOn w:val="15"/>
    <w:next w:val="1"/>
    <w:autoRedefine/>
    <w:qFormat/>
    <w:uiPriority w:val="0"/>
    <w:pPr>
      <w:ind w:left="420"/>
    </w:pPr>
  </w:style>
  <w:style w:type="paragraph" w:customStyle="1" w:styleId="22">
    <w:name w:val="toc 34b8f17ad"/>
    <w:basedOn w:val="15"/>
    <w:next w:val="1"/>
    <w:autoRedefine/>
    <w:uiPriority w:val="0"/>
    <w:pPr>
      <w:ind w:left="840"/>
    </w:pPr>
  </w:style>
  <w:style w:type="paragraph" w:customStyle="1" w:styleId="23">
    <w:name w:val="toc 4f8ae2f45"/>
    <w:basedOn w:val="15"/>
    <w:next w:val="1"/>
    <w:autoRedefine/>
    <w:uiPriority w:val="0"/>
    <w:pPr>
      <w:ind w:left="1260"/>
    </w:pPr>
  </w:style>
  <w:style w:type="paragraph" w:customStyle="1" w:styleId="24">
    <w:name w:val="toc 57011f283"/>
    <w:basedOn w:val="15"/>
    <w:next w:val="1"/>
    <w:autoRedefine/>
    <w:uiPriority w:val="0"/>
    <w:pPr>
      <w:ind w:left="1680"/>
    </w:pPr>
  </w:style>
  <w:style w:type="paragraph" w:customStyle="1" w:styleId="25">
    <w:name w:val="header32153026"/>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33e1aaef"/>
    <w:basedOn w:val="15"/>
    <w:uiPriority w:val="0"/>
    <w:pPr>
      <w:tabs>
        <w:tab w:val="center" w:pos="4153"/>
        <w:tab w:val="right" w:pos="8307"/>
      </w:tabs>
      <w:adjustRightInd/>
      <w:snapToGrid w:val="0"/>
      <w:contextualSpacing w:val="0"/>
      <w:jc w:val="left"/>
    </w:pPr>
    <w:rPr>
      <w:sz w:val="18"/>
    </w:rPr>
  </w:style>
  <w:style w:type="character" w:customStyle="1" w:styleId="27">
    <w:name w:val="Strong35f39999"/>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1e8662da"/>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1d604b26"/>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7434f502"/>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abdcfc7c"/>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e2ac858d"/>
    <w:uiPriority w:val="0"/>
  </w:style>
  <w:style w:type="paragraph" w:customStyle="1" w:styleId="34">
    <w:name w:val="Normal Indentb7e70cae"/>
    <w:basedOn w:val="29"/>
    <w:uiPriority w:val="0"/>
    <w:pPr>
      <w:ind w:firstLine="200" w:firstLineChars="200"/>
    </w:pPr>
  </w:style>
  <w:style w:type="paragraph" w:customStyle="1" w:styleId="35">
    <w:name w:val="toc 522b5eb14"/>
    <w:basedOn w:val="29"/>
    <w:next w:val="1"/>
    <w:uiPriority w:val="0"/>
    <w:pPr>
      <w:ind w:left="1680"/>
    </w:pPr>
  </w:style>
  <w:style w:type="paragraph" w:customStyle="1" w:styleId="36">
    <w:name w:val="toc 3e2392613"/>
    <w:basedOn w:val="29"/>
    <w:next w:val="1"/>
    <w:qFormat/>
    <w:uiPriority w:val="0"/>
    <w:pPr>
      <w:ind w:left="840"/>
    </w:pPr>
  </w:style>
  <w:style w:type="paragraph" w:customStyle="1" w:styleId="37">
    <w:name w:val="footerd17dd538"/>
    <w:basedOn w:val="29"/>
    <w:uiPriority w:val="0"/>
    <w:pPr>
      <w:tabs>
        <w:tab w:val="center" w:pos="4153"/>
        <w:tab w:val="right" w:pos="8307"/>
      </w:tabs>
      <w:adjustRightInd/>
      <w:snapToGrid w:val="0"/>
      <w:contextualSpacing w:val="0"/>
      <w:jc w:val="left"/>
    </w:pPr>
    <w:rPr>
      <w:sz w:val="18"/>
    </w:rPr>
  </w:style>
  <w:style w:type="paragraph" w:customStyle="1" w:styleId="38">
    <w:name w:val="header01dae935"/>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2f360435"/>
    <w:basedOn w:val="29"/>
    <w:next w:val="1"/>
    <w:uiPriority w:val="0"/>
  </w:style>
  <w:style w:type="paragraph" w:customStyle="1" w:styleId="40">
    <w:name w:val="toc 458162ce6"/>
    <w:basedOn w:val="29"/>
    <w:next w:val="1"/>
    <w:qFormat/>
    <w:uiPriority w:val="0"/>
    <w:pPr>
      <w:ind w:left="1260"/>
    </w:pPr>
  </w:style>
  <w:style w:type="paragraph" w:customStyle="1" w:styleId="41">
    <w:name w:val="toc 271de45fe"/>
    <w:basedOn w:val="29"/>
    <w:next w:val="1"/>
    <w:uiPriority w:val="0"/>
    <w:pPr>
      <w:ind w:left="420"/>
    </w:pPr>
  </w:style>
  <w:style w:type="paragraph" w:customStyle="1" w:styleId="42">
    <w:name w:val="Normal (Web)ed668479"/>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5ada2e835ada2e8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d3253290d3253290"/>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7ca759c37ca759c3"/>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da6114a4da6114a4"/>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6c90f8af6c90f8af"/>
    <w:qFormat/>
    <w:uiPriority w:val="0"/>
  </w:style>
  <w:style w:type="paragraph" w:customStyle="1" w:styleId="49">
    <w:name w:val="引文目录1d702f798d702f798"/>
    <w:basedOn w:val="44"/>
    <w:next w:val="1"/>
    <w:qFormat/>
    <w:uiPriority w:val="0"/>
    <w:pPr>
      <w:ind w:left="200" w:leftChars="200"/>
    </w:pPr>
  </w:style>
  <w:style w:type="paragraph" w:customStyle="1" w:styleId="50">
    <w:name w:val="toc 5eb7fce21eb7fce21"/>
    <w:basedOn w:val="44"/>
    <w:next w:val="1"/>
    <w:qFormat/>
    <w:uiPriority w:val="0"/>
    <w:pPr>
      <w:ind w:left="1680"/>
    </w:pPr>
  </w:style>
  <w:style w:type="paragraph" w:customStyle="1" w:styleId="51">
    <w:name w:val="toc 3f91ce8e3f91ce8e3"/>
    <w:basedOn w:val="44"/>
    <w:next w:val="1"/>
    <w:qFormat/>
    <w:uiPriority w:val="0"/>
    <w:pPr>
      <w:ind w:left="840"/>
    </w:pPr>
  </w:style>
  <w:style w:type="paragraph" w:customStyle="1" w:styleId="52">
    <w:name w:val="footer75bc508175bc5081"/>
    <w:basedOn w:val="44"/>
    <w:qFormat/>
    <w:uiPriority w:val="0"/>
    <w:pPr>
      <w:tabs>
        <w:tab w:val="center" w:pos="4153"/>
        <w:tab w:val="right" w:pos="8307"/>
      </w:tabs>
      <w:adjustRightInd/>
      <w:snapToGrid w:val="0"/>
      <w:contextualSpacing w:val="0"/>
      <w:jc w:val="left"/>
    </w:pPr>
    <w:rPr>
      <w:sz w:val="18"/>
    </w:rPr>
  </w:style>
  <w:style w:type="paragraph" w:customStyle="1" w:styleId="53">
    <w:name w:val="header9f53a9c19f53a9c1"/>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bc2e07a5bc2e07a5"/>
    <w:basedOn w:val="44"/>
    <w:next w:val="1"/>
    <w:uiPriority w:val="0"/>
  </w:style>
  <w:style w:type="paragraph" w:customStyle="1" w:styleId="55">
    <w:name w:val="toc 40df924060df92406"/>
    <w:basedOn w:val="44"/>
    <w:next w:val="1"/>
    <w:qFormat/>
    <w:uiPriority w:val="0"/>
    <w:pPr>
      <w:ind w:left="1260"/>
    </w:pPr>
  </w:style>
  <w:style w:type="paragraph" w:customStyle="1" w:styleId="56">
    <w:name w:val="toc 2ac660495ac660495"/>
    <w:basedOn w:val="44"/>
    <w:next w:val="1"/>
    <w:qFormat/>
    <w:uiPriority w:val="0"/>
    <w:pPr>
      <w:ind w:left="420"/>
    </w:pPr>
  </w:style>
  <w:style w:type="paragraph" w:customStyle="1" w:styleId="57">
    <w:name w:val="列出段落165cc3a9065cc3a90"/>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11</Pages>
  <Words>21513</Words>
  <Characters>22302</Characters>
  <Lines>77</Lines>
  <Paragraphs>27</Paragraphs>
  <TotalTime>9</TotalTime>
  <ScaleCrop>false</ScaleCrop>
  <LinksUpToDate>false</LinksUpToDate>
  <CharactersWithSpaces>22480</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2025-11-07T07:53:24Z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