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1050" w:rsidRDefault="00E02DD4">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2B1050" w:rsidRDefault="00E02DD4">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2B1050" w:rsidRDefault="00E02DD4">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rsidR="002B1050" w:rsidRDefault="00E02DD4">
      <w:pPr>
        <w:widowControl/>
        <w:spacing w:line="200" w:lineRule="exact"/>
        <w:ind w:firstLineChars="200" w:firstLine="261"/>
        <w:rPr>
          <w:b/>
          <w:color w:val="3D3D3D"/>
          <w:kern w:val="0"/>
          <w:sz w:val="13"/>
          <w:szCs w:val="13"/>
        </w:rPr>
      </w:pPr>
      <w:r>
        <w:rPr>
          <w:rFonts w:hint="eastAsia"/>
          <w:b/>
          <w:color w:val="3D3D3D"/>
          <w:kern w:val="0"/>
          <w:sz w:val="13"/>
          <w:szCs w:val="13"/>
        </w:rPr>
        <w:t>重要提示：</w:t>
      </w:r>
      <w:r>
        <w:rPr>
          <w:rFonts w:hint="eastAsia"/>
          <w:b/>
          <w:color w:val="3D3D3D"/>
          <w:kern w:val="0"/>
          <w:sz w:val="13"/>
          <w:szCs w:val="13"/>
        </w:rPr>
        <w:t>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rsidR="002B1050" w:rsidRDefault="00E02DD4">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2B1050" w:rsidRDefault="00E02DD4">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2B1050" w:rsidRDefault="00E02DD4">
      <w:pPr>
        <w:widowControl/>
        <w:spacing w:line="200" w:lineRule="exact"/>
        <w:ind w:firstLine="260"/>
        <w:rPr>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rsidR="002B1050" w:rsidRDefault="00E02DD4">
      <w:pPr>
        <w:widowControl/>
        <w:spacing w:line="200" w:lineRule="exact"/>
        <w:ind w:firstLine="260"/>
        <w:rPr>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w:t>
      </w:r>
      <w:r>
        <w:rPr>
          <w:rFonts w:hint="eastAsia"/>
          <w:color w:val="3D3D3D"/>
          <w:kern w:val="0"/>
          <w:sz w:val="13"/>
          <w:szCs w:val="13"/>
        </w:rPr>
        <w:t>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2B1050" w:rsidRDefault="00E02DD4">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w:t>
      </w:r>
      <w:r>
        <w:rPr>
          <w:rFonts w:hint="eastAsia"/>
          <w:color w:val="3D3D3D"/>
          <w:kern w:val="0"/>
          <w:sz w:val="13"/>
          <w:szCs w:val="13"/>
        </w:rPr>
        <w:t>或收益蒙受损失的风险。</w:t>
      </w:r>
    </w:p>
    <w:p w:rsidR="002B1050" w:rsidRDefault="00E02DD4">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rsidR="002B1050" w:rsidRDefault="00E02DD4">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w:t>
      </w:r>
      <w:r>
        <w:rPr>
          <w:rFonts w:hint="eastAsia"/>
          <w:color w:val="3D3D3D"/>
          <w:kern w:val="0"/>
          <w:sz w:val="13"/>
          <w:szCs w:val="13"/>
        </w:rPr>
        <w:t>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rsidR="002B1050" w:rsidRDefault="00E02DD4">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2B1050" w:rsidRDefault="00E02DD4">
      <w:pPr>
        <w:widowControl/>
        <w:spacing w:line="200" w:lineRule="exact"/>
        <w:ind w:firstLine="260"/>
        <w:rPr>
          <w:color w:val="3D3D3D"/>
          <w:kern w:val="0"/>
          <w:sz w:val="13"/>
          <w:szCs w:val="13"/>
        </w:rPr>
      </w:pPr>
      <w:r>
        <w:rPr>
          <w:rFonts w:hint="eastAsia"/>
          <w:color w:val="3D3D3D"/>
          <w:kern w:val="0"/>
          <w:sz w:val="13"/>
          <w:szCs w:val="13"/>
        </w:rPr>
        <w:t>（六）利率、汇率及通货膨胀</w:t>
      </w:r>
      <w:r>
        <w:rPr>
          <w:rFonts w:hint="eastAsia"/>
          <w:color w:val="3D3D3D"/>
          <w:kern w:val="0"/>
          <w:sz w:val="13"/>
          <w:szCs w:val="13"/>
        </w:rPr>
        <w:t>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2B1050" w:rsidRDefault="00E02DD4">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w:t>
      </w:r>
      <w:r>
        <w:rPr>
          <w:rFonts w:hint="eastAsia"/>
          <w:color w:val="3D3D3D"/>
          <w:kern w:val="0"/>
          <w:sz w:val="13"/>
          <w:szCs w:val="13"/>
        </w:rPr>
        <w:t>抵质押物的变现价值不足以覆盖该部分投资资产本金及投资收益，则可能影响投资者收益，发生本理财产品净值下跌甚至本金损失的情况。</w:t>
      </w:r>
    </w:p>
    <w:p w:rsidR="002B1050" w:rsidRDefault="00E02DD4">
      <w:pPr>
        <w:widowControl/>
        <w:spacing w:line="200" w:lineRule="exact"/>
        <w:ind w:firstLine="260"/>
        <w:rPr>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rsidR="002B1050" w:rsidRDefault="00E02DD4">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w:t>
      </w:r>
      <w:r>
        <w:rPr>
          <w:rFonts w:hint="eastAsia"/>
          <w:color w:val="3D3D3D"/>
          <w:kern w:val="0"/>
          <w:sz w:val="13"/>
          <w:szCs w:val="13"/>
        </w:rPr>
        <w:t>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rsidR="002B1050" w:rsidRDefault="00E02DD4">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2B1050" w:rsidRDefault="00E02DD4">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w:t>
      </w:r>
      <w:r>
        <w:rPr>
          <w:rFonts w:hint="eastAsia"/>
          <w:b/>
          <w:bCs/>
          <w:color w:val="3D3D3D"/>
          <w:kern w:val="0"/>
          <w:sz w:val="13"/>
          <w:szCs w:val="13"/>
        </w:rPr>
        <w:t>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rsidR="002B1050" w:rsidRDefault="00E02DD4">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rsidR="002B1050" w:rsidRDefault="00E02DD4">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2B1050" w:rsidRDefault="00E02DD4">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《理财产品说明书》规定的不可抗力或</w:t>
      </w:r>
      <w:r>
        <w:rPr>
          <w:rFonts w:hint="eastAsia"/>
          <w:color w:val="3D3D3D"/>
          <w:kern w:val="0"/>
          <w:sz w:val="13"/>
          <w:szCs w:val="13"/>
        </w:rPr>
        <w:t>南银理财、</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w:t>
      </w:r>
      <w:r>
        <w:rPr>
          <w:rFonts w:hint="eastAsia"/>
          <w:color w:val="3D3D3D"/>
          <w:kern w:val="0"/>
          <w:sz w:val="13"/>
          <w:szCs w:val="13"/>
        </w:rPr>
        <w:t>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rsidR="002B1050" w:rsidRDefault="00E02DD4">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w:t>
      </w:r>
      <w:r>
        <w:rPr>
          <w:rFonts w:hint="eastAsia"/>
          <w:color w:val="3D3D3D"/>
          <w:kern w:val="0"/>
          <w:sz w:val="13"/>
          <w:szCs w:val="13"/>
        </w:rPr>
        <w:t>收</w:t>
      </w:r>
      <w:r>
        <w:rPr>
          <w:rFonts w:hint="eastAsia"/>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w:t>
      </w:r>
      <w:r>
        <w:rPr>
          <w:rFonts w:hint="eastAsia"/>
          <w:color w:val="3D3D3D"/>
          <w:kern w:val="0"/>
          <w:sz w:val="13"/>
          <w:szCs w:val="13"/>
        </w:rPr>
        <w:t>造成本理财产品单位净值下跌、本金损失的情况。</w:t>
      </w:r>
    </w:p>
    <w:p w:rsidR="002B1050" w:rsidRDefault="00E02DD4">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2B1050" w:rsidRDefault="00E02DD4">
      <w:pPr>
        <w:widowControl/>
        <w:spacing w:line="200" w:lineRule="exact"/>
        <w:ind w:firstLine="260"/>
        <w:rPr>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、托管机构由于内部作业、人员管理及系统操作不当或失误，处理事务不当等，可能导致本理财产品的本金及收益遭受损失。</w:t>
      </w:r>
    </w:p>
    <w:p w:rsidR="002B1050" w:rsidRDefault="00E02DD4">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w:t>
      </w:r>
      <w:r>
        <w:rPr>
          <w:rFonts w:hint="eastAsia"/>
          <w:color w:val="3D3D3D"/>
          <w:kern w:val="0"/>
          <w:sz w:val="13"/>
          <w:szCs w:val="13"/>
        </w:rPr>
        <w:t>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rsidR="002B1050" w:rsidRDefault="00E02DD4">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2B1050" w:rsidRDefault="00E02DD4">
      <w:pPr>
        <w:widowControl/>
        <w:spacing w:line="200" w:lineRule="exact"/>
        <w:ind w:firstLine="260"/>
        <w:rPr>
          <w:sz w:val="20"/>
          <w:szCs w:val="20"/>
        </w:rPr>
      </w:pPr>
      <w:r>
        <w:rPr>
          <w:rFonts w:hint="eastAsia"/>
          <w:color w:val="3D3D3D"/>
          <w:kern w:val="0"/>
          <w:sz w:val="13"/>
          <w:szCs w:val="13"/>
        </w:rPr>
        <w:t>（十八）关联交易风险：在合法合规且履行应履行的内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2B1050" w:rsidRDefault="00E02DD4">
      <w:pPr>
        <w:pStyle w:val="Normal984a7221"/>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2B1050" w:rsidRDefault="00E02DD4">
      <w:pPr>
        <w:spacing w:line="200" w:lineRule="exact"/>
      </w:pPr>
      <w:r>
        <w:rPr>
          <w:rFonts w:cs="宋体"/>
          <w:b/>
          <w:sz w:val="13"/>
          <w:szCs w:val="20"/>
        </w:rPr>
        <w:t xml:space="preserve">    1.</w:t>
      </w:r>
      <w:r>
        <w:rPr>
          <w:rFonts w:cs="宋体"/>
          <w:b/>
          <w:sz w:val="13"/>
          <w:szCs w:val="20"/>
        </w:rPr>
        <w:t>债券类资产投资风险</w:t>
      </w:r>
    </w:p>
    <w:p w:rsidR="002B1050" w:rsidRDefault="00E02DD4">
      <w:pPr>
        <w:spacing w:line="200" w:lineRule="exact"/>
      </w:pPr>
      <w:r>
        <w:rPr>
          <w:rFonts w:cs="宋体"/>
          <w:b/>
          <w:sz w:val="13"/>
          <w:szCs w:val="20"/>
        </w:rPr>
        <w:t xml:space="preserve">    </w:t>
      </w:r>
      <w:r>
        <w:rPr>
          <w:rFonts w:cs="宋体"/>
          <w:b/>
          <w:sz w:val="13"/>
          <w:szCs w:val="20"/>
        </w:rPr>
        <w:t>利率是</w:t>
      </w:r>
      <w:r>
        <w:rPr>
          <w:rFonts w:cs="宋体"/>
          <w:b/>
          <w:sz w:val="13"/>
          <w:szCs w:val="20"/>
        </w:rPr>
        <w:t>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2B1050" w:rsidRDefault="00E02DD4">
      <w:pPr>
        <w:spacing w:line="200" w:lineRule="exact"/>
      </w:pPr>
      <w:r>
        <w:rPr>
          <w:rFonts w:cs="宋体"/>
          <w:b/>
          <w:sz w:val="13"/>
          <w:szCs w:val="20"/>
        </w:rPr>
        <w:t xml:space="preserve">    2.</w:t>
      </w:r>
      <w:r>
        <w:rPr>
          <w:rFonts w:cs="宋体"/>
          <w:b/>
          <w:sz w:val="13"/>
          <w:szCs w:val="20"/>
        </w:rPr>
        <w:t>非标准化债权类资产投资风险</w:t>
      </w:r>
    </w:p>
    <w:p w:rsidR="002B1050" w:rsidRDefault="00E02DD4">
      <w:pPr>
        <w:spacing w:line="200" w:lineRule="exact"/>
      </w:pPr>
      <w:r>
        <w:rPr>
          <w:rFonts w:cs="宋体"/>
          <w:b/>
          <w:sz w:val="13"/>
          <w:szCs w:val="20"/>
        </w:rPr>
        <w:t xml:space="preserve">    </w:t>
      </w:r>
      <w:r>
        <w:rPr>
          <w:rFonts w:cs="宋体"/>
          <w:b/>
          <w:sz w:val="13"/>
          <w:szCs w:val="20"/>
        </w:rPr>
        <w:t>本理财产品投资于非标准化债权类资产，融资方</w:t>
      </w:r>
      <w:r>
        <w:rPr>
          <w:rFonts w:cs="宋体"/>
          <w:b/>
          <w:sz w:val="13"/>
          <w:szCs w:val="20"/>
        </w:rPr>
        <w:t>/</w:t>
      </w:r>
      <w:r>
        <w:rPr>
          <w:rFonts w:cs="宋体"/>
          <w:b/>
          <w:sz w:val="13"/>
          <w:szCs w:val="20"/>
        </w:rPr>
        <w:t>义务人由于还款履约能力发生变化等原因，可能无法偿还或存在逾期偿还相关融资本金利息，或无法履行相关合同约定的其他义务，或者因融资方</w:t>
      </w:r>
      <w:r>
        <w:rPr>
          <w:rFonts w:cs="宋体"/>
          <w:b/>
          <w:sz w:val="13"/>
          <w:szCs w:val="20"/>
        </w:rPr>
        <w:t>/</w:t>
      </w:r>
      <w:r>
        <w:rPr>
          <w:rFonts w:cs="宋体"/>
          <w:b/>
          <w:sz w:val="13"/>
          <w:szCs w:val="20"/>
        </w:rPr>
        <w:t>义务人按照相关合同的约定申请提前</w:t>
      </w:r>
      <w:r>
        <w:rPr>
          <w:rFonts w:cs="宋体"/>
          <w:b/>
          <w:sz w:val="13"/>
          <w:szCs w:val="20"/>
        </w:rPr>
        <w:t>/</w:t>
      </w:r>
      <w:r>
        <w:rPr>
          <w:rFonts w:cs="宋体"/>
          <w:b/>
          <w:sz w:val="13"/>
          <w:szCs w:val="20"/>
        </w:rPr>
        <w:t>立即偿还款项或者融资方</w:t>
      </w:r>
      <w:r>
        <w:rPr>
          <w:rFonts w:cs="宋体"/>
          <w:b/>
          <w:sz w:val="13"/>
          <w:szCs w:val="20"/>
        </w:rPr>
        <w:t>/</w:t>
      </w:r>
      <w:r>
        <w:rPr>
          <w:rFonts w:cs="宋体"/>
          <w:b/>
          <w:sz w:val="13"/>
          <w:szCs w:val="20"/>
        </w:rPr>
        <w:t>义务人发生相关合同约定的违约情形，或者由于市场、政策等不可控因素可能导致相关债权被宣布提前</w:t>
      </w:r>
      <w:r>
        <w:rPr>
          <w:rFonts w:cs="宋体"/>
          <w:b/>
          <w:sz w:val="13"/>
          <w:szCs w:val="20"/>
        </w:rPr>
        <w:t>/</w:t>
      </w:r>
      <w:r>
        <w:rPr>
          <w:rFonts w:cs="宋体"/>
          <w:b/>
          <w:sz w:val="13"/>
          <w:szCs w:val="20"/>
        </w:rPr>
        <w:t>立即到期，或者因发生相关合同约定的情形导致相关债权延期；或者因相关合同约定的原状分配发生后所分配的财产无法及时进行变现等原因造成无法按计划进行投资本金、收益分配，非标准化债权类资产</w:t>
      </w:r>
      <w:r>
        <w:rPr>
          <w:rFonts w:cs="宋体"/>
          <w:b/>
          <w:sz w:val="13"/>
          <w:szCs w:val="20"/>
        </w:rPr>
        <w:t>受到包括但不限于上述因素影响时，可能影响投资者收益，甚至使产品本金遭受损失。</w:t>
      </w:r>
    </w:p>
    <w:p w:rsidR="002B1050" w:rsidRDefault="00E02DD4">
      <w:pPr>
        <w:spacing w:line="200" w:lineRule="exact"/>
      </w:pPr>
      <w:r>
        <w:rPr>
          <w:rFonts w:cs="宋体"/>
          <w:b/>
          <w:sz w:val="13"/>
          <w:szCs w:val="20"/>
        </w:rPr>
        <w:t xml:space="preserve">    3.</w:t>
      </w:r>
      <w:r>
        <w:rPr>
          <w:rFonts w:cs="宋体"/>
          <w:b/>
          <w:sz w:val="13"/>
          <w:szCs w:val="20"/>
        </w:rPr>
        <w:t>资产管理产品投资风险</w:t>
      </w:r>
    </w:p>
    <w:p w:rsidR="002B1050" w:rsidRDefault="00E02DD4">
      <w:pPr>
        <w:spacing w:line="200" w:lineRule="exact"/>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w:t>
      </w:r>
      <w:r>
        <w:rPr>
          <w:rFonts w:cs="宋体"/>
          <w:b/>
          <w:sz w:val="13"/>
          <w:szCs w:val="20"/>
        </w:rPr>
        <w:t>所投资资产管理产品的相关受托人</w:t>
      </w:r>
      <w:r>
        <w:rPr>
          <w:rFonts w:cs="宋体"/>
          <w:b/>
          <w:sz w:val="13"/>
          <w:szCs w:val="20"/>
        </w:rPr>
        <w:t>/</w:t>
      </w:r>
      <w:r>
        <w:rPr>
          <w:rFonts w:cs="宋体"/>
          <w:b/>
          <w:sz w:val="13"/>
          <w:szCs w:val="20"/>
        </w:rPr>
        <w:t>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2B1050" w:rsidRDefault="00E02DD4">
      <w:pPr>
        <w:spacing w:line="200" w:lineRule="exact"/>
      </w:pPr>
      <w:r>
        <w:rPr>
          <w:rFonts w:cs="宋体"/>
          <w:b/>
          <w:sz w:val="13"/>
          <w:szCs w:val="20"/>
        </w:rPr>
        <w:t xml:space="preserve">    4.</w:t>
      </w:r>
      <w:r>
        <w:rPr>
          <w:rFonts w:cs="宋体"/>
          <w:b/>
          <w:sz w:val="13"/>
          <w:szCs w:val="20"/>
        </w:rPr>
        <w:t>非标准化债权类资产无法投资的风险</w:t>
      </w:r>
    </w:p>
    <w:p w:rsidR="002B1050" w:rsidRDefault="00E02DD4">
      <w:pPr>
        <w:spacing w:line="200" w:lineRule="exact"/>
      </w:pPr>
      <w:r>
        <w:rPr>
          <w:rFonts w:cs="宋体"/>
          <w:b/>
          <w:sz w:val="13"/>
          <w:szCs w:val="20"/>
        </w:rPr>
        <w:t xml:space="preserve">    </w:t>
      </w:r>
      <w:r>
        <w:rPr>
          <w:rFonts w:cs="宋体"/>
          <w:b/>
          <w:sz w:val="13"/>
          <w:szCs w:val="20"/>
        </w:rPr>
        <w:t>若受到市场影响出现融资人临时变更融资要素（如取消该笔资产发行或改变资产的发行时间、资产收益等要素）导致本理财产品无法投资对应资产时，为最大程度保障投资者权益，管理人有权采取如</w:t>
      </w:r>
      <w:r>
        <w:rPr>
          <w:rFonts w:cs="宋体"/>
          <w:b/>
          <w:sz w:val="13"/>
          <w:szCs w:val="20"/>
        </w:rPr>
        <w:t>下措施：</w:t>
      </w:r>
      <w:r>
        <w:br/>
      </w:r>
      <w:r>
        <w:rPr>
          <w:rFonts w:cs="宋体"/>
          <w:b/>
          <w:sz w:val="13"/>
          <w:szCs w:val="20"/>
        </w:rPr>
        <w:t xml:space="preserve">    </w:t>
      </w:r>
      <w:r>
        <w:rPr>
          <w:rFonts w:cs="宋体"/>
          <w:b/>
          <w:sz w:val="13"/>
          <w:szCs w:val="20"/>
        </w:rPr>
        <w:t>（</w:t>
      </w:r>
      <w:r>
        <w:rPr>
          <w:rFonts w:cs="宋体"/>
          <w:b/>
          <w:sz w:val="13"/>
          <w:szCs w:val="20"/>
        </w:rPr>
        <w:t>1</w:t>
      </w:r>
      <w:r>
        <w:rPr>
          <w:rFonts w:cs="宋体"/>
          <w:b/>
          <w:sz w:val="13"/>
          <w:szCs w:val="20"/>
        </w:rPr>
        <w:t>）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w:t>
      </w:r>
      <w:r>
        <w:rPr>
          <w:rFonts w:cs="宋体"/>
          <w:b/>
          <w:sz w:val="13"/>
          <w:szCs w:val="20"/>
        </w:rPr>
        <w:t>（</w:t>
      </w:r>
      <w:r>
        <w:rPr>
          <w:rFonts w:cs="宋体"/>
          <w:b/>
          <w:sz w:val="13"/>
          <w:szCs w:val="20"/>
        </w:rPr>
        <w:t>2</w:t>
      </w:r>
      <w:r>
        <w:rPr>
          <w:rFonts w:cs="宋体"/>
          <w:b/>
          <w:sz w:val="13"/>
          <w:szCs w:val="20"/>
        </w:rPr>
        <w:t>）若本理财产品已成立，则管理人有权提前终止本理财产品，自产品成立至提前终止日期间不计任何收益。</w:t>
      </w:r>
    </w:p>
    <w:p w:rsidR="002B1050" w:rsidRDefault="00E02DD4">
      <w:pPr>
        <w:pStyle w:val="Normal984a7221"/>
        <w:widowControl/>
        <w:spacing w:line="200" w:lineRule="exact"/>
        <w:ind w:firstLine="260"/>
        <w:rPr>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类型：封闭式、固定收益类、公募、净值型。</w:t>
      </w:r>
    </w:p>
    <w:p w:rsidR="002B1050" w:rsidRDefault="00E02DD4">
      <w:pPr>
        <w:pStyle w:val="Normal984a7221"/>
        <w:widowControl/>
        <w:spacing w:line="200" w:lineRule="exact"/>
        <w:ind w:firstLine="270"/>
        <w:rPr>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99</w:t>
      </w:r>
      <w:r>
        <w:rPr>
          <w:rFonts w:hint="eastAsia"/>
          <w:b/>
          <w:bCs/>
          <w:color w:val="3D3D3D"/>
          <w:kern w:val="0"/>
          <w:sz w:val="13"/>
          <w:szCs w:val="13"/>
        </w:rPr>
        <w:t>天</w:t>
      </w:r>
      <w:r>
        <w:rPr>
          <w:rFonts w:hint="eastAsia"/>
          <w:b/>
          <w:color w:val="3D3D3D"/>
          <w:kern w:val="0"/>
          <w:sz w:val="13"/>
          <w:szCs w:val="13"/>
        </w:rPr>
        <w:t>。</w:t>
      </w:r>
    </w:p>
    <w:p w:rsidR="002B1050" w:rsidRDefault="00E02DD4">
      <w:pPr>
        <w:pStyle w:val="annotationtext23"/>
        <w:spacing w:line="200" w:lineRule="exact"/>
        <w:rPr>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rsidR="002B1050" w:rsidRDefault="00E02DD4">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2B1050" w:rsidRDefault="00E02DD4">
      <w:pPr>
        <w:pStyle w:val="Normal984a7221"/>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rsidR="002B1050" w:rsidRDefault="00E02DD4">
      <w:pPr>
        <w:pStyle w:val="Normal984a7221"/>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。如影响您风险承受能力的因素发生变化，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rsidR="002B1050" w:rsidRDefault="00E02DD4">
      <w:pPr>
        <w:pStyle w:val="Normal984a7221"/>
        <w:widowControl/>
        <w:spacing w:line="200" w:lineRule="exact"/>
        <w:ind w:firstLine="260"/>
      </w:pPr>
      <w:r>
        <w:rPr>
          <w:rFonts w:hint="eastAsia"/>
          <w:b/>
          <w:bCs/>
          <w:color w:val="3D3D3D"/>
          <w:kern w:val="0"/>
          <w:sz w:val="13"/>
          <w:szCs w:val="13"/>
        </w:rPr>
        <w:t>最不</w:t>
      </w:r>
      <w:r>
        <w:rPr>
          <w:rFonts w:hint="eastAsia"/>
          <w:b/>
          <w:bCs/>
          <w:color w:val="3D3D3D"/>
          <w:kern w:val="0"/>
          <w:sz w:val="13"/>
          <w:szCs w:val="13"/>
        </w:rPr>
        <w:t>利投资情形下的投资结果</w:t>
      </w:r>
      <w:r>
        <w:rPr>
          <w:rFonts w:hint="eastAsia"/>
          <w:b/>
          <w:bCs/>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2B1050" w:rsidRDefault="00E02DD4">
      <w:pPr>
        <w:pStyle w:val="Normal984a7221"/>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2B1050" w:rsidRDefault="002B1050">
      <w:pPr>
        <w:pStyle w:val="Normal984a7221"/>
        <w:widowControl/>
        <w:spacing w:line="200" w:lineRule="exact"/>
        <w:ind w:firstLine="260"/>
        <w:rPr>
          <w:b/>
          <w:color w:val="3D3D3D"/>
          <w:kern w:val="0"/>
          <w:sz w:val="13"/>
          <w:szCs w:val="13"/>
        </w:rPr>
      </w:pPr>
    </w:p>
    <w:p w:rsidR="002B1050" w:rsidRDefault="00E02DD4">
      <w:pPr>
        <w:pStyle w:val="Normal984a7221"/>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2B1050" w:rsidRDefault="002B1050">
      <w:pPr>
        <w:pStyle w:val="Normal984a7221"/>
        <w:widowControl/>
        <w:spacing w:line="200" w:lineRule="exact"/>
        <w:ind w:firstLine="260"/>
        <w:jc w:val="center"/>
        <w:rPr>
          <w:b/>
          <w:color w:val="3D3D3D"/>
          <w:kern w:val="0"/>
          <w:sz w:val="15"/>
          <w:szCs w:val="15"/>
          <w:u w:val="single"/>
        </w:rPr>
      </w:pPr>
    </w:p>
    <w:p w:rsidR="002B1050" w:rsidRDefault="00E02DD4">
      <w:pPr>
        <w:pStyle w:val="Normal984a7221"/>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b/>
          <w:color w:val="3D3D3D"/>
          <w:kern w:val="0"/>
          <w:sz w:val="15"/>
          <w:szCs w:val="15"/>
          <w:u w:val="single"/>
        </w:rPr>
        <w:t>本风险揭示书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2B1050" w:rsidRDefault="00E02DD4">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2B1050" w:rsidRDefault="00E02DD4">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2B1050" w:rsidRDefault="00E02DD4">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w:t>
      </w:r>
      <w:r>
        <w:rPr>
          <w:rFonts w:hint="eastAsia"/>
          <w:b/>
          <w:color w:val="3D3D3D"/>
          <w:kern w:val="0"/>
          <w:sz w:val="15"/>
          <w:szCs w:val="15"/>
          <w:u w:val="single"/>
        </w:rPr>
        <w:t>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2B1050" w:rsidRDefault="00E02DD4">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2B1050" w:rsidRDefault="00E02DD4">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rsidR="002B1050" w:rsidRDefault="00E02DD4">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rsidR="002B1050" w:rsidRDefault="00E02DD4">
      <w:pPr>
        <w:widowControl/>
        <w:spacing w:line="200" w:lineRule="exact"/>
        <w:ind w:firstLine="420"/>
        <w:rPr>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w:t>
      </w:r>
      <w:r>
        <w:rPr>
          <w:rFonts w:hint="eastAsia"/>
          <w:b/>
          <w:color w:val="3D3D3D"/>
          <w:kern w:val="0"/>
          <w:sz w:val="15"/>
          <w:szCs w:val="15"/>
          <w:u w:val="single"/>
        </w:rPr>
        <w:t>品销售文件之外的任何陈述、说明、文件或承诺，南银理财和销售机构的义务和责任以理财产品销售文件明确记载的书面内容为准。</w:t>
      </w:r>
    </w:p>
    <w:p w:rsidR="002B1050" w:rsidRDefault="00E02DD4">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rsidR="002B1050" w:rsidRDefault="00E02DD4">
      <w:pPr>
        <w:widowControl/>
        <w:spacing w:line="200" w:lineRule="exact"/>
        <w:ind w:firstLine="420"/>
        <w:rPr>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2B1050" w:rsidRDefault="00E02DD4">
      <w:pPr>
        <w:widowControl/>
        <w:spacing w:line="200" w:lineRule="exact"/>
        <w:ind w:firstLine="210"/>
        <w:rPr>
          <w:color w:val="3D3D3D"/>
          <w:kern w:val="0"/>
          <w:sz w:val="15"/>
          <w:szCs w:val="15"/>
        </w:rPr>
      </w:pPr>
      <w:r>
        <w:rPr>
          <w:rFonts w:hint="eastAsia"/>
          <w:color w:val="3D3D3D"/>
          <w:kern w:val="0"/>
          <w:sz w:val="15"/>
          <w:szCs w:val="15"/>
        </w:rPr>
        <w:t xml:space="preserve">         </w:t>
      </w:r>
    </w:p>
    <w:p w:rsidR="002B1050" w:rsidRDefault="002B1050">
      <w:pPr>
        <w:widowControl/>
        <w:spacing w:line="200" w:lineRule="exact"/>
        <w:ind w:firstLine="210"/>
        <w:rPr>
          <w:color w:val="3D3D3D"/>
          <w:kern w:val="0"/>
          <w:sz w:val="15"/>
          <w:szCs w:val="15"/>
        </w:rPr>
      </w:pPr>
    </w:p>
    <w:p w:rsidR="002B1050" w:rsidRDefault="00E02DD4">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2B1050" w:rsidRDefault="002B1050">
      <w:pPr>
        <w:widowControl/>
        <w:spacing w:line="200" w:lineRule="exact"/>
        <w:ind w:firstLine="210"/>
        <w:rPr>
          <w:color w:val="3D3D3D"/>
          <w:kern w:val="0"/>
          <w:sz w:val="13"/>
          <w:szCs w:val="13"/>
        </w:rPr>
      </w:pPr>
    </w:p>
    <w:p w:rsidR="002B1050" w:rsidRDefault="002B1050">
      <w:pPr>
        <w:widowControl/>
        <w:spacing w:line="200" w:lineRule="exact"/>
        <w:ind w:firstLine="210"/>
        <w:jc w:val="left"/>
        <w:rPr>
          <w:color w:val="3D3D3D"/>
          <w:kern w:val="0"/>
          <w:sz w:val="13"/>
          <w:szCs w:val="13"/>
        </w:rPr>
      </w:pPr>
    </w:p>
    <w:p w:rsidR="002B1050" w:rsidRDefault="002B1050">
      <w:pPr>
        <w:widowControl/>
        <w:spacing w:line="200" w:lineRule="exact"/>
        <w:ind w:firstLine="210"/>
        <w:jc w:val="left"/>
        <w:rPr>
          <w:color w:val="3D3D3D"/>
          <w:kern w:val="0"/>
          <w:sz w:val="13"/>
          <w:szCs w:val="13"/>
        </w:rPr>
      </w:pPr>
    </w:p>
    <w:tbl>
      <w:tblPr>
        <w:tblW w:w="0" w:type="auto"/>
        <w:tblInd w:w="-6"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2B1050">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2B1050" w:rsidRDefault="00E02DD4">
            <w:pPr>
              <w:widowControl/>
              <w:spacing w:line="400" w:lineRule="exact"/>
              <w:jc w:val="center"/>
              <w:rPr>
                <w:b/>
                <w:sz w:val="15"/>
                <w:szCs w:val="15"/>
              </w:rPr>
            </w:pPr>
            <w:r>
              <w:rPr>
                <w:rFonts w:hint="eastAsia"/>
                <w:b/>
                <w:sz w:val="15"/>
                <w:szCs w:val="15"/>
              </w:rPr>
              <w:t>个人投资者</w:t>
            </w:r>
          </w:p>
        </w:tc>
      </w:tr>
      <w:tr w:rsidR="002B1050">
        <w:tc>
          <w:tcPr>
            <w:tcW w:w="9287" w:type="dxa"/>
            <w:tcBorders>
              <w:top w:val="single" w:sz="4" w:space="0" w:color="auto"/>
              <w:left w:val="single" w:sz="4" w:space="0" w:color="auto"/>
              <w:bottom w:val="single" w:sz="4" w:space="0" w:color="auto"/>
              <w:right w:val="single" w:sz="4" w:space="0" w:color="auto"/>
              <w:tl2br w:val="nil"/>
              <w:tr2bl w:val="nil"/>
            </w:tcBorders>
          </w:tcPr>
          <w:p w:rsidR="002B1050" w:rsidRDefault="00E02DD4">
            <w:pPr>
              <w:widowControl/>
              <w:spacing w:line="360" w:lineRule="auto"/>
              <w:rPr>
                <w:color w:val="3D3D3D"/>
                <w:kern w:val="0"/>
                <w:sz w:val="13"/>
                <w:szCs w:val="13"/>
              </w:rPr>
            </w:pPr>
            <w:r>
              <w:rPr>
                <w:rFonts w:hint="eastAsia"/>
                <w:sz w:val="15"/>
                <w:szCs w:val="15"/>
              </w:rPr>
              <w:t>签名：</w:t>
            </w:r>
          </w:p>
          <w:p w:rsidR="002B1050" w:rsidRDefault="00E02DD4">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2B1050">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2B1050" w:rsidRDefault="00E02DD4">
            <w:pPr>
              <w:widowControl/>
              <w:spacing w:line="400" w:lineRule="exact"/>
              <w:jc w:val="center"/>
              <w:rPr>
                <w:sz w:val="15"/>
                <w:szCs w:val="15"/>
              </w:rPr>
            </w:pPr>
            <w:r>
              <w:rPr>
                <w:rFonts w:hint="eastAsia"/>
                <w:b/>
                <w:bCs/>
                <w:color w:val="3D3D3D"/>
                <w:kern w:val="0"/>
                <w:sz w:val="15"/>
                <w:szCs w:val="15"/>
              </w:rPr>
              <w:t>机构投资者</w:t>
            </w:r>
          </w:p>
        </w:tc>
      </w:tr>
      <w:tr w:rsidR="002B1050">
        <w:tc>
          <w:tcPr>
            <w:tcW w:w="9287" w:type="dxa"/>
            <w:tcBorders>
              <w:top w:val="single" w:sz="4" w:space="0" w:color="auto"/>
              <w:left w:val="single" w:sz="4" w:space="0" w:color="auto"/>
              <w:bottom w:val="single" w:sz="4" w:space="0" w:color="auto"/>
              <w:right w:val="single" w:sz="4" w:space="0" w:color="auto"/>
              <w:tl2br w:val="nil"/>
              <w:tr2bl w:val="nil"/>
            </w:tcBorders>
          </w:tcPr>
          <w:p w:rsidR="002B1050" w:rsidRDefault="002B1050">
            <w:pPr>
              <w:widowControl/>
              <w:spacing w:line="200" w:lineRule="exact"/>
              <w:jc w:val="left"/>
              <w:rPr>
                <w:b/>
                <w:bCs/>
                <w:color w:val="3D3D3D"/>
                <w:kern w:val="0"/>
                <w:sz w:val="15"/>
                <w:szCs w:val="15"/>
              </w:rPr>
            </w:pPr>
          </w:p>
          <w:p w:rsidR="002B1050" w:rsidRDefault="00E02DD4">
            <w:pPr>
              <w:widowControl/>
              <w:spacing w:line="200" w:lineRule="exact"/>
              <w:jc w:val="left"/>
              <w:rPr>
                <w:b/>
                <w:bCs/>
                <w:color w:val="3D3D3D"/>
                <w:kern w:val="0"/>
                <w:sz w:val="15"/>
                <w:szCs w:val="15"/>
              </w:rPr>
            </w:pPr>
            <w:r>
              <w:rPr>
                <w:rFonts w:hint="eastAsia"/>
                <w:b/>
                <w:bCs/>
                <w:color w:val="3D3D3D"/>
                <w:kern w:val="0"/>
                <w:sz w:val="15"/>
                <w:szCs w:val="15"/>
              </w:rPr>
              <w:t>盖章（公章）</w:t>
            </w:r>
          </w:p>
          <w:p w:rsidR="002B1050" w:rsidRDefault="002B1050">
            <w:pPr>
              <w:widowControl/>
              <w:spacing w:line="200" w:lineRule="exact"/>
              <w:jc w:val="left"/>
              <w:rPr>
                <w:b/>
                <w:bCs/>
                <w:color w:val="3D3D3D"/>
                <w:kern w:val="0"/>
                <w:sz w:val="15"/>
                <w:szCs w:val="15"/>
              </w:rPr>
            </w:pPr>
          </w:p>
          <w:p w:rsidR="002B1050" w:rsidRDefault="00E02DD4">
            <w:pPr>
              <w:widowControl/>
              <w:spacing w:line="200" w:lineRule="exact"/>
              <w:jc w:val="left"/>
              <w:rPr>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rsidR="002B1050" w:rsidRDefault="002B1050">
            <w:pPr>
              <w:widowControl/>
              <w:spacing w:line="200" w:lineRule="exact"/>
              <w:jc w:val="left"/>
              <w:rPr>
                <w:color w:val="3D3D3D"/>
                <w:kern w:val="0"/>
                <w:sz w:val="13"/>
                <w:szCs w:val="13"/>
              </w:rPr>
            </w:pPr>
          </w:p>
          <w:p w:rsidR="002B1050" w:rsidRDefault="00E02DD4">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2B1050">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2B1050" w:rsidRDefault="00E02DD4">
            <w:pPr>
              <w:widowControl/>
              <w:spacing w:line="400" w:lineRule="exact"/>
              <w:jc w:val="center"/>
              <w:rPr>
                <w:sz w:val="15"/>
                <w:szCs w:val="15"/>
              </w:rPr>
            </w:pPr>
            <w:r>
              <w:rPr>
                <w:rFonts w:hint="eastAsia"/>
                <w:b/>
                <w:bCs/>
                <w:sz w:val="15"/>
                <w:szCs w:val="15"/>
              </w:rPr>
              <w:t>电子</w:t>
            </w:r>
            <w:r>
              <w:rPr>
                <w:rFonts w:hint="eastAsia"/>
                <w:b/>
                <w:bCs/>
                <w:sz w:val="15"/>
                <w:szCs w:val="15"/>
              </w:rPr>
              <w:t>渠道</w:t>
            </w:r>
          </w:p>
        </w:tc>
      </w:tr>
      <w:tr w:rsidR="002B1050">
        <w:tc>
          <w:tcPr>
            <w:tcW w:w="9287" w:type="dxa"/>
            <w:tcBorders>
              <w:top w:val="single" w:sz="4" w:space="0" w:color="auto"/>
              <w:left w:val="single" w:sz="4" w:space="0" w:color="auto"/>
              <w:bottom w:val="single" w:sz="4" w:space="0" w:color="auto"/>
              <w:right w:val="single" w:sz="4" w:space="0" w:color="auto"/>
              <w:tl2br w:val="nil"/>
              <w:tr2bl w:val="nil"/>
            </w:tcBorders>
          </w:tcPr>
          <w:p w:rsidR="002B1050" w:rsidRDefault="00E02DD4">
            <w:pPr>
              <w:widowControl/>
              <w:spacing w:line="200" w:lineRule="exact"/>
              <w:ind w:firstLineChars="200" w:firstLine="301"/>
              <w:rPr>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rsidR="002B1050" w:rsidRDefault="00E02DD4">
      <w:r>
        <w:br w:type="page"/>
      </w:r>
    </w:p>
    <w:p w:rsidR="002B1050" w:rsidRDefault="00E02DD4">
      <w:pPr>
        <w:pStyle w:val="Normal72bf5e8e"/>
        <w:spacing w:line="0" w:lineRule="atLeast"/>
        <w:jc w:val="center"/>
        <w:rPr>
          <w:b/>
          <w:bCs/>
          <w:kern w:val="0"/>
          <w:sz w:val="24"/>
          <w:szCs w:val="24"/>
        </w:rPr>
      </w:pPr>
      <w:r>
        <w:rPr>
          <w:b/>
          <w:bCs/>
          <w:kern w:val="0"/>
          <w:sz w:val="24"/>
          <w:szCs w:val="15"/>
        </w:rPr>
        <w:t xml:space="preserve"> </w:t>
      </w:r>
      <w:r>
        <w:rPr>
          <w:rFonts w:hint="eastAsia"/>
          <w:b/>
          <w:bCs/>
          <w:kern w:val="0"/>
          <w:sz w:val="24"/>
          <w:szCs w:val="24"/>
        </w:rPr>
        <w:t>理财产品说明书</w:t>
      </w:r>
    </w:p>
    <w:p w:rsidR="002B1050" w:rsidRDefault="00E02DD4">
      <w:pPr>
        <w:pStyle w:val="Normal72bf5e8e"/>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2B1050" w:rsidRDefault="00E02DD4">
      <w:pPr>
        <w:pStyle w:val="NormalWebfa6e6230"/>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2B1050">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2B1050" w:rsidRDefault="00E02DD4">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2B1050" w:rsidRDefault="00E02DD4">
            <w:pPr>
              <w:widowControl/>
              <w:spacing w:line="200" w:lineRule="exact"/>
              <w:jc w:val="left"/>
              <w:rPr>
                <w:kern w:val="0"/>
                <w:sz w:val="18"/>
                <w:szCs w:val="18"/>
              </w:rPr>
            </w:pPr>
            <w:r>
              <w:rPr>
                <w:rFonts w:hint="eastAsia"/>
                <w:kern w:val="0"/>
                <w:sz w:val="18"/>
                <w:szCs w:val="18"/>
              </w:rPr>
              <w:t>南银理财珠联璧合鑫逸稳三个月</w:t>
            </w:r>
            <w:r>
              <w:rPr>
                <w:rFonts w:hint="eastAsia"/>
                <w:kern w:val="0"/>
                <w:sz w:val="18"/>
                <w:szCs w:val="18"/>
              </w:rPr>
              <w:t>109</w:t>
            </w:r>
            <w:r>
              <w:rPr>
                <w:rFonts w:hint="eastAsia"/>
                <w:kern w:val="0"/>
                <w:sz w:val="18"/>
                <w:szCs w:val="18"/>
              </w:rPr>
              <w:t>期封闭式公募人民币理财产品</w:t>
            </w:r>
          </w:p>
        </w:tc>
      </w:tr>
      <w:tr w:rsidR="002B1050">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2B1050" w:rsidRDefault="00E02DD4">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2B1050" w:rsidRDefault="00E02DD4">
            <w:pPr>
              <w:widowControl/>
              <w:spacing w:line="200" w:lineRule="exact"/>
              <w:jc w:val="left"/>
              <w:rPr>
                <w:kern w:val="0"/>
                <w:sz w:val="18"/>
                <w:szCs w:val="18"/>
              </w:rPr>
            </w:pPr>
            <w:r>
              <w:rPr>
                <w:rFonts w:hint="eastAsia"/>
                <w:kern w:val="0"/>
                <w:sz w:val="18"/>
                <w:szCs w:val="18"/>
              </w:rPr>
              <w:t>封闭式、固定收益类、公募、净值型</w:t>
            </w:r>
          </w:p>
        </w:tc>
      </w:tr>
      <w:tr w:rsidR="002B1050">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2B1050" w:rsidRDefault="00E02DD4">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2B1050" w:rsidRDefault="00E02DD4">
            <w:pPr>
              <w:widowControl/>
              <w:spacing w:line="200" w:lineRule="exact"/>
              <w:jc w:val="left"/>
              <w:rPr>
                <w:kern w:val="0"/>
                <w:sz w:val="18"/>
                <w:szCs w:val="18"/>
              </w:rPr>
            </w:pPr>
            <w:r>
              <w:rPr>
                <w:rFonts w:hint="eastAsia"/>
                <w:kern w:val="0"/>
                <w:sz w:val="18"/>
                <w:szCs w:val="18"/>
              </w:rPr>
              <w:t>公开募集</w:t>
            </w:r>
          </w:p>
        </w:tc>
      </w:tr>
      <w:tr w:rsidR="002B1050">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2B1050" w:rsidRDefault="00E02DD4">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2B1050" w:rsidRDefault="00E02DD4">
            <w:pPr>
              <w:widowControl/>
              <w:spacing w:line="200" w:lineRule="exact"/>
              <w:jc w:val="left"/>
              <w:rPr>
                <w:kern w:val="0"/>
                <w:sz w:val="18"/>
                <w:szCs w:val="18"/>
              </w:rPr>
            </w:pPr>
            <w:r>
              <w:rPr>
                <w:rFonts w:hint="eastAsia"/>
                <w:kern w:val="0"/>
                <w:sz w:val="18"/>
                <w:szCs w:val="18"/>
              </w:rPr>
              <w:t>ZZ700322500572</w:t>
            </w:r>
          </w:p>
        </w:tc>
      </w:tr>
      <w:tr w:rsidR="002B1050">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1050" w:rsidRDefault="00E02DD4">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2B1050" w:rsidRDefault="00E02DD4">
            <w:pPr>
              <w:widowControl/>
              <w:spacing w:line="200" w:lineRule="exact"/>
              <w:jc w:val="left"/>
              <w:rPr>
                <w:kern w:val="0"/>
                <w:sz w:val="18"/>
                <w:szCs w:val="18"/>
              </w:rPr>
            </w:pPr>
            <w:r>
              <w:rPr>
                <w:rFonts w:cs="宋体" w:hint="eastAsia"/>
                <w:kern w:val="0"/>
                <w:sz w:val="18"/>
                <w:szCs w:val="18"/>
              </w:rPr>
              <w:t>Z7003225000378(</w:t>
            </w:r>
            <w:r>
              <w:rPr>
                <w:rFonts w:cs="宋体" w:hint="eastAsia"/>
                <w:kern w:val="0"/>
                <w:sz w:val="18"/>
                <w:szCs w:val="18"/>
              </w:rPr>
              <w:t>投资者可依据该编码在中国理财网</w:t>
            </w:r>
            <w:r>
              <w:rPr>
                <w:rFonts w:cs="宋体" w:hint="eastAsia"/>
                <w:kern w:val="0"/>
                <w:sz w:val="18"/>
                <w:szCs w:val="18"/>
              </w:rPr>
              <w:t>www.chinawealth.com.cn</w:t>
            </w:r>
            <w:r>
              <w:rPr>
                <w:rFonts w:cs="宋体" w:hint="eastAsia"/>
                <w:kern w:val="0"/>
                <w:sz w:val="18"/>
                <w:szCs w:val="18"/>
              </w:rPr>
              <w:t>查询理财产品相关信息）</w:t>
            </w:r>
          </w:p>
        </w:tc>
      </w:tr>
      <w:tr w:rsidR="002B1050">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1050" w:rsidRDefault="00E02DD4">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2B1050" w:rsidRDefault="00E02DD4">
            <w:pPr>
              <w:spacing w:line="200" w:lineRule="exact"/>
            </w:pPr>
            <w:r>
              <w:rPr>
                <w:rFonts w:cs="宋体"/>
                <w:sz w:val="18"/>
                <w:szCs w:val="18"/>
              </w:rPr>
              <w:t>A</w:t>
            </w:r>
            <w:r>
              <w:rPr>
                <w:rFonts w:cs="宋体"/>
                <w:sz w:val="18"/>
                <w:szCs w:val="18"/>
              </w:rPr>
              <w:t>份额：</w:t>
            </w:r>
            <w:r>
              <w:rPr>
                <w:rFonts w:cs="宋体"/>
                <w:sz w:val="18"/>
                <w:szCs w:val="18"/>
              </w:rPr>
              <w:t>Y80109</w:t>
            </w:r>
          </w:p>
          <w:p w:rsidR="002B1050" w:rsidRDefault="00E02DD4">
            <w:pPr>
              <w:spacing w:line="200" w:lineRule="exact"/>
            </w:pPr>
            <w:r>
              <w:rPr>
                <w:rFonts w:cs="宋体"/>
                <w:sz w:val="18"/>
                <w:szCs w:val="18"/>
              </w:rPr>
              <w:t>B</w:t>
            </w:r>
            <w:r>
              <w:rPr>
                <w:rFonts w:cs="宋体"/>
                <w:sz w:val="18"/>
                <w:szCs w:val="18"/>
              </w:rPr>
              <w:t>份额：</w:t>
            </w:r>
            <w:r>
              <w:rPr>
                <w:rFonts w:cs="宋体"/>
                <w:sz w:val="18"/>
                <w:szCs w:val="18"/>
              </w:rPr>
              <w:t>Y81109</w:t>
            </w:r>
          </w:p>
          <w:p w:rsidR="002B1050" w:rsidRDefault="00E02DD4">
            <w:pPr>
              <w:spacing w:line="200" w:lineRule="exact"/>
            </w:pPr>
            <w:r>
              <w:rPr>
                <w:rFonts w:cs="宋体"/>
                <w:sz w:val="18"/>
                <w:szCs w:val="18"/>
              </w:rPr>
              <w:t>C</w:t>
            </w:r>
            <w:r>
              <w:rPr>
                <w:rFonts w:cs="宋体"/>
                <w:sz w:val="18"/>
                <w:szCs w:val="18"/>
              </w:rPr>
              <w:t>份额：</w:t>
            </w:r>
            <w:r>
              <w:rPr>
                <w:rFonts w:cs="宋体"/>
                <w:sz w:val="18"/>
                <w:szCs w:val="18"/>
              </w:rPr>
              <w:t>Y82109</w:t>
            </w:r>
          </w:p>
          <w:p w:rsidR="002B1050" w:rsidRDefault="00E02DD4">
            <w:pPr>
              <w:spacing w:line="200" w:lineRule="exact"/>
            </w:pPr>
            <w:r>
              <w:rPr>
                <w:rFonts w:cs="宋体"/>
                <w:sz w:val="18"/>
                <w:szCs w:val="18"/>
              </w:rPr>
              <w:t>D</w:t>
            </w:r>
            <w:r>
              <w:rPr>
                <w:rFonts w:cs="宋体"/>
                <w:sz w:val="18"/>
                <w:szCs w:val="18"/>
              </w:rPr>
              <w:t>份额：</w:t>
            </w:r>
            <w:r>
              <w:rPr>
                <w:rFonts w:cs="宋体"/>
                <w:sz w:val="18"/>
                <w:szCs w:val="18"/>
              </w:rPr>
              <w:t>Y83109</w:t>
            </w:r>
          </w:p>
          <w:p w:rsidR="002B1050" w:rsidRDefault="00E02DD4">
            <w:pPr>
              <w:spacing w:line="200" w:lineRule="exact"/>
            </w:pPr>
            <w:r>
              <w:rPr>
                <w:rFonts w:cs="宋体"/>
                <w:sz w:val="18"/>
                <w:szCs w:val="18"/>
              </w:rPr>
              <w:t>E</w:t>
            </w:r>
            <w:r>
              <w:rPr>
                <w:rFonts w:cs="宋体"/>
                <w:sz w:val="18"/>
                <w:szCs w:val="18"/>
              </w:rPr>
              <w:t>份额：</w:t>
            </w:r>
            <w:r>
              <w:rPr>
                <w:rFonts w:cs="宋体"/>
                <w:sz w:val="18"/>
                <w:szCs w:val="18"/>
              </w:rPr>
              <w:t>Y84109</w:t>
            </w:r>
          </w:p>
          <w:p w:rsidR="002B1050" w:rsidRDefault="00E02DD4">
            <w:pPr>
              <w:spacing w:line="200" w:lineRule="exact"/>
            </w:pPr>
            <w:r>
              <w:rPr>
                <w:rFonts w:cs="宋体"/>
                <w:sz w:val="18"/>
                <w:szCs w:val="18"/>
              </w:rPr>
              <w:t>H</w:t>
            </w:r>
            <w:r>
              <w:rPr>
                <w:rFonts w:cs="宋体"/>
                <w:sz w:val="18"/>
                <w:szCs w:val="18"/>
              </w:rPr>
              <w:t>份额：</w:t>
            </w:r>
            <w:r>
              <w:rPr>
                <w:rFonts w:cs="宋体"/>
                <w:sz w:val="18"/>
                <w:szCs w:val="18"/>
              </w:rPr>
              <w:t>Y87109</w:t>
            </w:r>
          </w:p>
          <w:p w:rsidR="002B1050" w:rsidRDefault="00E02DD4">
            <w:pPr>
              <w:spacing w:line="200" w:lineRule="exact"/>
            </w:pPr>
            <w:r>
              <w:rPr>
                <w:rFonts w:cs="宋体"/>
                <w:sz w:val="18"/>
                <w:szCs w:val="18"/>
              </w:rPr>
              <w:t>J</w:t>
            </w:r>
            <w:r>
              <w:rPr>
                <w:rFonts w:cs="宋体"/>
                <w:sz w:val="18"/>
                <w:szCs w:val="18"/>
              </w:rPr>
              <w:t>份额：</w:t>
            </w:r>
            <w:r>
              <w:rPr>
                <w:rFonts w:cs="宋体"/>
                <w:sz w:val="18"/>
                <w:szCs w:val="18"/>
              </w:rPr>
              <w:t>Y89109</w:t>
            </w:r>
          </w:p>
          <w:p w:rsidR="002B1050" w:rsidRDefault="00E02DD4">
            <w:pPr>
              <w:spacing w:line="200" w:lineRule="exact"/>
            </w:pPr>
            <w:r>
              <w:rPr>
                <w:rFonts w:cs="宋体"/>
                <w:sz w:val="18"/>
                <w:szCs w:val="18"/>
              </w:rPr>
              <w:t>K</w:t>
            </w:r>
            <w:r>
              <w:rPr>
                <w:rFonts w:cs="宋体"/>
                <w:sz w:val="18"/>
                <w:szCs w:val="18"/>
              </w:rPr>
              <w:t>份额：</w:t>
            </w:r>
            <w:r>
              <w:rPr>
                <w:rFonts w:cs="宋体"/>
                <w:sz w:val="18"/>
                <w:szCs w:val="18"/>
              </w:rPr>
              <w:t>YA80109</w:t>
            </w:r>
          </w:p>
          <w:p w:rsidR="002B1050" w:rsidRDefault="00E02DD4">
            <w:pPr>
              <w:spacing w:line="200" w:lineRule="exact"/>
            </w:pPr>
            <w:r>
              <w:rPr>
                <w:rFonts w:cs="宋体"/>
                <w:sz w:val="18"/>
                <w:szCs w:val="18"/>
              </w:rPr>
              <w:t>L</w:t>
            </w:r>
            <w:r>
              <w:rPr>
                <w:rFonts w:cs="宋体"/>
                <w:sz w:val="18"/>
                <w:szCs w:val="18"/>
              </w:rPr>
              <w:t>份额：</w:t>
            </w:r>
            <w:r>
              <w:rPr>
                <w:rFonts w:cs="宋体"/>
                <w:sz w:val="18"/>
                <w:szCs w:val="18"/>
              </w:rPr>
              <w:t>YB80109</w:t>
            </w:r>
          </w:p>
          <w:p w:rsidR="002B1050" w:rsidRDefault="00E02DD4">
            <w:pPr>
              <w:spacing w:line="200" w:lineRule="exact"/>
            </w:pPr>
            <w:r>
              <w:rPr>
                <w:rFonts w:cs="宋体"/>
                <w:sz w:val="18"/>
                <w:szCs w:val="18"/>
              </w:rPr>
              <w:t>P</w:t>
            </w:r>
            <w:r>
              <w:rPr>
                <w:rFonts w:cs="宋体"/>
                <w:sz w:val="18"/>
                <w:szCs w:val="18"/>
              </w:rPr>
              <w:t>份额：</w:t>
            </w:r>
            <w:r>
              <w:rPr>
                <w:rFonts w:cs="宋体"/>
                <w:sz w:val="18"/>
                <w:szCs w:val="18"/>
              </w:rPr>
              <w:t>YF80109</w:t>
            </w:r>
          </w:p>
          <w:p w:rsidR="002B1050" w:rsidRDefault="00E02DD4">
            <w:pPr>
              <w:spacing w:line="200" w:lineRule="exact"/>
            </w:pPr>
            <w:r>
              <w:rPr>
                <w:rFonts w:cs="宋体"/>
                <w:sz w:val="18"/>
                <w:szCs w:val="18"/>
              </w:rPr>
              <w:t>Q</w:t>
            </w:r>
            <w:r>
              <w:rPr>
                <w:rFonts w:cs="宋体"/>
                <w:sz w:val="18"/>
                <w:szCs w:val="18"/>
              </w:rPr>
              <w:t>份额：</w:t>
            </w:r>
            <w:r>
              <w:rPr>
                <w:rFonts w:cs="宋体"/>
                <w:sz w:val="18"/>
                <w:szCs w:val="18"/>
              </w:rPr>
              <w:t>YG80109</w:t>
            </w:r>
          </w:p>
          <w:p w:rsidR="002B1050" w:rsidRDefault="00E02DD4">
            <w:pPr>
              <w:spacing w:line="200" w:lineRule="exact"/>
            </w:pPr>
            <w:r>
              <w:rPr>
                <w:rFonts w:cs="宋体"/>
                <w:sz w:val="18"/>
                <w:szCs w:val="18"/>
              </w:rPr>
              <w:t>R</w:t>
            </w:r>
            <w:r>
              <w:rPr>
                <w:rFonts w:cs="宋体"/>
                <w:sz w:val="18"/>
                <w:szCs w:val="18"/>
              </w:rPr>
              <w:t>份额：</w:t>
            </w:r>
            <w:r>
              <w:rPr>
                <w:rFonts w:cs="宋体"/>
                <w:sz w:val="18"/>
                <w:szCs w:val="18"/>
              </w:rPr>
              <w:t>YH80109</w:t>
            </w:r>
          </w:p>
          <w:p w:rsidR="002B1050" w:rsidRDefault="00E02DD4">
            <w:pPr>
              <w:spacing w:line="200" w:lineRule="exact"/>
            </w:pPr>
            <w:r>
              <w:rPr>
                <w:rFonts w:cs="宋体"/>
                <w:sz w:val="18"/>
                <w:szCs w:val="18"/>
              </w:rPr>
              <w:t>Q1</w:t>
            </w:r>
            <w:r>
              <w:rPr>
                <w:rFonts w:cs="宋体"/>
                <w:sz w:val="18"/>
                <w:szCs w:val="18"/>
              </w:rPr>
              <w:t>份额：</w:t>
            </w:r>
            <w:r>
              <w:rPr>
                <w:rFonts w:cs="宋体"/>
                <w:sz w:val="18"/>
                <w:szCs w:val="18"/>
              </w:rPr>
              <w:t>YI80109</w:t>
            </w:r>
          </w:p>
          <w:p w:rsidR="002B1050" w:rsidRDefault="00E02DD4">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2B1050">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1050" w:rsidRDefault="00E02DD4">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2B1050" w:rsidRDefault="00E02DD4">
            <w:pPr>
              <w:spacing w:line="200" w:lineRule="exact"/>
            </w:pPr>
            <w:r>
              <w:rPr>
                <w:rFonts w:cs="宋体"/>
                <w:sz w:val="18"/>
                <w:szCs w:val="18"/>
              </w:rPr>
              <w:t>全国</w:t>
            </w:r>
          </w:p>
        </w:tc>
      </w:tr>
      <w:tr w:rsidR="002B1050">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1050" w:rsidRDefault="00E02DD4">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2B1050" w:rsidRDefault="00E02DD4">
            <w:pPr>
              <w:widowControl/>
              <w:spacing w:line="200" w:lineRule="exact"/>
              <w:jc w:val="left"/>
              <w:textAlignment w:val="center"/>
              <w:rPr>
                <w:kern w:val="0"/>
                <w:sz w:val="18"/>
                <w:szCs w:val="18"/>
              </w:rPr>
            </w:pPr>
            <w:r>
              <w:rPr>
                <w:rFonts w:hint="eastAsia"/>
                <w:kern w:val="0"/>
                <w:sz w:val="18"/>
                <w:szCs w:val="18"/>
              </w:rPr>
              <w:t>人民币</w:t>
            </w:r>
          </w:p>
        </w:tc>
      </w:tr>
      <w:tr w:rsidR="002B1050">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1050" w:rsidRDefault="00E02DD4">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2B1050" w:rsidRDefault="00E02DD4">
            <w:pPr>
              <w:spacing w:line="200" w:lineRule="exact"/>
            </w:pPr>
            <w:r>
              <w:rPr>
                <w:rFonts w:cs="宋体"/>
                <w:sz w:val="18"/>
                <w:szCs w:val="18"/>
              </w:rPr>
              <w:t>本理财产品规模上限为</w:t>
            </w:r>
            <w:r>
              <w:rPr>
                <w:rFonts w:cs="宋体"/>
                <w:sz w:val="18"/>
                <w:szCs w:val="18"/>
              </w:rPr>
              <w:t>100</w:t>
            </w:r>
            <w:r>
              <w:rPr>
                <w:rFonts w:cs="宋体"/>
                <w:sz w:val="18"/>
                <w:szCs w:val="18"/>
              </w:rPr>
              <w:t>亿元。理财产品管理人有权对上述规模上限根据实际业务需求进行调整。</w:t>
            </w:r>
          </w:p>
        </w:tc>
      </w:tr>
      <w:tr w:rsidR="002B1050">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1050" w:rsidRDefault="00E02DD4">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2B1050" w:rsidRDefault="00E02DD4">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2B1050" w:rsidRDefault="00E02DD4">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2B1050">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1050" w:rsidRDefault="00E02DD4">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2B1050" w:rsidRDefault="00E02DD4">
            <w:pPr>
              <w:spacing w:line="200" w:lineRule="exact"/>
            </w:pPr>
            <w:r>
              <w:rPr>
                <w:rFonts w:cs="宋体"/>
                <w:color w:val="000000"/>
                <w:sz w:val="18"/>
                <w:szCs w:val="18"/>
              </w:rPr>
              <w:t>符合相关法律法规、监管规定要求的，经销售机构的风险承受能力评估体系评定为适合的个人和机构投资者。</w:t>
            </w:r>
          </w:p>
          <w:p w:rsidR="002B1050" w:rsidRDefault="00E02DD4">
            <w:pPr>
              <w:spacing w:line="200" w:lineRule="exact"/>
            </w:pPr>
            <w:r>
              <w:rPr>
                <w:rFonts w:cs="宋体"/>
                <w:sz w:val="18"/>
                <w:szCs w:val="18"/>
              </w:rPr>
              <w:t>A</w:t>
            </w:r>
            <w:r>
              <w:rPr>
                <w:rFonts w:cs="宋体"/>
                <w:sz w:val="18"/>
                <w:szCs w:val="18"/>
              </w:rPr>
              <w:t>份额：除</w:t>
            </w:r>
            <w:r>
              <w:rPr>
                <w:rFonts w:cs="宋体"/>
                <w:sz w:val="18"/>
                <w:szCs w:val="18"/>
              </w:rPr>
              <w:t>B</w:t>
            </w:r>
            <w:r>
              <w:rPr>
                <w:rFonts w:cs="宋体"/>
                <w:sz w:val="18"/>
                <w:szCs w:val="18"/>
              </w:rPr>
              <w:t>、</w:t>
            </w:r>
            <w:r>
              <w:rPr>
                <w:rFonts w:cs="宋体"/>
                <w:sz w:val="18"/>
                <w:szCs w:val="18"/>
              </w:rPr>
              <w:t>C</w:t>
            </w:r>
            <w:r>
              <w:rPr>
                <w:rFonts w:cs="宋体"/>
                <w:sz w:val="18"/>
                <w:szCs w:val="18"/>
              </w:rPr>
              <w:t>、</w:t>
            </w:r>
            <w:r>
              <w:rPr>
                <w:rFonts w:cs="宋体"/>
                <w:sz w:val="18"/>
                <w:szCs w:val="18"/>
              </w:rPr>
              <w:t>D</w:t>
            </w:r>
            <w:r>
              <w:rPr>
                <w:rFonts w:cs="宋体"/>
                <w:sz w:val="18"/>
                <w:szCs w:val="18"/>
              </w:rPr>
              <w:t>、</w:t>
            </w:r>
            <w:r>
              <w:rPr>
                <w:rFonts w:cs="宋体"/>
                <w:sz w:val="18"/>
                <w:szCs w:val="18"/>
              </w:rPr>
              <w:t>E</w:t>
            </w:r>
            <w:r>
              <w:rPr>
                <w:rFonts w:cs="宋体"/>
                <w:sz w:val="18"/>
                <w:szCs w:val="18"/>
              </w:rPr>
              <w:t>、</w:t>
            </w:r>
            <w:r>
              <w:rPr>
                <w:rFonts w:cs="宋体"/>
                <w:sz w:val="18"/>
                <w:szCs w:val="18"/>
              </w:rPr>
              <w:t>H</w:t>
            </w:r>
            <w:r>
              <w:rPr>
                <w:rFonts w:cs="宋体"/>
                <w:sz w:val="18"/>
                <w:szCs w:val="18"/>
              </w:rPr>
              <w:t>、</w:t>
            </w:r>
            <w:r>
              <w:rPr>
                <w:rFonts w:cs="宋体"/>
                <w:sz w:val="18"/>
                <w:szCs w:val="18"/>
              </w:rPr>
              <w:t>J</w:t>
            </w:r>
            <w:r>
              <w:rPr>
                <w:rFonts w:cs="宋体"/>
                <w:sz w:val="18"/>
                <w:szCs w:val="18"/>
              </w:rPr>
              <w:t>、</w:t>
            </w:r>
            <w:r>
              <w:rPr>
                <w:rFonts w:cs="宋体"/>
                <w:sz w:val="18"/>
                <w:szCs w:val="18"/>
              </w:rPr>
              <w:t>K</w:t>
            </w:r>
            <w:r>
              <w:rPr>
                <w:rFonts w:cs="宋体"/>
                <w:sz w:val="18"/>
                <w:szCs w:val="18"/>
              </w:rPr>
              <w:t>、</w:t>
            </w:r>
            <w:r>
              <w:rPr>
                <w:rFonts w:cs="宋体"/>
                <w:sz w:val="18"/>
                <w:szCs w:val="18"/>
              </w:rPr>
              <w:t>L</w:t>
            </w:r>
            <w:r>
              <w:rPr>
                <w:rFonts w:cs="宋体"/>
                <w:sz w:val="18"/>
                <w:szCs w:val="18"/>
              </w:rPr>
              <w:t>、</w:t>
            </w:r>
            <w:r>
              <w:rPr>
                <w:rFonts w:cs="宋体"/>
                <w:sz w:val="18"/>
                <w:szCs w:val="18"/>
              </w:rPr>
              <w:t>P</w:t>
            </w:r>
            <w:r>
              <w:rPr>
                <w:rFonts w:cs="宋体"/>
                <w:sz w:val="18"/>
                <w:szCs w:val="18"/>
              </w:rPr>
              <w:t>、</w:t>
            </w:r>
            <w:r>
              <w:rPr>
                <w:rFonts w:cs="宋体"/>
                <w:sz w:val="18"/>
                <w:szCs w:val="18"/>
              </w:rPr>
              <w:t>Q</w:t>
            </w:r>
            <w:r>
              <w:rPr>
                <w:rFonts w:cs="宋体"/>
                <w:sz w:val="18"/>
                <w:szCs w:val="18"/>
              </w:rPr>
              <w:t>、</w:t>
            </w:r>
            <w:r>
              <w:rPr>
                <w:rFonts w:cs="宋体"/>
                <w:sz w:val="18"/>
                <w:szCs w:val="18"/>
              </w:rPr>
              <w:t>R</w:t>
            </w:r>
            <w:r>
              <w:rPr>
                <w:rFonts w:cs="宋体"/>
                <w:sz w:val="18"/>
                <w:szCs w:val="18"/>
              </w:rPr>
              <w:t>、</w:t>
            </w:r>
            <w:r>
              <w:rPr>
                <w:rFonts w:cs="宋体"/>
                <w:sz w:val="18"/>
                <w:szCs w:val="18"/>
              </w:rPr>
              <w:t>Q1</w:t>
            </w:r>
            <w:r>
              <w:rPr>
                <w:rFonts w:cs="宋体"/>
                <w:sz w:val="18"/>
                <w:szCs w:val="18"/>
              </w:rPr>
              <w:t>份额以外的所有客户（详见</w:t>
            </w:r>
            <w:r>
              <w:rPr>
                <w:rFonts w:cs="宋体"/>
                <w:sz w:val="18"/>
                <w:szCs w:val="18"/>
              </w:rPr>
              <w:t>“</w:t>
            </w:r>
            <w:r>
              <w:rPr>
                <w:rFonts w:cs="宋体"/>
                <w:sz w:val="18"/>
                <w:szCs w:val="18"/>
              </w:rPr>
              <w:t>销售机构</w:t>
            </w:r>
            <w:r>
              <w:rPr>
                <w:rFonts w:cs="宋体"/>
                <w:sz w:val="18"/>
                <w:szCs w:val="18"/>
              </w:rPr>
              <w:t>”</w:t>
            </w:r>
            <w:r>
              <w:rPr>
                <w:rFonts w:cs="宋体"/>
                <w:sz w:val="18"/>
                <w:szCs w:val="18"/>
              </w:rPr>
              <w:t>条款）。</w:t>
            </w:r>
          </w:p>
          <w:p w:rsidR="002B1050" w:rsidRDefault="00E02DD4">
            <w:pPr>
              <w:spacing w:line="200" w:lineRule="exact"/>
            </w:pPr>
            <w:r>
              <w:rPr>
                <w:rFonts w:cs="宋体"/>
                <w:sz w:val="18"/>
                <w:szCs w:val="18"/>
              </w:rPr>
              <w:t>B</w:t>
            </w:r>
            <w:r>
              <w:rPr>
                <w:rFonts w:cs="宋体"/>
                <w:sz w:val="18"/>
                <w:szCs w:val="18"/>
              </w:rPr>
              <w:t>份额：南京银行股份有限公司</w:t>
            </w:r>
            <w:r>
              <w:rPr>
                <w:rFonts w:cs="宋体"/>
                <w:sz w:val="18"/>
                <w:szCs w:val="18"/>
              </w:rPr>
              <w:t>(</w:t>
            </w:r>
            <w:r>
              <w:rPr>
                <w:rFonts w:cs="宋体"/>
                <w:sz w:val="18"/>
                <w:szCs w:val="18"/>
              </w:rPr>
              <w:t>新客或新资金或代发客户</w:t>
            </w:r>
            <w:r>
              <w:rPr>
                <w:rFonts w:cs="宋体"/>
                <w:sz w:val="18"/>
                <w:szCs w:val="18"/>
              </w:rPr>
              <w:t>)</w:t>
            </w:r>
            <w:r>
              <w:rPr>
                <w:rFonts w:cs="宋体"/>
                <w:sz w:val="18"/>
                <w:szCs w:val="18"/>
              </w:rPr>
              <w:t>、江苏太仓农村商业银行股份有限公司、青岛银行股份有限公司</w:t>
            </w:r>
            <w:r>
              <w:rPr>
                <w:rFonts w:cs="宋体"/>
                <w:sz w:val="18"/>
                <w:szCs w:val="18"/>
              </w:rPr>
              <w:t>(</w:t>
            </w:r>
            <w:r>
              <w:rPr>
                <w:rFonts w:cs="宋体"/>
                <w:sz w:val="18"/>
                <w:szCs w:val="18"/>
              </w:rPr>
              <w:t>私行客户</w:t>
            </w:r>
            <w:r>
              <w:rPr>
                <w:rFonts w:cs="宋体"/>
                <w:sz w:val="18"/>
                <w:szCs w:val="18"/>
              </w:rPr>
              <w:t>)</w:t>
            </w:r>
            <w:r>
              <w:rPr>
                <w:rFonts w:cs="宋体"/>
                <w:sz w:val="18"/>
                <w:szCs w:val="18"/>
              </w:rPr>
              <w:t>、温州银行股份有限</w:t>
            </w:r>
            <w:r>
              <w:rPr>
                <w:rFonts w:cs="宋体"/>
                <w:sz w:val="18"/>
                <w:szCs w:val="18"/>
              </w:rPr>
              <w:t>公司、烟台银行股份有限公司</w:t>
            </w:r>
            <w:r>
              <w:rPr>
                <w:rFonts w:cs="宋体"/>
                <w:sz w:val="18"/>
                <w:szCs w:val="18"/>
              </w:rPr>
              <w:t>(</w:t>
            </w:r>
            <w:r>
              <w:rPr>
                <w:rFonts w:cs="宋体"/>
                <w:sz w:val="18"/>
                <w:szCs w:val="18"/>
              </w:rPr>
              <w:t>工会卡</w:t>
            </w:r>
            <w:r>
              <w:rPr>
                <w:rFonts w:cs="宋体"/>
                <w:sz w:val="18"/>
                <w:szCs w:val="18"/>
              </w:rPr>
              <w:t xml:space="preserve"> )</w:t>
            </w:r>
            <w:r>
              <w:rPr>
                <w:rFonts w:cs="宋体"/>
                <w:sz w:val="18"/>
                <w:szCs w:val="18"/>
              </w:rPr>
              <w:t>、浙江民泰商业银行股份有限公司、河北银行股份有限公司</w:t>
            </w:r>
            <w:r>
              <w:rPr>
                <w:rFonts w:cs="宋体"/>
                <w:sz w:val="18"/>
                <w:szCs w:val="18"/>
              </w:rPr>
              <w:t>(</w:t>
            </w:r>
            <w:r>
              <w:rPr>
                <w:rFonts w:cs="宋体"/>
                <w:sz w:val="18"/>
                <w:szCs w:val="18"/>
              </w:rPr>
              <w:t>常规客户</w:t>
            </w:r>
            <w:r>
              <w:rPr>
                <w:rFonts w:cs="宋体"/>
                <w:sz w:val="18"/>
                <w:szCs w:val="18"/>
              </w:rPr>
              <w:t xml:space="preserve"> )</w:t>
            </w:r>
            <w:r>
              <w:rPr>
                <w:rFonts w:cs="宋体"/>
                <w:sz w:val="18"/>
                <w:szCs w:val="18"/>
              </w:rPr>
              <w:t>、广州银行股份有限公司、江苏常熟农村商业银行股份有限公司</w:t>
            </w:r>
            <w:r>
              <w:rPr>
                <w:rFonts w:cs="宋体"/>
                <w:sz w:val="18"/>
                <w:szCs w:val="18"/>
              </w:rPr>
              <w:t>(</w:t>
            </w:r>
            <w:r>
              <w:rPr>
                <w:rFonts w:cs="宋体"/>
                <w:sz w:val="18"/>
                <w:szCs w:val="18"/>
              </w:rPr>
              <w:t>专属客户</w:t>
            </w:r>
            <w:r>
              <w:rPr>
                <w:rFonts w:cs="宋体"/>
                <w:sz w:val="18"/>
                <w:szCs w:val="18"/>
              </w:rPr>
              <w:t>)</w:t>
            </w:r>
            <w:r>
              <w:rPr>
                <w:rFonts w:cs="宋体"/>
                <w:sz w:val="18"/>
                <w:szCs w:val="18"/>
              </w:rPr>
              <w:t>、江苏苏州农村商业银行股份有限公司</w:t>
            </w:r>
            <w:r>
              <w:rPr>
                <w:rFonts w:cs="宋体"/>
                <w:sz w:val="18"/>
                <w:szCs w:val="18"/>
              </w:rPr>
              <w:t xml:space="preserve">( </w:t>
            </w:r>
            <w:r>
              <w:rPr>
                <w:rFonts w:cs="宋体"/>
                <w:sz w:val="18"/>
                <w:szCs w:val="18"/>
              </w:rPr>
              <w:t>专属客户</w:t>
            </w:r>
            <w:r>
              <w:rPr>
                <w:rFonts w:cs="宋体"/>
                <w:sz w:val="18"/>
                <w:szCs w:val="18"/>
              </w:rPr>
              <w:t>)</w:t>
            </w:r>
            <w:r>
              <w:rPr>
                <w:rFonts w:cs="宋体"/>
                <w:sz w:val="18"/>
                <w:szCs w:val="18"/>
              </w:rPr>
              <w:t>、江苏江南农村商业银行股份有限公司</w:t>
            </w:r>
            <w:r>
              <w:rPr>
                <w:rFonts w:cs="宋体"/>
                <w:sz w:val="18"/>
                <w:szCs w:val="18"/>
              </w:rPr>
              <w:t xml:space="preserve">( </w:t>
            </w:r>
            <w:r>
              <w:rPr>
                <w:rFonts w:cs="宋体"/>
                <w:sz w:val="18"/>
                <w:szCs w:val="18"/>
              </w:rPr>
              <w:t>财富客户</w:t>
            </w:r>
            <w:r>
              <w:rPr>
                <w:rFonts w:cs="宋体"/>
                <w:sz w:val="18"/>
                <w:szCs w:val="18"/>
              </w:rPr>
              <w:t>)</w:t>
            </w:r>
            <w:r>
              <w:rPr>
                <w:rFonts w:cs="宋体"/>
                <w:sz w:val="18"/>
                <w:szCs w:val="18"/>
              </w:rPr>
              <w:t>、苏州银行股份有限公司</w:t>
            </w:r>
            <w:r>
              <w:rPr>
                <w:rFonts w:cs="宋体"/>
                <w:sz w:val="18"/>
                <w:szCs w:val="18"/>
              </w:rPr>
              <w:t>(</w:t>
            </w:r>
            <w:r>
              <w:rPr>
                <w:rFonts w:cs="宋体"/>
                <w:sz w:val="18"/>
                <w:szCs w:val="18"/>
              </w:rPr>
              <w:t>特邀客户</w:t>
            </w:r>
            <w:r>
              <w:rPr>
                <w:rFonts w:cs="宋体"/>
                <w:sz w:val="18"/>
                <w:szCs w:val="18"/>
              </w:rPr>
              <w:t>)</w:t>
            </w:r>
            <w:r>
              <w:rPr>
                <w:rFonts w:cs="宋体"/>
                <w:sz w:val="18"/>
                <w:szCs w:val="18"/>
              </w:rPr>
              <w:t>、秦皇岛银行股份有限公司、青岛农村商业银行股份有限公司、潍坊银行股份有限公司、宁波东海银行股份有限公司、齐鲁银行股份有限公司</w:t>
            </w:r>
            <w:r>
              <w:rPr>
                <w:rFonts w:cs="宋体"/>
                <w:sz w:val="18"/>
                <w:szCs w:val="18"/>
              </w:rPr>
              <w:t>(</w:t>
            </w:r>
            <w:r>
              <w:rPr>
                <w:rFonts w:cs="宋体"/>
                <w:sz w:val="18"/>
                <w:szCs w:val="18"/>
              </w:rPr>
              <w:t>白金</w:t>
            </w:r>
            <w:r>
              <w:rPr>
                <w:rFonts w:cs="宋体"/>
                <w:sz w:val="18"/>
                <w:szCs w:val="18"/>
              </w:rPr>
              <w:t>/</w:t>
            </w:r>
            <w:r>
              <w:rPr>
                <w:rFonts w:cs="宋体"/>
                <w:sz w:val="18"/>
                <w:szCs w:val="18"/>
              </w:rPr>
              <w:t>私行客户</w:t>
            </w:r>
            <w:r>
              <w:rPr>
                <w:rFonts w:cs="宋体"/>
                <w:sz w:val="18"/>
                <w:szCs w:val="18"/>
              </w:rPr>
              <w:t>)</w:t>
            </w:r>
            <w:r>
              <w:rPr>
                <w:rFonts w:cs="宋体"/>
                <w:sz w:val="18"/>
                <w:szCs w:val="18"/>
              </w:rPr>
              <w:t>、甘肃银行股份有限公司</w:t>
            </w:r>
            <w:r>
              <w:rPr>
                <w:rFonts w:cs="宋体"/>
                <w:sz w:val="18"/>
                <w:szCs w:val="18"/>
              </w:rPr>
              <w:t xml:space="preserve">( </w:t>
            </w:r>
            <w:r>
              <w:rPr>
                <w:rFonts w:cs="宋体"/>
                <w:sz w:val="18"/>
                <w:szCs w:val="18"/>
              </w:rPr>
              <w:t>常规客户</w:t>
            </w:r>
            <w:r>
              <w:rPr>
                <w:rFonts w:cs="宋体"/>
                <w:sz w:val="18"/>
                <w:szCs w:val="18"/>
              </w:rPr>
              <w:t>)</w:t>
            </w:r>
            <w:r>
              <w:rPr>
                <w:rFonts w:cs="宋体"/>
                <w:sz w:val="18"/>
                <w:szCs w:val="18"/>
              </w:rPr>
              <w:t>、台州银行股份有限公司</w:t>
            </w:r>
            <w:r>
              <w:rPr>
                <w:rFonts w:cs="宋体"/>
                <w:sz w:val="18"/>
                <w:szCs w:val="18"/>
              </w:rPr>
              <w:t xml:space="preserve">( </w:t>
            </w:r>
            <w:r>
              <w:rPr>
                <w:rFonts w:cs="宋体"/>
                <w:sz w:val="18"/>
                <w:szCs w:val="18"/>
              </w:rPr>
              <w:t>普通客</w:t>
            </w:r>
            <w:r>
              <w:rPr>
                <w:rFonts w:cs="宋体"/>
                <w:sz w:val="18"/>
                <w:szCs w:val="18"/>
              </w:rPr>
              <w:t>群</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零售客群</w:t>
            </w:r>
            <w:r>
              <w:rPr>
                <w:rFonts w:cs="宋体"/>
                <w:sz w:val="18"/>
                <w:szCs w:val="18"/>
              </w:rPr>
              <w:t>)</w:t>
            </w:r>
            <w:r>
              <w:rPr>
                <w:rFonts w:cs="宋体"/>
                <w:sz w:val="18"/>
                <w:szCs w:val="18"/>
              </w:rPr>
              <w:t>、云南红塔银行股份有限公司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、上海农村商业银行股份有限公司</w:t>
            </w:r>
            <w:r>
              <w:rPr>
                <w:rFonts w:cs="宋体"/>
                <w:sz w:val="18"/>
                <w:szCs w:val="18"/>
              </w:rPr>
              <w:t xml:space="preserve">( </w:t>
            </w:r>
            <w:r>
              <w:rPr>
                <w:rFonts w:cs="宋体"/>
                <w:sz w:val="18"/>
                <w:szCs w:val="18"/>
              </w:rPr>
              <w:t>受邀客户（在我行时点资产大于等于</w:t>
            </w:r>
            <w:r>
              <w:rPr>
                <w:rFonts w:cs="宋体"/>
                <w:sz w:val="18"/>
                <w:szCs w:val="18"/>
              </w:rPr>
              <w:t>20</w:t>
            </w:r>
            <w:r>
              <w:rPr>
                <w:rFonts w:cs="宋体"/>
                <w:sz w:val="18"/>
                <w:szCs w:val="18"/>
              </w:rPr>
              <w:t>万元）</w:t>
            </w:r>
            <w:r>
              <w:rPr>
                <w:rFonts w:cs="宋体"/>
                <w:sz w:val="18"/>
                <w:szCs w:val="18"/>
              </w:rPr>
              <w:t>)</w:t>
            </w:r>
            <w:r>
              <w:rPr>
                <w:rFonts w:cs="宋体"/>
                <w:sz w:val="18"/>
                <w:szCs w:val="18"/>
              </w:rPr>
              <w:t>、富邦华一银行有限公司</w:t>
            </w:r>
            <w:r>
              <w:rPr>
                <w:rFonts w:cs="宋体"/>
                <w:sz w:val="18"/>
                <w:szCs w:val="18"/>
              </w:rPr>
              <w:t>(</w:t>
            </w:r>
            <w:r>
              <w:rPr>
                <w:rFonts w:cs="宋体"/>
                <w:sz w:val="18"/>
                <w:szCs w:val="18"/>
              </w:rPr>
              <w:t>常规客户</w:t>
            </w:r>
            <w:r>
              <w:rPr>
                <w:rFonts w:cs="宋体"/>
                <w:sz w:val="18"/>
                <w:szCs w:val="18"/>
              </w:rPr>
              <w:t>)</w:t>
            </w:r>
            <w:r>
              <w:rPr>
                <w:rFonts w:cs="宋体"/>
                <w:sz w:val="18"/>
                <w:szCs w:val="18"/>
              </w:rPr>
              <w:t>、桂林银行股份有限公司</w:t>
            </w:r>
            <w:r>
              <w:rPr>
                <w:rFonts w:cs="宋体"/>
                <w:sz w:val="18"/>
                <w:szCs w:val="18"/>
              </w:rPr>
              <w:t xml:space="preserve">( </w:t>
            </w:r>
            <w:r>
              <w:rPr>
                <w:rFonts w:cs="宋体"/>
                <w:sz w:val="18"/>
                <w:szCs w:val="18"/>
              </w:rPr>
              <w:t>常规客户</w:t>
            </w:r>
            <w:r>
              <w:rPr>
                <w:rFonts w:cs="宋体"/>
                <w:sz w:val="18"/>
                <w:szCs w:val="18"/>
              </w:rPr>
              <w:t>)</w:t>
            </w:r>
            <w:r>
              <w:rPr>
                <w:rFonts w:cs="宋体"/>
                <w:sz w:val="18"/>
                <w:szCs w:val="18"/>
              </w:rPr>
              <w:t>、宁波通商银行股份有限公司</w:t>
            </w:r>
            <w:r>
              <w:rPr>
                <w:rFonts w:cs="宋体"/>
                <w:sz w:val="18"/>
                <w:szCs w:val="18"/>
              </w:rPr>
              <w:t xml:space="preserve">( </w:t>
            </w:r>
            <w:r>
              <w:rPr>
                <w:rFonts w:cs="宋体"/>
                <w:sz w:val="18"/>
                <w:szCs w:val="18"/>
              </w:rPr>
              <w:t>普通客群</w:t>
            </w:r>
            <w:r>
              <w:rPr>
                <w:rFonts w:cs="宋体"/>
                <w:sz w:val="18"/>
                <w:szCs w:val="18"/>
              </w:rPr>
              <w:t>)</w:t>
            </w:r>
            <w:r>
              <w:rPr>
                <w:rFonts w:cs="宋体"/>
                <w:sz w:val="18"/>
                <w:szCs w:val="18"/>
              </w:rPr>
              <w:t>、江苏扬州农村商业银行股份有限公司</w:t>
            </w:r>
            <w:r>
              <w:rPr>
                <w:rFonts w:cs="宋体"/>
                <w:sz w:val="18"/>
                <w:szCs w:val="18"/>
              </w:rPr>
              <w:t xml:space="preserve">( </w:t>
            </w:r>
            <w:r>
              <w:rPr>
                <w:rFonts w:cs="宋体"/>
                <w:sz w:val="18"/>
                <w:szCs w:val="18"/>
              </w:rPr>
              <w:t>新客户</w:t>
            </w:r>
            <w:r>
              <w:rPr>
                <w:rFonts w:cs="宋体"/>
                <w:sz w:val="18"/>
                <w:szCs w:val="18"/>
              </w:rPr>
              <w:t>)</w:t>
            </w:r>
            <w:r>
              <w:rPr>
                <w:rFonts w:cs="宋体"/>
                <w:sz w:val="18"/>
                <w:szCs w:val="18"/>
              </w:rPr>
              <w:t>、江苏江都农村商业银行股份有限公司、江苏镇江农村商业银行股份有限公司</w:t>
            </w:r>
            <w:r>
              <w:rPr>
                <w:rFonts w:cs="宋体"/>
                <w:sz w:val="18"/>
                <w:szCs w:val="18"/>
              </w:rPr>
              <w:t>(20</w:t>
            </w:r>
            <w:r>
              <w:rPr>
                <w:rFonts w:cs="宋体"/>
                <w:sz w:val="18"/>
                <w:szCs w:val="18"/>
              </w:rPr>
              <w:t>万元起购</w:t>
            </w:r>
            <w:r>
              <w:rPr>
                <w:rFonts w:cs="宋体"/>
                <w:sz w:val="18"/>
                <w:szCs w:val="18"/>
              </w:rPr>
              <w:t xml:space="preserve"> )</w:t>
            </w:r>
            <w:r>
              <w:rPr>
                <w:rFonts w:cs="宋体"/>
                <w:sz w:val="18"/>
                <w:szCs w:val="18"/>
              </w:rPr>
              <w:t>、江苏如皋农村商业银行股份有限公司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、徐州农村商业银行股份有限公司</w:t>
            </w:r>
            <w:r>
              <w:rPr>
                <w:rFonts w:cs="宋体"/>
                <w:sz w:val="18"/>
                <w:szCs w:val="18"/>
              </w:rPr>
              <w:t xml:space="preserve">( </w:t>
            </w:r>
            <w:r>
              <w:rPr>
                <w:rFonts w:cs="宋体"/>
                <w:sz w:val="18"/>
                <w:szCs w:val="18"/>
              </w:rPr>
              <w:t>财富客群</w:t>
            </w:r>
            <w:r>
              <w:rPr>
                <w:rFonts w:cs="宋体"/>
                <w:sz w:val="18"/>
                <w:szCs w:val="18"/>
              </w:rPr>
              <w:t>)</w:t>
            </w:r>
            <w:r>
              <w:rPr>
                <w:rFonts w:cs="宋体"/>
                <w:sz w:val="18"/>
                <w:szCs w:val="18"/>
              </w:rPr>
              <w:t>、江苏紫金农村</w:t>
            </w:r>
            <w:r>
              <w:rPr>
                <w:rFonts w:cs="宋体"/>
                <w:sz w:val="18"/>
                <w:szCs w:val="18"/>
              </w:rPr>
              <w:t>商业银行股份有限公司、江苏沛县农村商业银行股份有限公司、江苏仪征农村商业银行股份有限公司</w:t>
            </w:r>
            <w:r>
              <w:rPr>
                <w:rFonts w:cs="宋体"/>
                <w:sz w:val="18"/>
                <w:szCs w:val="18"/>
              </w:rPr>
              <w:t>( 20</w:t>
            </w:r>
            <w:r>
              <w:rPr>
                <w:rFonts w:cs="宋体"/>
                <w:sz w:val="18"/>
                <w:szCs w:val="18"/>
              </w:rPr>
              <w:t>万元起购</w:t>
            </w:r>
            <w:r>
              <w:rPr>
                <w:rFonts w:cs="宋体"/>
                <w:sz w:val="18"/>
                <w:szCs w:val="18"/>
              </w:rPr>
              <w:t>)</w:t>
            </w:r>
            <w:r>
              <w:rPr>
                <w:rFonts w:cs="宋体"/>
                <w:sz w:val="18"/>
                <w:szCs w:val="18"/>
              </w:rPr>
              <w:t>、江苏海安农村商业银行股份有限公司、江苏泰州农村商业银行股份有限公司、枣庄银行股份有限公司</w:t>
            </w:r>
            <w:r>
              <w:rPr>
                <w:rFonts w:cs="宋体"/>
                <w:sz w:val="18"/>
                <w:szCs w:val="18"/>
              </w:rPr>
              <w:t xml:space="preserve">( </w:t>
            </w:r>
            <w:r>
              <w:rPr>
                <w:rFonts w:cs="宋体"/>
                <w:sz w:val="18"/>
                <w:szCs w:val="18"/>
              </w:rPr>
              <w:t>普通客群</w:t>
            </w:r>
            <w:r>
              <w:rPr>
                <w:rFonts w:cs="宋体"/>
                <w:sz w:val="18"/>
                <w:szCs w:val="18"/>
              </w:rPr>
              <w:t>)</w:t>
            </w:r>
            <w:r>
              <w:rPr>
                <w:rFonts w:cs="宋体"/>
                <w:sz w:val="18"/>
                <w:szCs w:val="18"/>
              </w:rPr>
              <w:t>、湖州银行股份有限公司</w:t>
            </w:r>
            <w:r>
              <w:rPr>
                <w:rFonts w:cs="宋体"/>
                <w:sz w:val="18"/>
                <w:szCs w:val="18"/>
              </w:rPr>
              <w:t xml:space="preserve">( </w:t>
            </w:r>
            <w:r>
              <w:rPr>
                <w:rFonts w:cs="宋体"/>
                <w:sz w:val="18"/>
                <w:szCs w:val="18"/>
              </w:rPr>
              <w:t>代发工资客户专属</w:t>
            </w:r>
            <w:r>
              <w:rPr>
                <w:rFonts w:cs="宋体"/>
                <w:sz w:val="18"/>
                <w:szCs w:val="18"/>
              </w:rPr>
              <w:t>)</w:t>
            </w:r>
            <w:r>
              <w:rPr>
                <w:rFonts w:cs="宋体"/>
                <w:sz w:val="18"/>
                <w:szCs w:val="18"/>
              </w:rPr>
              <w:t>。</w:t>
            </w:r>
          </w:p>
          <w:p w:rsidR="002B1050" w:rsidRDefault="00E02DD4">
            <w:pPr>
              <w:spacing w:line="200" w:lineRule="exact"/>
            </w:pPr>
            <w:r>
              <w:rPr>
                <w:rFonts w:cs="宋体"/>
                <w:sz w:val="18"/>
                <w:szCs w:val="18"/>
              </w:rPr>
              <w:t>C</w:t>
            </w:r>
            <w:r>
              <w:rPr>
                <w:rFonts w:cs="宋体"/>
                <w:sz w:val="18"/>
                <w:szCs w:val="18"/>
              </w:rPr>
              <w:t>份额：四川天府银行股份有限公司</w:t>
            </w:r>
            <w:r>
              <w:rPr>
                <w:rFonts w:cs="宋体"/>
                <w:sz w:val="18"/>
                <w:szCs w:val="18"/>
              </w:rPr>
              <w:t xml:space="preserve">( </w:t>
            </w:r>
            <w:r>
              <w:rPr>
                <w:rFonts w:cs="宋体"/>
                <w:sz w:val="18"/>
                <w:szCs w:val="18"/>
              </w:rPr>
              <w:t>新客新资金</w:t>
            </w:r>
            <w:r>
              <w:rPr>
                <w:rFonts w:cs="宋体"/>
                <w:sz w:val="18"/>
                <w:szCs w:val="18"/>
              </w:rPr>
              <w:t>)</w:t>
            </w:r>
            <w:r>
              <w:rPr>
                <w:rFonts w:cs="宋体"/>
                <w:sz w:val="18"/>
                <w:szCs w:val="18"/>
              </w:rPr>
              <w:t>、烟台银行股份有限公司</w:t>
            </w:r>
            <w:r>
              <w:rPr>
                <w:rFonts w:cs="宋体"/>
                <w:sz w:val="18"/>
                <w:szCs w:val="18"/>
              </w:rPr>
              <w:t xml:space="preserve">( </w:t>
            </w:r>
            <w:r>
              <w:rPr>
                <w:rFonts w:cs="宋体"/>
                <w:sz w:val="18"/>
                <w:szCs w:val="18"/>
              </w:rPr>
              <w:t>特邀客户</w:t>
            </w:r>
            <w:r>
              <w:rPr>
                <w:rFonts w:cs="宋体"/>
                <w:sz w:val="18"/>
                <w:szCs w:val="18"/>
              </w:rPr>
              <w:t>)</w:t>
            </w:r>
            <w:r>
              <w:rPr>
                <w:rFonts w:cs="宋体"/>
                <w:sz w:val="18"/>
                <w:szCs w:val="18"/>
              </w:rPr>
              <w:t>、河北银行股份有限公司</w:t>
            </w:r>
            <w:r>
              <w:rPr>
                <w:rFonts w:cs="宋体"/>
                <w:sz w:val="18"/>
                <w:szCs w:val="18"/>
              </w:rPr>
              <w:t>(</w:t>
            </w:r>
            <w:r>
              <w:rPr>
                <w:rFonts w:cs="宋体"/>
                <w:sz w:val="18"/>
                <w:szCs w:val="18"/>
              </w:rPr>
              <w:t>集群客户</w:t>
            </w:r>
            <w:r>
              <w:rPr>
                <w:rFonts w:cs="宋体"/>
                <w:sz w:val="18"/>
                <w:szCs w:val="18"/>
              </w:rPr>
              <w:t>)</w:t>
            </w:r>
            <w:r>
              <w:rPr>
                <w:rFonts w:cs="宋体"/>
                <w:sz w:val="18"/>
                <w:szCs w:val="18"/>
              </w:rPr>
              <w:t>、江苏江南农村商业银行股份有限公司</w:t>
            </w:r>
            <w:r>
              <w:rPr>
                <w:rFonts w:cs="宋体"/>
                <w:sz w:val="18"/>
                <w:szCs w:val="18"/>
              </w:rPr>
              <w:t>(</w:t>
            </w:r>
            <w:r>
              <w:rPr>
                <w:rFonts w:cs="宋体"/>
                <w:sz w:val="18"/>
                <w:szCs w:val="18"/>
              </w:rPr>
              <w:t>私享客户</w:t>
            </w:r>
            <w:r>
              <w:rPr>
                <w:rFonts w:cs="宋体"/>
                <w:sz w:val="18"/>
                <w:szCs w:val="18"/>
              </w:rPr>
              <w:t>)</w:t>
            </w:r>
            <w:r>
              <w:rPr>
                <w:rFonts w:cs="宋体"/>
                <w:sz w:val="18"/>
                <w:szCs w:val="18"/>
              </w:rPr>
              <w:t>、蒙商银行股份有限公司</w:t>
            </w:r>
            <w:r>
              <w:rPr>
                <w:rFonts w:cs="宋体"/>
                <w:sz w:val="18"/>
                <w:szCs w:val="18"/>
              </w:rPr>
              <w:t>(</w:t>
            </w:r>
            <w:r>
              <w:rPr>
                <w:rFonts w:cs="宋体"/>
                <w:sz w:val="18"/>
                <w:szCs w:val="18"/>
              </w:rPr>
              <w:t>特邀客户</w:t>
            </w:r>
            <w:r>
              <w:rPr>
                <w:rFonts w:cs="宋体"/>
                <w:sz w:val="18"/>
                <w:szCs w:val="18"/>
              </w:rPr>
              <w:t>)</w:t>
            </w:r>
            <w:r>
              <w:rPr>
                <w:rFonts w:cs="宋体"/>
                <w:sz w:val="18"/>
                <w:szCs w:val="18"/>
              </w:rPr>
              <w:t>、郑州银行股份有限公司、苏州银行股份有限公司</w:t>
            </w:r>
            <w:r>
              <w:rPr>
                <w:rFonts w:cs="宋体"/>
                <w:sz w:val="18"/>
                <w:szCs w:val="18"/>
              </w:rPr>
              <w:t>(</w:t>
            </w:r>
            <w:r>
              <w:rPr>
                <w:rFonts w:cs="宋体"/>
                <w:sz w:val="18"/>
                <w:szCs w:val="18"/>
              </w:rPr>
              <w:t>新资金客户</w:t>
            </w:r>
            <w:r>
              <w:rPr>
                <w:rFonts w:cs="宋体"/>
                <w:sz w:val="18"/>
                <w:szCs w:val="18"/>
              </w:rPr>
              <w:t>)</w:t>
            </w:r>
            <w:r>
              <w:rPr>
                <w:rFonts w:cs="宋体"/>
                <w:sz w:val="18"/>
                <w:szCs w:val="18"/>
              </w:rPr>
              <w:t>、日照银行股份有限公司</w:t>
            </w:r>
            <w:r>
              <w:rPr>
                <w:rFonts w:cs="宋体"/>
                <w:sz w:val="18"/>
                <w:szCs w:val="18"/>
              </w:rPr>
              <w:t xml:space="preserve">( </w:t>
            </w:r>
            <w:r>
              <w:rPr>
                <w:rFonts w:cs="宋体"/>
                <w:sz w:val="18"/>
                <w:szCs w:val="18"/>
              </w:rPr>
              <w:t>新客专享</w:t>
            </w:r>
            <w:r>
              <w:rPr>
                <w:rFonts w:cs="宋体"/>
                <w:sz w:val="18"/>
                <w:szCs w:val="18"/>
              </w:rPr>
              <w:t>)</w:t>
            </w:r>
            <w:r>
              <w:rPr>
                <w:rFonts w:cs="宋体"/>
                <w:sz w:val="18"/>
                <w:szCs w:val="18"/>
              </w:rPr>
              <w:t>、泰安银行股份有限公司、齐鲁银行股份有限公司</w:t>
            </w:r>
            <w:r>
              <w:rPr>
                <w:rFonts w:cs="宋体"/>
                <w:sz w:val="18"/>
                <w:szCs w:val="18"/>
              </w:rPr>
              <w:t xml:space="preserve">( </w:t>
            </w:r>
            <w:r>
              <w:rPr>
                <w:rFonts w:cs="宋体"/>
                <w:sz w:val="18"/>
                <w:szCs w:val="18"/>
              </w:rPr>
              <w:t>特邀客户</w:t>
            </w:r>
            <w:r>
              <w:rPr>
                <w:rFonts w:cs="宋体"/>
                <w:sz w:val="18"/>
                <w:szCs w:val="18"/>
              </w:rPr>
              <w:t>)</w:t>
            </w:r>
            <w:r>
              <w:rPr>
                <w:rFonts w:cs="宋体"/>
                <w:sz w:val="18"/>
                <w:szCs w:val="18"/>
              </w:rPr>
              <w:t>、甘肃银行股份有限公司</w:t>
            </w:r>
            <w:r>
              <w:rPr>
                <w:rFonts w:cs="宋体"/>
                <w:sz w:val="18"/>
                <w:szCs w:val="18"/>
              </w:rPr>
              <w:t xml:space="preserve">( </w:t>
            </w:r>
            <w:r>
              <w:rPr>
                <w:rFonts w:cs="宋体"/>
                <w:sz w:val="18"/>
                <w:szCs w:val="18"/>
              </w:rPr>
              <w:t>教师节特供</w:t>
            </w:r>
            <w:r>
              <w:rPr>
                <w:rFonts w:cs="宋体"/>
                <w:sz w:val="18"/>
                <w:szCs w:val="18"/>
              </w:rPr>
              <w:t>)</w:t>
            </w:r>
            <w:r>
              <w:rPr>
                <w:rFonts w:cs="宋体"/>
                <w:sz w:val="18"/>
                <w:szCs w:val="18"/>
              </w:rPr>
              <w:t>、台州银行股份有限公司</w:t>
            </w:r>
            <w:r>
              <w:rPr>
                <w:rFonts w:cs="宋体"/>
                <w:sz w:val="18"/>
                <w:szCs w:val="18"/>
              </w:rPr>
              <w:t>(</w:t>
            </w:r>
            <w:r>
              <w:rPr>
                <w:rFonts w:cs="宋体"/>
                <w:sz w:val="18"/>
                <w:szCs w:val="18"/>
              </w:rPr>
              <w:t>特邀客群</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专项客群</w:t>
            </w:r>
            <w:r>
              <w:rPr>
                <w:rFonts w:cs="宋体"/>
                <w:sz w:val="18"/>
                <w:szCs w:val="18"/>
              </w:rPr>
              <w:t>)</w:t>
            </w:r>
            <w:r>
              <w:rPr>
                <w:rFonts w:cs="宋体"/>
                <w:sz w:val="18"/>
                <w:szCs w:val="18"/>
              </w:rPr>
              <w:t>、兰州银行股份有限公司、富邦华一银行有限公司</w:t>
            </w:r>
            <w:r>
              <w:rPr>
                <w:rFonts w:cs="宋体"/>
                <w:sz w:val="18"/>
                <w:szCs w:val="18"/>
              </w:rPr>
              <w:t>(20</w:t>
            </w:r>
            <w:r>
              <w:rPr>
                <w:rFonts w:cs="宋体"/>
                <w:sz w:val="18"/>
                <w:szCs w:val="18"/>
              </w:rPr>
              <w:t>万元起购</w:t>
            </w:r>
            <w:r>
              <w:rPr>
                <w:rFonts w:cs="宋体"/>
                <w:sz w:val="18"/>
                <w:szCs w:val="18"/>
              </w:rPr>
              <w:t>)</w:t>
            </w:r>
            <w:r>
              <w:rPr>
                <w:rFonts w:cs="宋体"/>
                <w:sz w:val="18"/>
                <w:szCs w:val="18"/>
              </w:rPr>
              <w:t>、桂林银行股份有限公司</w:t>
            </w:r>
            <w:r>
              <w:rPr>
                <w:rFonts w:cs="宋体"/>
                <w:sz w:val="18"/>
                <w:szCs w:val="18"/>
              </w:rPr>
              <w:t>(</w:t>
            </w:r>
            <w:r>
              <w:rPr>
                <w:rFonts w:cs="宋体"/>
                <w:sz w:val="18"/>
                <w:szCs w:val="18"/>
              </w:rPr>
              <w:t>特供客户</w:t>
            </w:r>
            <w:r>
              <w:rPr>
                <w:rFonts w:cs="宋体"/>
                <w:sz w:val="18"/>
                <w:szCs w:val="18"/>
              </w:rPr>
              <w:t>)</w:t>
            </w:r>
            <w:r>
              <w:rPr>
                <w:rFonts w:cs="宋体"/>
                <w:sz w:val="18"/>
                <w:szCs w:val="18"/>
              </w:rPr>
              <w:t>、江苏泰兴农村商业银行股份有限公司、江苏响水农村商业银行股份有限公司</w:t>
            </w:r>
            <w:r>
              <w:rPr>
                <w:rFonts w:cs="宋体"/>
                <w:sz w:val="18"/>
                <w:szCs w:val="18"/>
              </w:rPr>
              <w:t>(</w:t>
            </w:r>
            <w:r>
              <w:rPr>
                <w:rFonts w:cs="宋体"/>
                <w:sz w:val="18"/>
                <w:szCs w:val="18"/>
              </w:rPr>
              <w:t>起点金额</w:t>
            </w:r>
            <w:r>
              <w:rPr>
                <w:rFonts w:cs="宋体"/>
                <w:sz w:val="18"/>
                <w:szCs w:val="18"/>
              </w:rPr>
              <w:t>50</w:t>
            </w:r>
            <w:r>
              <w:rPr>
                <w:rFonts w:cs="宋体"/>
                <w:sz w:val="18"/>
                <w:szCs w:val="18"/>
              </w:rPr>
              <w:t>万</w:t>
            </w:r>
            <w:r>
              <w:rPr>
                <w:rFonts w:cs="宋体"/>
                <w:sz w:val="18"/>
                <w:szCs w:val="18"/>
              </w:rPr>
              <w:t>)</w:t>
            </w:r>
            <w:r>
              <w:rPr>
                <w:rFonts w:cs="宋体"/>
                <w:sz w:val="18"/>
                <w:szCs w:val="18"/>
              </w:rPr>
              <w:t>、江苏靖江农村商业银行股份有限公司、江苏兴化农村商业银行股份有限公司、江苏镇江农村商业银行股份有限公司</w:t>
            </w:r>
            <w:r>
              <w:rPr>
                <w:rFonts w:cs="宋体"/>
                <w:sz w:val="18"/>
                <w:szCs w:val="18"/>
              </w:rPr>
              <w:t>(100</w:t>
            </w:r>
            <w:r>
              <w:rPr>
                <w:rFonts w:cs="宋体"/>
                <w:sz w:val="18"/>
                <w:szCs w:val="18"/>
              </w:rPr>
              <w:t>万元起购</w:t>
            </w:r>
            <w:r>
              <w:rPr>
                <w:rFonts w:cs="宋体"/>
                <w:sz w:val="18"/>
                <w:szCs w:val="18"/>
              </w:rPr>
              <w:t>)</w:t>
            </w:r>
            <w:r>
              <w:rPr>
                <w:rFonts w:cs="宋体"/>
                <w:sz w:val="18"/>
                <w:szCs w:val="18"/>
              </w:rPr>
              <w:t>、</w:t>
            </w:r>
            <w:r>
              <w:rPr>
                <w:rFonts w:cs="宋体"/>
                <w:sz w:val="18"/>
                <w:szCs w:val="18"/>
              </w:rPr>
              <w:t>江苏滨海农村商业银行股份有限公司、江苏射阳农村商业银行股份有限公司、江苏句容农村商业银行股份有限公司、江苏如东农村商业银行股份有限公司、江苏仪征农村商业银行股份有限公司</w:t>
            </w:r>
            <w:r>
              <w:rPr>
                <w:rFonts w:cs="宋体"/>
                <w:sz w:val="18"/>
                <w:szCs w:val="18"/>
              </w:rPr>
              <w:t>( 50</w:t>
            </w:r>
            <w:r>
              <w:rPr>
                <w:rFonts w:cs="宋体"/>
                <w:sz w:val="18"/>
                <w:szCs w:val="18"/>
              </w:rPr>
              <w:t>万元起购</w:t>
            </w:r>
            <w:r>
              <w:rPr>
                <w:rFonts w:cs="宋体"/>
                <w:sz w:val="18"/>
                <w:szCs w:val="18"/>
              </w:rPr>
              <w:t>)</w:t>
            </w:r>
            <w:r>
              <w:rPr>
                <w:rFonts w:cs="宋体"/>
                <w:sz w:val="18"/>
                <w:szCs w:val="18"/>
              </w:rPr>
              <w:t>、枣庄银行股份有限公司</w:t>
            </w:r>
            <w:r>
              <w:rPr>
                <w:rFonts w:cs="宋体"/>
                <w:sz w:val="18"/>
                <w:szCs w:val="18"/>
              </w:rPr>
              <w:t xml:space="preserve">( </w:t>
            </w:r>
            <w:r>
              <w:rPr>
                <w:rFonts w:cs="宋体"/>
                <w:sz w:val="18"/>
                <w:szCs w:val="18"/>
              </w:rPr>
              <w:t>代发客群</w:t>
            </w:r>
            <w:r>
              <w:rPr>
                <w:rFonts w:cs="宋体"/>
                <w:sz w:val="18"/>
                <w:szCs w:val="18"/>
              </w:rPr>
              <w:t>)</w:t>
            </w:r>
            <w:r>
              <w:rPr>
                <w:rFonts w:cs="宋体"/>
                <w:sz w:val="18"/>
                <w:szCs w:val="18"/>
              </w:rPr>
              <w:t>。</w:t>
            </w:r>
          </w:p>
          <w:p w:rsidR="002B1050" w:rsidRDefault="00E02DD4">
            <w:pPr>
              <w:spacing w:line="200" w:lineRule="exact"/>
            </w:pPr>
            <w:r>
              <w:rPr>
                <w:rFonts w:cs="宋体"/>
                <w:sz w:val="18"/>
                <w:szCs w:val="18"/>
              </w:rPr>
              <w:t>D</w:t>
            </w:r>
            <w:r>
              <w:rPr>
                <w:rFonts w:cs="宋体"/>
                <w:sz w:val="18"/>
                <w:szCs w:val="18"/>
              </w:rPr>
              <w:t>份额：天津农村商业银行股份有限公司</w:t>
            </w:r>
            <w:r>
              <w:rPr>
                <w:rFonts w:cs="宋体"/>
                <w:sz w:val="18"/>
                <w:szCs w:val="18"/>
              </w:rPr>
              <w:t xml:space="preserve">( </w:t>
            </w:r>
            <w:r>
              <w:rPr>
                <w:rFonts w:cs="宋体"/>
                <w:sz w:val="18"/>
                <w:szCs w:val="18"/>
              </w:rPr>
              <w:t>新客户</w:t>
            </w:r>
            <w:r>
              <w:rPr>
                <w:rFonts w:cs="宋体"/>
                <w:sz w:val="18"/>
                <w:szCs w:val="18"/>
              </w:rPr>
              <w:t>)</w:t>
            </w:r>
            <w:r>
              <w:rPr>
                <w:rFonts w:cs="宋体"/>
                <w:sz w:val="18"/>
                <w:szCs w:val="18"/>
              </w:rPr>
              <w:t>。</w:t>
            </w:r>
          </w:p>
          <w:p w:rsidR="002B1050" w:rsidRDefault="00E02DD4">
            <w:pPr>
              <w:spacing w:line="200" w:lineRule="exact"/>
            </w:pPr>
            <w:r>
              <w:rPr>
                <w:rFonts w:cs="宋体"/>
                <w:sz w:val="18"/>
                <w:szCs w:val="18"/>
              </w:rPr>
              <w:t>E</w:t>
            </w:r>
            <w:r>
              <w:rPr>
                <w:rFonts w:cs="宋体"/>
                <w:sz w:val="18"/>
                <w:szCs w:val="18"/>
              </w:rPr>
              <w:t>份额：南京银行股份有限公司特邀客户。</w:t>
            </w:r>
          </w:p>
          <w:p w:rsidR="002B1050" w:rsidRDefault="00E02DD4">
            <w:pPr>
              <w:spacing w:line="200" w:lineRule="exact"/>
            </w:pPr>
            <w:r>
              <w:rPr>
                <w:rFonts w:cs="宋体"/>
                <w:sz w:val="18"/>
                <w:szCs w:val="18"/>
              </w:rPr>
              <w:t>H</w:t>
            </w:r>
            <w:r>
              <w:rPr>
                <w:rFonts w:cs="宋体"/>
                <w:sz w:val="18"/>
                <w:szCs w:val="18"/>
              </w:rPr>
              <w:t>份额：广发银行股份有限公司所有个人客户。</w:t>
            </w:r>
          </w:p>
          <w:p w:rsidR="002B1050" w:rsidRDefault="00E02DD4">
            <w:pPr>
              <w:spacing w:line="200" w:lineRule="exact"/>
            </w:pPr>
            <w:r>
              <w:rPr>
                <w:rFonts w:cs="宋体"/>
                <w:sz w:val="18"/>
                <w:szCs w:val="18"/>
              </w:rPr>
              <w:t>J</w:t>
            </w:r>
            <w:r>
              <w:rPr>
                <w:rFonts w:cs="宋体"/>
                <w:sz w:val="18"/>
                <w:szCs w:val="18"/>
              </w:rPr>
              <w:t>份额：昆山鹿城村镇银行股份有限公司。</w:t>
            </w:r>
          </w:p>
          <w:p w:rsidR="002B1050" w:rsidRDefault="00E02DD4">
            <w:pPr>
              <w:spacing w:line="200" w:lineRule="exact"/>
            </w:pPr>
            <w:r>
              <w:rPr>
                <w:rFonts w:cs="宋体"/>
                <w:sz w:val="18"/>
                <w:szCs w:val="18"/>
              </w:rPr>
              <w:t>K</w:t>
            </w:r>
            <w:r>
              <w:rPr>
                <w:rFonts w:cs="宋体"/>
                <w:sz w:val="18"/>
                <w:szCs w:val="18"/>
              </w:rPr>
              <w:t>份额：吉林银行股份有限公司。</w:t>
            </w:r>
          </w:p>
          <w:p w:rsidR="002B1050" w:rsidRDefault="00E02DD4">
            <w:pPr>
              <w:spacing w:line="200" w:lineRule="exact"/>
            </w:pPr>
            <w:r>
              <w:rPr>
                <w:rFonts w:cs="宋体"/>
                <w:sz w:val="18"/>
                <w:szCs w:val="18"/>
              </w:rPr>
              <w:t>L</w:t>
            </w:r>
            <w:r>
              <w:rPr>
                <w:rFonts w:cs="宋体"/>
                <w:sz w:val="18"/>
                <w:szCs w:val="18"/>
              </w:rPr>
              <w:t>份额：江苏江南农村商业银行股份有限公司</w:t>
            </w:r>
            <w:r>
              <w:rPr>
                <w:rFonts w:cs="宋体"/>
                <w:sz w:val="18"/>
                <w:szCs w:val="18"/>
              </w:rPr>
              <w:t xml:space="preserve">( </w:t>
            </w:r>
            <w:r>
              <w:rPr>
                <w:rFonts w:cs="宋体"/>
                <w:sz w:val="18"/>
                <w:szCs w:val="18"/>
              </w:rPr>
              <w:t>高净值客户专享份额</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私行客群</w:t>
            </w:r>
            <w:r>
              <w:rPr>
                <w:rFonts w:cs="宋体"/>
                <w:sz w:val="18"/>
                <w:szCs w:val="18"/>
              </w:rPr>
              <w:t>)</w:t>
            </w:r>
            <w:r>
              <w:rPr>
                <w:rFonts w:cs="宋体"/>
                <w:sz w:val="18"/>
                <w:szCs w:val="18"/>
              </w:rPr>
              <w:t>、江苏扬州农村商业银行股份有限公司</w:t>
            </w:r>
            <w:r>
              <w:rPr>
                <w:rFonts w:cs="宋体"/>
                <w:sz w:val="18"/>
                <w:szCs w:val="18"/>
              </w:rPr>
              <w:t xml:space="preserve">( </w:t>
            </w:r>
            <w:r>
              <w:rPr>
                <w:rFonts w:cs="宋体"/>
                <w:sz w:val="18"/>
                <w:szCs w:val="18"/>
              </w:rPr>
              <w:t>公司客户</w:t>
            </w:r>
            <w:r>
              <w:rPr>
                <w:rFonts w:cs="宋体"/>
                <w:sz w:val="18"/>
                <w:szCs w:val="18"/>
              </w:rPr>
              <w:t>)</w:t>
            </w:r>
            <w:r>
              <w:rPr>
                <w:rFonts w:cs="宋体"/>
                <w:sz w:val="18"/>
                <w:szCs w:val="18"/>
              </w:rPr>
              <w:t>。</w:t>
            </w:r>
          </w:p>
          <w:p w:rsidR="002B1050" w:rsidRDefault="00E02DD4">
            <w:pPr>
              <w:spacing w:line="200" w:lineRule="exact"/>
            </w:pPr>
            <w:r>
              <w:rPr>
                <w:rFonts w:cs="宋体"/>
                <w:sz w:val="18"/>
                <w:szCs w:val="18"/>
              </w:rPr>
              <w:t>P</w:t>
            </w:r>
            <w:r>
              <w:rPr>
                <w:rFonts w:cs="宋体"/>
                <w:sz w:val="18"/>
                <w:szCs w:val="18"/>
              </w:rPr>
              <w:t>份额：湖北银行股份有限公司金融资产</w:t>
            </w:r>
            <w:r>
              <w:rPr>
                <w:rFonts w:cs="宋体"/>
                <w:sz w:val="18"/>
                <w:szCs w:val="18"/>
              </w:rPr>
              <w:t>50</w:t>
            </w:r>
            <w:r>
              <w:rPr>
                <w:rFonts w:cs="宋体"/>
                <w:sz w:val="18"/>
                <w:szCs w:val="18"/>
              </w:rPr>
              <w:t>万（含）</w:t>
            </w:r>
            <w:r>
              <w:rPr>
                <w:rFonts w:cs="宋体"/>
                <w:sz w:val="18"/>
                <w:szCs w:val="18"/>
              </w:rPr>
              <w:t>-100</w:t>
            </w:r>
            <w:r>
              <w:rPr>
                <w:rFonts w:cs="宋体"/>
                <w:sz w:val="18"/>
                <w:szCs w:val="18"/>
              </w:rPr>
              <w:t>万元以上客群，</w:t>
            </w:r>
            <w:r>
              <w:rPr>
                <w:rFonts w:cs="宋体"/>
                <w:sz w:val="18"/>
                <w:szCs w:val="18"/>
              </w:rPr>
              <w:t>1</w:t>
            </w:r>
            <w:r>
              <w:rPr>
                <w:rFonts w:cs="宋体"/>
                <w:sz w:val="18"/>
                <w:szCs w:val="18"/>
              </w:rPr>
              <w:t>万元起购。</w:t>
            </w:r>
          </w:p>
          <w:p w:rsidR="002B1050" w:rsidRDefault="00E02DD4">
            <w:pPr>
              <w:spacing w:line="200" w:lineRule="exact"/>
            </w:pPr>
            <w:r>
              <w:rPr>
                <w:rFonts w:cs="宋体"/>
                <w:sz w:val="18"/>
                <w:szCs w:val="18"/>
              </w:rPr>
              <w:t>Q</w:t>
            </w:r>
            <w:r>
              <w:rPr>
                <w:rFonts w:cs="宋体"/>
                <w:sz w:val="18"/>
                <w:szCs w:val="18"/>
              </w:rPr>
              <w:t>份额：湖北银行股份有限公司普通客群，</w:t>
            </w:r>
            <w:r>
              <w:rPr>
                <w:rFonts w:cs="宋体"/>
                <w:sz w:val="18"/>
                <w:szCs w:val="18"/>
              </w:rPr>
              <w:t>50</w:t>
            </w:r>
            <w:r>
              <w:rPr>
                <w:rFonts w:cs="宋体"/>
                <w:sz w:val="18"/>
                <w:szCs w:val="18"/>
              </w:rPr>
              <w:t>万元起购。</w:t>
            </w:r>
          </w:p>
          <w:p w:rsidR="002B1050" w:rsidRDefault="00E02DD4">
            <w:pPr>
              <w:spacing w:line="200" w:lineRule="exact"/>
            </w:pPr>
            <w:r>
              <w:rPr>
                <w:rFonts w:cs="宋体"/>
                <w:sz w:val="18"/>
                <w:szCs w:val="18"/>
              </w:rPr>
              <w:t>R</w:t>
            </w:r>
            <w:r>
              <w:rPr>
                <w:rFonts w:cs="宋体"/>
                <w:sz w:val="18"/>
                <w:szCs w:val="18"/>
              </w:rPr>
              <w:t>份额：湖北银行股份有限公司普通客群，</w:t>
            </w:r>
            <w:r>
              <w:rPr>
                <w:rFonts w:cs="宋体"/>
                <w:sz w:val="18"/>
                <w:szCs w:val="18"/>
              </w:rPr>
              <w:t>100</w:t>
            </w:r>
            <w:r>
              <w:rPr>
                <w:rFonts w:cs="宋体"/>
                <w:sz w:val="18"/>
                <w:szCs w:val="18"/>
              </w:rPr>
              <w:t>万元起购。</w:t>
            </w:r>
          </w:p>
          <w:p w:rsidR="002B1050" w:rsidRDefault="00E02DD4">
            <w:pPr>
              <w:spacing w:line="200" w:lineRule="exact"/>
            </w:pPr>
            <w:r>
              <w:rPr>
                <w:rFonts w:cs="宋体"/>
                <w:sz w:val="18"/>
                <w:szCs w:val="18"/>
              </w:rPr>
              <w:t>Q1</w:t>
            </w:r>
            <w:r>
              <w:rPr>
                <w:rFonts w:cs="宋体"/>
                <w:sz w:val="18"/>
                <w:szCs w:val="18"/>
              </w:rPr>
              <w:t>份额：湖北银行股份有限金融资产</w:t>
            </w:r>
            <w:r>
              <w:rPr>
                <w:rFonts w:cs="宋体"/>
                <w:sz w:val="18"/>
                <w:szCs w:val="18"/>
              </w:rPr>
              <w:t>100</w:t>
            </w:r>
            <w:r>
              <w:rPr>
                <w:rFonts w:cs="宋体"/>
                <w:sz w:val="18"/>
                <w:szCs w:val="18"/>
              </w:rPr>
              <w:t>万元（含）以上客群，</w:t>
            </w:r>
            <w:r>
              <w:rPr>
                <w:rFonts w:cs="宋体"/>
                <w:sz w:val="18"/>
                <w:szCs w:val="18"/>
              </w:rPr>
              <w:t>1</w:t>
            </w:r>
            <w:r>
              <w:rPr>
                <w:rFonts w:cs="宋体"/>
                <w:sz w:val="18"/>
                <w:szCs w:val="18"/>
              </w:rPr>
              <w:t>万元起购。</w:t>
            </w:r>
          </w:p>
          <w:p w:rsidR="002B1050" w:rsidRDefault="00E02DD4">
            <w:pPr>
              <w:spacing w:line="200" w:lineRule="exact"/>
            </w:pPr>
            <w:r>
              <w:rPr>
                <w:rFonts w:cs="宋体"/>
                <w:b/>
                <w:sz w:val="18"/>
                <w:szCs w:val="18"/>
              </w:rPr>
              <w:t>注：本产品不同份额针对不同的销售机构及客群进行销售，设置有不同的销售费和管理费，具体客群划分标准以销售机构为准。</w:t>
            </w:r>
          </w:p>
          <w:p w:rsidR="002B1050" w:rsidRDefault="00E02DD4">
            <w:pPr>
              <w:spacing w:line="200" w:lineRule="exact"/>
            </w:pPr>
            <w:r>
              <w:rPr>
                <w:rFonts w:cs="宋体"/>
                <w:b/>
                <w:sz w:val="18"/>
                <w:szCs w:val="18"/>
              </w:rPr>
              <w:t>南京银行股份有限</w:t>
            </w:r>
            <w:r>
              <w:rPr>
                <w:rFonts w:cs="宋体"/>
                <w:b/>
                <w:sz w:val="18"/>
                <w:szCs w:val="18"/>
              </w:rPr>
              <w:t>公司（新客或新资金或代发客户）：</w:t>
            </w:r>
            <w:r>
              <w:rPr>
                <w:rFonts w:cs="宋体"/>
                <w:sz w:val="18"/>
                <w:szCs w:val="18"/>
              </w:rPr>
              <w:t>新客是指</w:t>
            </w:r>
            <w:r>
              <w:rPr>
                <w:rFonts w:cs="宋体"/>
                <w:sz w:val="18"/>
                <w:szCs w:val="18"/>
              </w:rPr>
              <w:t>2025</w:t>
            </w:r>
            <w:r>
              <w:rPr>
                <w:rFonts w:cs="宋体"/>
                <w:sz w:val="18"/>
                <w:szCs w:val="18"/>
              </w:rPr>
              <w:t>年理财年日均余额为</w:t>
            </w:r>
            <w:r>
              <w:rPr>
                <w:rFonts w:cs="宋体"/>
                <w:sz w:val="18"/>
                <w:szCs w:val="18"/>
              </w:rPr>
              <w:t>0</w:t>
            </w:r>
            <w:r>
              <w:rPr>
                <w:rFonts w:cs="宋体"/>
                <w:sz w:val="18"/>
                <w:szCs w:val="18"/>
              </w:rPr>
              <w:t>的客户。新资金（</w:t>
            </w:r>
            <w:r>
              <w:rPr>
                <w:rFonts w:cs="宋体"/>
                <w:sz w:val="18"/>
                <w:szCs w:val="18"/>
              </w:rPr>
              <w:t>5</w:t>
            </w:r>
            <w:r>
              <w:rPr>
                <w:rFonts w:cs="宋体"/>
                <w:sz w:val="18"/>
                <w:szCs w:val="18"/>
              </w:rPr>
              <w:t>万）是指金融资产余额较上月月日均增长</w:t>
            </w:r>
            <w:r>
              <w:rPr>
                <w:rFonts w:cs="宋体"/>
                <w:sz w:val="18"/>
                <w:szCs w:val="18"/>
              </w:rPr>
              <w:t>5</w:t>
            </w:r>
            <w:r>
              <w:rPr>
                <w:rFonts w:cs="宋体"/>
                <w:sz w:val="18"/>
                <w:szCs w:val="18"/>
              </w:rPr>
              <w:t>万元及以上的客户。代发是指近</w:t>
            </w:r>
            <w:r>
              <w:rPr>
                <w:rFonts w:cs="宋体"/>
                <w:sz w:val="18"/>
                <w:szCs w:val="18"/>
              </w:rPr>
              <w:t>90</w:t>
            </w:r>
            <w:r>
              <w:rPr>
                <w:rFonts w:cs="宋体"/>
                <w:sz w:val="18"/>
                <w:szCs w:val="18"/>
              </w:rPr>
              <w:t>天内有过代发记录的客户（不含跨行代发、批量兑付、批量付息）。</w:t>
            </w:r>
            <w:r>
              <w:rPr>
                <w:rFonts w:cs="宋体"/>
                <w:b/>
                <w:sz w:val="18"/>
                <w:szCs w:val="18"/>
              </w:rPr>
              <w:t>南京银行股份有限公司特邀客户：</w:t>
            </w:r>
            <w:r>
              <w:rPr>
                <w:rFonts w:cs="宋体"/>
                <w:sz w:val="18"/>
                <w:szCs w:val="18"/>
              </w:rPr>
              <w:t>是指单笔金额</w:t>
            </w:r>
            <w:r>
              <w:rPr>
                <w:rFonts w:cs="宋体"/>
                <w:sz w:val="18"/>
                <w:szCs w:val="18"/>
              </w:rPr>
              <w:t>100</w:t>
            </w:r>
            <w:r>
              <w:rPr>
                <w:rFonts w:cs="宋体"/>
                <w:sz w:val="18"/>
                <w:szCs w:val="18"/>
              </w:rPr>
              <w:t>万起的特邀公司类客户。</w:t>
            </w:r>
          </w:p>
        </w:tc>
      </w:tr>
      <w:tr w:rsidR="002B1050">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1050" w:rsidRDefault="00E02DD4">
            <w:pPr>
              <w:widowControl/>
              <w:spacing w:line="200" w:lineRule="exact"/>
              <w:jc w:val="left"/>
              <w:rPr>
                <w:kern w:val="0"/>
                <w:sz w:val="18"/>
                <w:szCs w:val="18"/>
              </w:rPr>
            </w:pPr>
            <w:r>
              <w:rPr>
                <w:rFonts w:hint="eastAsia"/>
                <w:kern w:val="0"/>
                <w:sz w:val="18"/>
                <w:szCs w:val="18"/>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2B1050" w:rsidRDefault="00E02DD4">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/J</w:t>
            </w:r>
            <w:r>
              <w:rPr>
                <w:rFonts w:cs="宋体"/>
                <w:sz w:val="18"/>
                <w:szCs w:val="18"/>
              </w:rPr>
              <w:t>份额</w:t>
            </w:r>
            <w:r>
              <w:rPr>
                <w:rFonts w:cs="宋体"/>
                <w:sz w:val="18"/>
                <w:szCs w:val="18"/>
              </w:rPr>
              <w:t>/K</w:t>
            </w:r>
            <w:r>
              <w:rPr>
                <w:rFonts w:cs="宋体"/>
                <w:sz w:val="18"/>
                <w:szCs w:val="18"/>
              </w:rPr>
              <w:t>份额</w:t>
            </w:r>
            <w:r>
              <w:rPr>
                <w:rFonts w:cs="宋体"/>
                <w:sz w:val="18"/>
                <w:szCs w:val="18"/>
              </w:rPr>
              <w:t>/L</w:t>
            </w:r>
            <w:r>
              <w:rPr>
                <w:rFonts w:cs="宋体"/>
                <w:sz w:val="18"/>
                <w:szCs w:val="18"/>
              </w:rPr>
              <w:t>份额：</w:t>
            </w:r>
          </w:p>
          <w:p w:rsidR="002B1050" w:rsidRDefault="00E02DD4">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2B1050" w:rsidRDefault="00E02DD4">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2B1050" w:rsidRDefault="00E02DD4">
            <w:pPr>
              <w:spacing w:line="200" w:lineRule="exact"/>
            </w:pPr>
            <w:r>
              <w:rPr>
                <w:rFonts w:cs="宋体"/>
                <w:sz w:val="18"/>
                <w:szCs w:val="18"/>
              </w:rPr>
              <w:t>E</w:t>
            </w:r>
            <w:r>
              <w:rPr>
                <w:rFonts w:cs="宋体"/>
                <w:sz w:val="18"/>
                <w:szCs w:val="18"/>
              </w:rPr>
              <w:t>份额：</w:t>
            </w:r>
          </w:p>
          <w:p w:rsidR="002B1050" w:rsidRDefault="00E02DD4">
            <w:pPr>
              <w:spacing w:line="200" w:lineRule="exact"/>
            </w:pPr>
            <w:r>
              <w:rPr>
                <w:rFonts w:cs="宋体"/>
                <w:sz w:val="18"/>
                <w:szCs w:val="18"/>
              </w:rPr>
              <w:t>机构投资者投资起点金额</w:t>
            </w:r>
            <w:r>
              <w:rPr>
                <w:rFonts w:cs="宋体"/>
                <w:sz w:val="18"/>
                <w:szCs w:val="18"/>
              </w:rPr>
              <w:t>100</w:t>
            </w:r>
            <w:r>
              <w:rPr>
                <w:rFonts w:cs="宋体"/>
                <w:sz w:val="18"/>
                <w:szCs w:val="18"/>
              </w:rPr>
              <w:t>万元人民币，以</w:t>
            </w:r>
            <w:r>
              <w:rPr>
                <w:rFonts w:cs="宋体"/>
                <w:sz w:val="18"/>
                <w:szCs w:val="18"/>
              </w:rPr>
              <w:t>1</w:t>
            </w:r>
            <w:r>
              <w:rPr>
                <w:rFonts w:cs="宋体"/>
                <w:sz w:val="18"/>
                <w:szCs w:val="18"/>
              </w:rPr>
              <w:t>元的整数倍递增；</w:t>
            </w:r>
          </w:p>
          <w:p w:rsidR="002B1050" w:rsidRDefault="00E02DD4">
            <w:pPr>
              <w:spacing w:line="200" w:lineRule="exact"/>
            </w:pPr>
            <w:r>
              <w:rPr>
                <w:rFonts w:cs="宋体"/>
                <w:sz w:val="18"/>
                <w:szCs w:val="18"/>
              </w:rPr>
              <w:t>H</w:t>
            </w:r>
            <w:r>
              <w:rPr>
                <w:rFonts w:cs="宋体"/>
                <w:sz w:val="18"/>
                <w:szCs w:val="18"/>
              </w:rPr>
              <w:t>份额：</w:t>
            </w:r>
          </w:p>
          <w:p w:rsidR="002B1050" w:rsidRDefault="00E02DD4">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2B1050" w:rsidRDefault="00E02DD4">
            <w:pPr>
              <w:spacing w:line="200" w:lineRule="exact"/>
            </w:pPr>
            <w:r>
              <w:rPr>
                <w:rFonts w:cs="宋体"/>
                <w:sz w:val="18"/>
                <w:szCs w:val="18"/>
              </w:rPr>
              <w:t>P</w:t>
            </w:r>
            <w:r>
              <w:rPr>
                <w:rFonts w:cs="宋体"/>
                <w:sz w:val="18"/>
                <w:szCs w:val="18"/>
              </w:rPr>
              <w:t>份额</w:t>
            </w:r>
            <w:r>
              <w:rPr>
                <w:rFonts w:cs="宋体"/>
                <w:sz w:val="18"/>
                <w:szCs w:val="18"/>
              </w:rPr>
              <w:t>/Q1</w:t>
            </w:r>
            <w:r>
              <w:rPr>
                <w:rFonts w:cs="宋体"/>
                <w:sz w:val="18"/>
                <w:szCs w:val="18"/>
              </w:rPr>
              <w:t>份额：</w:t>
            </w:r>
          </w:p>
          <w:p w:rsidR="002B1050" w:rsidRDefault="00E02DD4">
            <w:pPr>
              <w:spacing w:line="200" w:lineRule="exact"/>
            </w:pPr>
            <w:r>
              <w:rPr>
                <w:rFonts w:cs="宋体"/>
                <w:sz w:val="18"/>
                <w:szCs w:val="18"/>
              </w:rPr>
              <w:t>个人投资者投资起点金额</w:t>
            </w:r>
            <w:r>
              <w:rPr>
                <w:rFonts w:cs="宋体"/>
                <w:sz w:val="18"/>
                <w:szCs w:val="18"/>
              </w:rPr>
              <w:t>1</w:t>
            </w:r>
            <w:r>
              <w:rPr>
                <w:rFonts w:cs="宋体"/>
                <w:sz w:val="18"/>
                <w:szCs w:val="18"/>
              </w:rPr>
              <w:t>万元人民币，以</w:t>
            </w:r>
            <w:r>
              <w:rPr>
                <w:rFonts w:cs="宋体"/>
                <w:sz w:val="18"/>
                <w:szCs w:val="18"/>
              </w:rPr>
              <w:t>1</w:t>
            </w:r>
            <w:r>
              <w:rPr>
                <w:rFonts w:cs="宋体"/>
                <w:sz w:val="18"/>
                <w:szCs w:val="18"/>
              </w:rPr>
              <w:t>元的整数倍递增；</w:t>
            </w:r>
          </w:p>
          <w:p w:rsidR="002B1050" w:rsidRDefault="00E02DD4">
            <w:pPr>
              <w:spacing w:line="200" w:lineRule="exact"/>
            </w:pPr>
            <w:r>
              <w:rPr>
                <w:rFonts w:cs="宋体"/>
                <w:sz w:val="18"/>
                <w:szCs w:val="18"/>
              </w:rPr>
              <w:t>机构投资者投资起点金额</w:t>
            </w:r>
            <w:r>
              <w:rPr>
                <w:rFonts w:cs="宋体"/>
                <w:sz w:val="18"/>
                <w:szCs w:val="18"/>
              </w:rPr>
              <w:t>1</w:t>
            </w:r>
            <w:r>
              <w:rPr>
                <w:rFonts w:cs="宋体"/>
                <w:sz w:val="18"/>
                <w:szCs w:val="18"/>
              </w:rPr>
              <w:t>万元人民币，以</w:t>
            </w:r>
            <w:r>
              <w:rPr>
                <w:rFonts w:cs="宋体"/>
                <w:sz w:val="18"/>
                <w:szCs w:val="18"/>
              </w:rPr>
              <w:t>1</w:t>
            </w:r>
            <w:r>
              <w:rPr>
                <w:rFonts w:cs="宋体"/>
                <w:sz w:val="18"/>
                <w:szCs w:val="18"/>
              </w:rPr>
              <w:t>元的整数倍递增；</w:t>
            </w:r>
          </w:p>
          <w:p w:rsidR="002B1050" w:rsidRDefault="00E02DD4">
            <w:pPr>
              <w:spacing w:line="200" w:lineRule="exact"/>
            </w:pPr>
            <w:r>
              <w:rPr>
                <w:rFonts w:cs="宋体"/>
                <w:sz w:val="18"/>
                <w:szCs w:val="18"/>
              </w:rPr>
              <w:t>Q</w:t>
            </w:r>
            <w:r>
              <w:rPr>
                <w:rFonts w:cs="宋体"/>
                <w:sz w:val="18"/>
                <w:szCs w:val="18"/>
              </w:rPr>
              <w:t>份额：</w:t>
            </w:r>
          </w:p>
          <w:p w:rsidR="002B1050" w:rsidRDefault="00E02DD4">
            <w:pPr>
              <w:spacing w:line="200" w:lineRule="exact"/>
            </w:pPr>
            <w:r>
              <w:rPr>
                <w:rFonts w:cs="宋体"/>
                <w:sz w:val="18"/>
                <w:szCs w:val="18"/>
              </w:rPr>
              <w:t>个人投资者投资起点金额</w:t>
            </w:r>
            <w:r>
              <w:rPr>
                <w:rFonts w:cs="宋体"/>
                <w:sz w:val="18"/>
                <w:szCs w:val="18"/>
              </w:rPr>
              <w:t>50</w:t>
            </w:r>
            <w:r>
              <w:rPr>
                <w:rFonts w:cs="宋体"/>
                <w:sz w:val="18"/>
                <w:szCs w:val="18"/>
              </w:rPr>
              <w:t>万元人民币，以</w:t>
            </w:r>
            <w:r>
              <w:rPr>
                <w:rFonts w:cs="宋体"/>
                <w:sz w:val="18"/>
                <w:szCs w:val="18"/>
              </w:rPr>
              <w:t>1</w:t>
            </w:r>
            <w:r>
              <w:rPr>
                <w:rFonts w:cs="宋体"/>
                <w:sz w:val="18"/>
                <w:szCs w:val="18"/>
              </w:rPr>
              <w:t>元的整数倍递增；</w:t>
            </w:r>
          </w:p>
          <w:p w:rsidR="002B1050" w:rsidRDefault="00E02DD4">
            <w:pPr>
              <w:spacing w:line="200" w:lineRule="exact"/>
            </w:pPr>
            <w:r>
              <w:rPr>
                <w:rFonts w:cs="宋体"/>
                <w:sz w:val="18"/>
                <w:szCs w:val="18"/>
              </w:rPr>
              <w:t>机构投资者投资起点金额</w:t>
            </w:r>
            <w:r>
              <w:rPr>
                <w:rFonts w:cs="宋体"/>
                <w:sz w:val="18"/>
                <w:szCs w:val="18"/>
              </w:rPr>
              <w:t>50</w:t>
            </w:r>
            <w:r>
              <w:rPr>
                <w:rFonts w:cs="宋体"/>
                <w:sz w:val="18"/>
                <w:szCs w:val="18"/>
              </w:rPr>
              <w:t>万元人民币，以</w:t>
            </w:r>
            <w:r>
              <w:rPr>
                <w:rFonts w:cs="宋体"/>
                <w:sz w:val="18"/>
                <w:szCs w:val="18"/>
              </w:rPr>
              <w:t>1</w:t>
            </w:r>
            <w:r>
              <w:rPr>
                <w:rFonts w:cs="宋体"/>
                <w:sz w:val="18"/>
                <w:szCs w:val="18"/>
              </w:rPr>
              <w:t>元的整数倍递增；</w:t>
            </w:r>
          </w:p>
          <w:p w:rsidR="002B1050" w:rsidRDefault="00E02DD4">
            <w:pPr>
              <w:spacing w:line="200" w:lineRule="exact"/>
            </w:pPr>
            <w:r>
              <w:rPr>
                <w:rFonts w:cs="宋体"/>
                <w:sz w:val="18"/>
                <w:szCs w:val="18"/>
              </w:rPr>
              <w:t>R</w:t>
            </w:r>
            <w:r>
              <w:rPr>
                <w:rFonts w:cs="宋体"/>
                <w:sz w:val="18"/>
                <w:szCs w:val="18"/>
              </w:rPr>
              <w:t>份额：</w:t>
            </w:r>
          </w:p>
          <w:p w:rsidR="002B1050" w:rsidRDefault="00E02DD4">
            <w:pPr>
              <w:spacing w:line="200" w:lineRule="exact"/>
            </w:pPr>
            <w:r>
              <w:rPr>
                <w:rFonts w:cs="宋体"/>
                <w:sz w:val="18"/>
                <w:szCs w:val="18"/>
              </w:rPr>
              <w:t>个人投资者投资起点金额</w:t>
            </w:r>
            <w:r>
              <w:rPr>
                <w:rFonts w:cs="宋体"/>
                <w:sz w:val="18"/>
                <w:szCs w:val="18"/>
              </w:rPr>
              <w:t>100</w:t>
            </w:r>
            <w:r>
              <w:rPr>
                <w:rFonts w:cs="宋体"/>
                <w:sz w:val="18"/>
                <w:szCs w:val="18"/>
              </w:rPr>
              <w:t>万元人民币，以</w:t>
            </w:r>
            <w:r>
              <w:rPr>
                <w:rFonts w:cs="宋体"/>
                <w:sz w:val="18"/>
                <w:szCs w:val="18"/>
              </w:rPr>
              <w:t>1</w:t>
            </w:r>
            <w:r>
              <w:rPr>
                <w:rFonts w:cs="宋体"/>
                <w:sz w:val="18"/>
                <w:szCs w:val="18"/>
              </w:rPr>
              <w:t>元的整数倍递增；</w:t>
            </w:r>
          </w:p>
          <w:p w:rsidR="002B1050" w:rsidRDefault="00E02DD4">
            <w:pPr>
              <w:spacing w:line="200" w:lineRule="exact"/>
            </w:pPr>
            <w:r>
              <w:rPr>
                <w:rFonts w:cs="宋体"/>
                <w:sz w:val="18"/>
                <w:szCs w:val="18"/>
              </w:rPr>
              <w:t>机构投资者投资起点金额</w:t>
            </w:r>
            <w:r>
              <w:rPr>
                <w:rFonts w:cs="宋体"/>
                <w:sz w:val="18"/>
                <w:szCs w:val="18"/>
              </w:rPr>
              <w:t>100</w:t>
            </w:r>
            <w:r>
              <w:rPr>
                <w:rFonts w:cs="宋体"/>
                <w:sz w:val="18"/>
                <w:szCs w:val="18"/>
              </w:rPr>
              <w:t>万元人民币，以</w:t>
            </w:r>
            <w:r>
              <w:rPr>
                <w:rFonts w:cs="宋体"/>
                <w:sz w:val="18"/>
                <w:szCs w:val="18"/>
              </w:rPr>
              <w:t>1</w:t>
            </w:r>
            <w:r>
              <w:rPr>
                <w:rFonts w:cs="宋体"/>
                <w:sz w:val="18"/>
                <w:szCs w:val="18"/>
              </w:rPr>
              <w:t>元的整数倍递增；</w:t>
            </w:r>
          </w:p>
          <w:p w:rsidR="002B1050" w:rsidRDefault="00E02DD4">
            <w:pPr>
              <w:spacing w:line="200" w:lineRule="exact"/>
            </w:pPr>
            <w:r>
              <w:rPr>
                <w:rFonts w:cs="宋体"/>
                <w:sz w:val="18"/>
                <w:szCs w:val="18"/>
              </w:rPr>
              <w:t>后续在符合监管政策规定的条件下，理财产品管理人有权对上述投资起点金额和递增金额进行调整</w:t>
            </w:r>
            <w:r>
              <w:rPr>
                <w:rFonts w:cs="宋体"/>
                <w:sz w:val="18"/>
                <w:szCs w:val="18"/>
              </w:rPr>
              <w:t>,</w:t>
            </w:r>
            <w:r>
              <w:rPr>
                <w:rFonts w:cs="宋体"/>
                <w:sz w:val="18"/>
                <w:szCs w:val="18"/>
              </w:rPr>
              <w:t>并在调整日前至少</w:t>
            </w:r>
            <w:r>
              <w:rPr>
                <w:rFonts w:cs="宋体"/>
                <w:sz w:val="18"/>
                <w:szCs w:val="18"/>
              </w:rPr>
              <w:t>3</w:t>
            </w:r>
            <w:r>
              <w:rPr>
                <w:rFonts w:cs="宋体"/>
                <w:sz w:val="18"/>
                <w:szCs w:val="18"/>
              </w:rPr>
              <w:t>个工作日进行信息披露。</w:t>
            </w:r>
          </w:p>
          <w:p w:rsidR="002B1050" w:rsidRDefault="00E02DD4">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2B105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1050" w:rsidRDefault="00E02DD4">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2B1050" w:rsidRDefault="00E02DD4">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/E</w:t>
            </w:r>
            <w:r>
              <w:rPr>
                <w:rFonts w:cs="宋体"/>
                <w:sz w:val="18"/>
                <w:szCs w:val="18"/>
              </w:rPr>
              <w:t>份额</w:t>
            </w:r>
            <w:r>
              <w:rPr>
                <w:rFonts w:cs="宋体"/>
                <w:sz w:val="18"/>
                <w:szCs w:val="18"/>
              </w:rPr>
              <w:t>/H</w:t>
            </w:r>
            <w:r>
              <w:rPr>
                <w:rFonts w:cs="宋体"/>
                <w:sz w:val="18"/>
                <w:szCs w:val="18"/>
              </w:rPr>
              <w:t>份额</w:t>
            </w:r>
            <w:r>
              <w:rPr>
                <w:rFonts w:cs="宋体"/>
                <w:sz w:val="18"/>
                <w:szCs w:val="18"/>
              </w:rPr>
              <w:t>/J</w:t>
            </w:r>
            <w:r>
              <w:rPr>
                <w:rFonts w:cs="宋体"/>
                <w:sz w:val="18"/>
                <w:szCs w:val="18"/>
              </w:rPr>
              <w:t>份额</w:t>
            </w:r>
            <w:r>
              <w:rPr>
                <w:rFonts w:cs="宋体"/>
                <w:sz w:val="18"/>
                <w:szCs w:val="18"/>
              </w:rPr>
              <w:t>/K</w:t>
            </w:r>
            <w:r>
              <w:rPr>
                <w:rFonts w:cs="宋体"/>
                <w:sz w:val="18"/>
                <w:szCs w:val="18"/>
              </w:rPr>
              <w:t>份额</w:t>
            </w:r>
            <w:r>
              <w:rPr>
                <w:rFonts w:cs="宋体"/>
                <w:sz w:val="18"/>
                <w:szCs w:val="18"/>
              </w:rPr>
              <w:t>/L</w:t>
            </w:r>
            <w:r>
              <w:rPr>
                <w:rFonts w:cs="宋体"/>
                <w:sz w:val="18"/>
                <w:szCs w:val="18"/>
              </w:rPr>
              <w:t>份额</w:t>
            </w:r>
            <w:r>
              <w:rPr>
                <w:rFonts w:cs="宋体"/>
                <w:sz w:val="18"/>
                <w:szCs w:val="18"/>
              </w:rPr>
              <w:t>/P</w:t>
            </w:r>
            <w:r>
              <w:rPr>
                <w:rFonts w:cs="宋体"/>
                <w:sz w:val="18"/>
                <w:szCs w:val="18"/>
              </w:rPr>
              <w:t>份额</w:t>
            </w:r>
            <w:r>
              <w:rPr>
                <w:rFonts w:cs="宋体"/>
                <w:sz w:val="18"/>
                <w:szCs w:val="18"/>
              </w:rPr>
              <w:t>/Q</w:t>
            </w:r>
            <w:r>
              <w:rPr>
                <w:rFonts w:cs="宋体"/>
                <w:sz w:val="18"/>
                <w:szCs w:val="18"/>
              </w:rPr>
              <w:t>份额</w:t>
            </w:r>
            <w:r>
              <w:rPr>
                <w:rFonts w:cs="宋体"/>
                <w:sz w:val="18"/>
                <w:szCs w:val="18"/>
              </w:rPr>
              <w:t>/R</w:t>
            </w:r>
            <w:r>
              <w:rPr>
                <w:rFonts w:cs="宋体"/>
                <w:sz w:val="18"/>
                <w:szCs w:val="18"/>
              </w:rPr>
              <w:t>份额</w:t>
            </w:r>
            <w:r>
              <w:rPr>
                <w:rFonts w:cs="宋体"/>
                <w:sz w:val="18"/>
                <w:szCs w:val="18"/>
              </w:rPr>
              <w:t>/Q1</w:t>
            </w:r>
            <w:r>
              <w:rPr>
                <w:rFonts w:cs="宋体"/>
                <w:sz w:val="18"/>
                <w:szCs w:val="18"/>
              </w:rPr>
              <w:t>份额：</w:t>
            </w:r>
          </w:p>
          <w:p w:rsidR="002B1050" w:rsidRDefault="00E02DD4">
            <w:pPr>
              <w:spacing w:line="200" w:lineRule="exact"/>
            </w:pPr>
            <w:r>
              <w:rPr>
                <w:rFonts w:cs="宋体"/>
                <w:sz w:val="18"/>
                <w:szCs w:val="18"/>
              </w:rPr>
              <w:t>暂不设置单个投资者持有金额上限；</w:t>
            </w:r>
          </w:p>
          <w:p w:rsidR="002B1050" w:rsidRDefault="00E02DD4">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rsidR="002B1050" w:rsidRDefault="00E02DD4">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2B105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1050" w:rsidRDefault="00E02DD4">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2B1050" w:rsidRDefault="00E02DD4">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rsidR="002B1050" w:rsidRDefault="00E02DD4">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2B105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1050" w:rsidRDefault="00E02DD4">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2B1050" w:rsidRDefault="00E02DD4">
            <w:pPr>
              <w:spacing w:line="200" w:lineRule="exact"/>
            </w:pPr>
            <w:r>
              <w:rPr>
                <w:rFonts w:cs="宋体"/>
                <w:color w:val="000000"/>
                <w:sz w:val="18"/>
                <w:szCs w:val="18"/>
              </w:rPr>
              <w:t>2025</w:t>
            </w:r>
            <w:r>
              <w:rPr>
                <w:rFonts w:cs="宋体"/>
                <w:color w:val="000000"/>
                <w:sz w:val="18"/>
                <w:szCs w:val="18"/>
              </w:rPr>
              <w:t>年</w:t>
            </w:r>
            <w:r>
              <w:rPr>
                <w:rFonts w:cs="宋体"/>
                <w:color w:val="000000"/>
                <w:sz w:val="18"/>
                <w:szCs w:val="18"/>
              </w:rPr>
              <w:t>11</w:t>
            </w:r>
            <w:r>
              <w:rPr>
                <w:rFonts w:cs="宋体"/>
                <w:color w:val="000000"/>
                <w:sz w:val="18"/>
                <w:szCs w:val="18"/>
              </w:rPr>
              <w:t>月</w:t>
            </w:r>
            <w:r>
              <w:rPr>
                <w:rFonts w:cs="宋体"/>
                <w:color w:val="000000"/>
                <w:sz w:val="18"/>
                <w:szCs w:val="18"/>
              </w:rPr>
              <w:t>12</w:t>
            </w:r>
            <w:r>
              <w:rPr>
                <w:rFonts w:cs="宋体"/>
                <w:color w:val="000000"/>
                <w:sz w:val="18"/>
                <w:szCs w:val="18"/>
              </w:rPr>
              <w:t>日</w:t>
            </w:r>
            <w:r>
              <w:rPr>
                <w:rFonts w:cs="宋体"/>
                <w:color w:val="000000"/>
                <w:sz w:val="18"/>
                <w:szCs w:val="18"/>
              </w:rPr>
              <w:t xml:space="preserve"> 09:00—2025</w:t>
            </w:r>
            <w:r>
              <w:rPr>
                <w:rFonts w:cs="宋体"/>
                <w:color w:val="000000"/>
                <w:sz w:val="18"/>
                <w:szCs w:val="18"/>
              </w:rPr>
              <w:t>年</w:t>
            </w:r>
            <w:r>
              <w:rPr>
                <w:rFonts w:cs="宋体"/>
                <w:color w:val="000000"/>
                <w:sz w:val="18"/>
                <w:szCs w:val="18"/>
              </w:rPr>
              <w:t>11</w:t>
            </w:r>
            <w:r>
              <w:rPr>
                <w:rFonts w:cs="宋体"/>
                <w:color w:val="000000"/>
                <w:sz w:val="18"/>
                <w:szCs w:val="18"/>
              </w:rPr>
              <w:t>月</w:t>
            </w:r>
            <w:r>
              <w:rPr>
                <w:rFonts w:cs="宋体"/>
                <w:color w:val="000000"/>
                <w:sz w:val="18"/>
                <w:szCs w:val="18"/>
              </w:rPr>
              <w:t>18</w:t>
            </w:r>
            <w:r>
              <w:rPr>
                <w:rFonts w:cs="宋体"/>
                <w:color w:val="000000"/>
                <w:sz w:val="18"/>
                <w:szCs w:val="18"/>
              </w:rPr>
              <w:t>日</w:t>
            </w:r>
            <w:r>
              <w:rPr>
                <w:rFonts w:cs="宋体"/>
                <w:color w:val="000000"/>
                <w:sz w:val="18"/>
                <w:szCs w:val="18"/>
              </w:rPr>
              <w:t xml:space="preserve"> 17:00</w:t>
            </w:r>
            <w:r>
              <w:rPr>
                <w:rFonts w:cs="宋体"/>
                <w:color w:val="000000"/>
                <w:sz w:val="18"/>
                <w:szCs w:val="18"/>
              </w:rPr>
              <w:t>（管理人有权根据市场变化情况缩短或延长募集期并提前成立或推迟成立，产品提前或推迟成立时管理人将调整相关日期并进行信息披露）代销机构可根</w:t>
            </w:r>
            <w:r>
              <w:rPr>
                <w:rFonts w:cs="宋体"/>
                <w:color w:val="000000"/>
                <w:sz w:val="18"/>
                <w:szCs w:val="18"/>
              </w:rPr>
              <w:t>据其销售需要在本募集期范围内对募集时间进行重新设定，投资者通过代销机构购买本理财产品的，以该代销机构最终披露的募集时间为准。</w:t>
            </w:r>
          </w:p>
        </w:tc>
      </w:tr>
      <w:tr w:rsidR="002B105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1050" w:rsidRDefault="00E02DD4">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2B1050" w:rsidRDefault="00E02DD4">
            <w:pPr>
              <w:spacing w:line="200" w:lineRule="exact"/>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2B1050">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1050" w:rsidRDefault="00E02DD4">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2B1050" w:rsidRDefault="00E02DD4">
            <w:pPr>
              <w:spacing w:line="200" w:lineRule="exact"/>
              <w:rPr>
                <w:color w:val="000000"/>
                <w:kern w:val="0"/>
                <w:sz w:val="18"/>
                <w:szCs w:val="18"/>
              </w:rPr>
            </w:pPr>
            <w:r>
              <w:rPr>
                <w:rFonts w:hint="eastAsia"/>
                <w:color w:val="000000"/>
                <w:kern w:val="0"/>
                <w:sz w:val="18"/>
                <w:szCs w:val="18"/>
              </w:rPr>
              <w:t>同产品成立日</w:t>
            </w:r>
          </w:p>
        </w:tc>
      </w:tr>
      <w:tr w:rsidR="002B1050">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1050" w:rsidRDefault="00E02DD4">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2B1050" w:rsidRDefault="00E02DD4">
            <w:pPr>
              <w:spacing w:line="200" w:lineRule="exact"/>
            </w:pPr>
            <w:r>
              <w:rPr>
                <w:rFonts w:hint="eastAsia"/>
                <w:kern w:val="0"/>
                <w:sz w:val="18"/>
                <w:szCs w:val="18"/>
              </w:rPr>
              <w:t>2025</w:t>
            </w:r>
            <w:r>
              <w:rPr>
                <w:rFonts w:hint="eastAsia"/>
                <w:kern w:val="0"/>
                <w:sz w:val="18"/>
                <w:szCs w:val="18"/>
              </w:rPr>
              <w:t>年</w:t>
            </w:r>
            <w:r>
              <w:rPr>
                <w:rFonts w:hint="eastAsia"/>
                <w:kern w:val="0"/>
                <w:sz w:val="18"/>
                <w:szCs w:val="18"/>
              </w:rPr>
              <w:t>11</w:t>
            </w:r>
            <w:r>
              <w:rPr>
                <w:rFonts w:hint="eastAsia"/>
                <w:kern w:val="0"/>
                <w:sz w:val="18"/>
                <w:szCs w:val="18"/>
              </w:rPr>
              <w:t>月</w:t>
            </w:r>
            <w:r>
              <w:rPr>
                <w:rFonts w:hint="eastAsia"/>
                <w:kern w:val="0"/>
                <w:sz w:val="18"/>
                <w:szCs w:val="18"/>
              </w:rPr>
              <w:t>19</w:t>
            </w:r>
            <w:r>
              <w:rPr>
                <w:rFonts w:hint="eastAsia"/>
                <w:kern w:val="0"/>
                <w:sz w:val="18"/>
                <w:szCs w:val="18"/>
              </w:rPr>
              <w:t>日</w:t>
            </w:r>
          </w:p>
        </w:tc>
      </w:tr>
      <w:tr w:rsidR="002B105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1050" w:rsidRDefault="00E02DD4">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2B1050" w:rsidRDefault="00E02DD4">
            <w:pPr>
              <w:spacing w:line="200" w:lineRule="exact"/>
            </w:pPr>
            <w:r>
              <w:rPr>
                <w:rFonts w:cs="宋体"/>
                <w:sz w:val="18"/>
                <w:szCs w:val="18"/>
              </w:rPr>
              <w:t>2025</w:t>
            </w:r>
            <w:r>
              <w:rPr>
                <w:rFonts w:cs="宋体"/>
                <w:sz w:val="18"/>
                <w:szCs w:val="18"/>
              </w:rPr>
              <w:t>年</w:t>
            </w:r>
            <w:r>
              <w:rPr>
                <w:rFonts w:cs="宋体"/>
                <w:sz w:val="18"/>
                <w:szCs w:val="18"/>
              </w:rPr>
              <w:t>11</w:t>
            </w:r>
            <w:r>
              <w:rPr>
                <w:rFonts w:cs="宋体"/>
                <w:sz w:val="18"/>
                <w:szCs w:val="18"/>
              </w:rPr>
              <w:t>月</w:t>
            </w:r>
            <w:r>
              <w:rPr>
                <w:rFonts w:cs="宋体"/>
                <w:sz w:val="18"/>
                <w:szCs w:val="18"/>
              </w:rPr>
              <w:t>19</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99</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2B1050">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1050" w:rsidRDefault="00E02DD4">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2B1050" w:rsidRDefault="00E02DD4">
            <w:pPr>
              <w:widowControl/>
              <w:spacing w:line="200" w:lineRule="exact"/>
              <w:jc w:val="left"/>
              <w:rPr>
                <w:kern w:val="0"/>
                <w:sz w:val="18"/>
                <w:szCs w:val="18"/>
              </w:rPr>
            </w:pPr>
            <w:r>
              <w:rPr>
                <w:rFonts w:hint="eastAsia"/>
                <w:kern w:val="0"/>
                <w:sz w:val="18"/>
                <w:szCs w:val="18"/>
              </w:rPr>
              <w:t>2026</w:t>
            </w:r>
            <w:r>
              <w:rPr>
                <w:rFonts w:hint="eastAsia"/>
                <w:kern w:val="0"/>
                <w:sz w:val="18"/>
                <w:szCs w:val="18"/>
              </w:rPr>
              <w:t>年</w:t>
            </w:r>
            <w:r>
              <w:rPr>
                <w:rFonts w:hint="eastAsia"/>
                <w:kern w:val="0"/>
                <w:sz w:val="18"/>
                <w:szCs w:val="18"/>
              </w:rPr>
              <w:t>02</w:t>
            </w:r>
            <w:r>
              <w:rPr>
                <w:rFonts w:hint="eastAsia"/>
                <w:kern w:val="0"/>
                <w:sz w:val="18"/>
                <w:szCs w:val="18"/>
              </w:rPr>
              <w:t>月</w:t>
            </w:r>
            <w:r>
              <w:rPr>
                <w:rFonts w:hint="eastAsia"/>
                <w:kern w:val="0"/>
                <w:sz w:val="18"/>
                <w:szCs w:val="18"/>
              </w:rPr>
              <w:t>26</w:t>
            </w:r>
            <w:r>
              <w:rPr>
                <w:rFonts w:hint="eastAsia"/>
                <w:kern w:val="0"/>
                <w:sz w:val="18"/>
                <w:szCs w:val="18"/>
              </w:rPr>
              <w:t>日</w:t>
            </w:r>
          </w:p>
        </w:tc>
      </w:tr>
      <w:tr w:rsidR="002B105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1050" w:rsidRDefault="00E02DD4">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2B1050" w:rsidRDefault="00E02DD4">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×R</w:t>
            </w:r>
            <w:r>
              <w:rPr>
                <w:rFonts w:cs="宋体"/>
                <w:color w:val="000000"/>
                <w:sz w:val="18"/>
                <w:szCs w:val="18"/>
              </w:rPr>
              <w:t>。</w:t>
            </w:r>
            <w:r>
              <w:rPr>
                <w:rFonts w:cs="宋体"/>
                <w:color w:val="000000"/>
                <w:sz w:val="18"/>
                <w:szCs w:val="18"/>
              </w:rPr>
              <w:t xml:space="preserve"> R</w:t>
            </w:r>
            <w:r>
              <w:rPr>
                <w:rFonts w:cs="宋体"/>
                <w:color w:val="000000"/>
                <w:sz w:val="18"/>
                <w:szCs w:val="18"/>
              </w:rPr>
              <w:t>为期末理财产品单位净值。（已扣除相关费用，到期兑付金额以去尾法保留两位小数）</w:t>
            </w:r>
          </w:p>
        </w:tc>
      </w:tr>
      <w:tr w:rsidR="002B1050">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1050" w:rsidRDefault="00E02DD4">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2B1050" w:rsidRDefault="00E02DD4">
            <w:pPr>
              <w:spacing w:line="200" w:lineRule="exact"/>
            </w:pPr>
            <w:r>
              <w:rPr>
                <w:rFonts w:cs="宋体"/>
                <w:sz w:val="18"/>
                <w:szCs w:val="18"/>
              </w:rPr>
              <w:t>本理财产品存续期间不进行分红。</w:t>
            </w:r>
          </w:p>
          <w:p w:rsidR="002B1050" w:rsidRDefault="00E02DD4">
            <w:pPr>
              <w:spacing w:line="200" w:lineRule="exact"/>
            </w:pPr>
            <w:r>
              <w:rPr>
                <w:rFonts w:cs="宋体"/>
                <w:sz w:val="18"/>
                <w:szCs w:val="18"/>
              </w:rPr>
              <w:t>产品到期后，理财产品管理人和代销机构将根据理财资金所投资资产实际运作情况向投资者分配到期款项。</w:t>
            </w:r>
          </w:p>
        </w:tc>
      </w:tr>
      <w:tr w:rsidR="002B1050">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1050" w:rsidRDefault="00E02DD4">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2B1050" w:rsidRDefault="00E02DD4">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2B1050">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1050" w:rsidRDefault="00E02DD4">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2B1050" w:rsidRDefault="00E02DD4">
            <w:pPr>
              <w:spacing w:line="200" w:lineRule="exact"/>
              <w:jc w:val="left"/>
            </w:pPr>
            <w:r>
              <w:rPr>
                <w:rFonts w:cs="宋体"/>
                <w:sz w:val="18"/>
                <w:szCs w:val="18"/>
              </w:rPr>
              <w:t>本理财产品募集的资金投资于以下金融资产和金融工具，包括但不限于：</w:t>
            </w:r>
          </w:p>
          <w:p w:rsidR="002B1050" w:rsidRDefault="00E02DD4">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rsidR="002B1050" w:rsidRDefault="00E02DD4">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券、短期融资券、公司债、可转债、可交债、非公开定向债务融资工具</w:t>
            </w:r>
            <w:r>
              <w:rPr>
                <w:rFonts w:cs="宋体"/>
                <w:sz w:val="18"/>
                <w:szCs w:val="18"/>
              </w:rPr>
              <w:t>(PPN)</w:t>
            </w:r>
            <w:r>
              <w:rPr>
                <w:rFonts w:cs="宋体"/>
                <w:sz w:val="18"/>
                <w:szCs w:val="18"/>
              </w:rPr>
              <w:t>、公募债券型证券投资基金等标准化债权类资产；</w:t>
            </w:r>
          </w:p>
          <w:p w:rsidR="002B1050" w:rsidRDefault="00E02DD4">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2B1050" w:rsidRDefault="00E02DD4">
            <w:pPr>
              <w:spacing w:line="200" w:lineRule="exact"/>
              <w:jc w:val="left"/>
            </w:pPr>
            <w:r>
              <w:rPr>
                <w:rFonts w:cs="宋体"/>
                <w:sz w:val="18"/>
                <w:szCs w:val="18"/>
              </w:rPr>
              <w:t>4.</w:t>
            </w:r>
            <w:r>
              <w:rPr>
                <w:rFonts w:cs="宋体"/>
                <w:sz w:val="18"/>
                <w:szCs w:val="18"/>
              </w:rPr>
              <w:t>投资范围为上述资产的信托计划、资产管理计划</w:t>
            </w:r>
            <w:r>
              <w:rPr>
                <w:rFonts w:cs="宋体"/>
                <w:sz w:val="18"/>
                <w:szCs w:val="18"/>
              </w:rPr>
              <w:t>等资产管理产品；</w:t>
            </w:r>
          </w:p>
          <w:p w:rsidR="002B1050" w:rsidRDefault="00E02DD4">
            <w:pPr>
              <w:spacing w:line="200" w:lineRule="exact"/>
              <w:jc w:val="left"/>
            </w:pPr>
            <w:r>
              <w:rPr>
                <w:rFonts w:cs="宋体"/>
                <w:sz w:val="18"/>
                <w:szCs w:val="18"/>
              </w:rPr>
              <w:t>5.</w:t>
            </w:r>
            <w:r>
              <w:rPr>
                <w:rFonts w:cs="宋体"/>
                <w:sz w:val="18"/>
                <w:szCs w:val="18"/>
              </w:rPr>
              <w:t>法律法规或监管机构允许投资的符合本理财产品投资性质的其他金融工具；</w:t>
            </w:r>
          </w:p>
          <w:p w:rsidR="002B1050" w:rsidRDefault="00E02DD4">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2B1050">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1050" w:rsidRDefault="00E02DD4">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2B1050" w:rsidRDefault="00E02DD4">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rsidR="002B1050" w:rsidRDefault="00E02DD4">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2B1050">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1050" w:rsidRDefault="00E02DD4">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2B1050" w:rsidRDefault="00E02DD4">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2B1050">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1050" w:rsidRDefault="00E02DD4">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2B1050" w:rsidRDefault="00E02DD4">
            <w:pPr>
              <w:spacing w:line="200" w:lineRule="exact"/>
            </w:pPr>
            <w:r>
              <w:rPr>
                <w:rFonts w:cs="宋体"/>
                <w:b/>
                <w:sz w:val="18"/>
                <w:szCs w:val="18"/>
              </w:rPr>
              <w:t>本理财产品拟投资以下备选非标准化债权类资产：</w:t>
            </w:r>
          </w:p>
          <w:p w:rsidR="002B1050" w:rsidRDefault="00E02DD4">
            <w:pPr>
              <w:spacing w:line="200" w:lineRule="exact"/>
            </w:pPr>
            <w:r>
              <w:rPr>
                <w:rFonts w:cs="宋体"/>
                <w:sz w:val="18"/>
                <w:szCs w:val="18"/>
              </w:rPr>
              <w:t>1.</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个人消费贷款债权，资产到期日不超过理财产品到期日，仅投资优先级。</w:t>
            </w:r>
          </w:p>
          <w:p w:rsidR="002B1050" w:rsidRDefault="00E02DD4">
            <w:pPr>
              <w:spacing w:line="200" w:lineRule="exact"/>
            </w:pPr>
            <w:r>
              <w:rPr>
                <w:rFonts w:cs="宋体"/>
                <w:sz w:val="18"/>
                <w:szCs w:val="18"/>
              </w:rPr>
              <w:t>2.</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个人消费贷款债权，资产到期日不超过理财产品到期日，仅投资优先级。</w:t>
            </w:r>
          </w:p>
          <w:p w:rsidR="002B1050" w:rsidRDefault="00E02DD4">
            <w:pPr>
              <w:spacing w:line="200" w:lineRule="exact"/>
            </w:pPr>
            <w:r>
              <w:rPr>
                <w:rFonts w:cs="宋体"/>
                <w:sz w:val="18"/>
                <w:szCs w:val="18"/>
              </w:rPr>
              <w:t>3.</w:t>
            </w:r>
            <w:r>
              <w:rPr>
                <w:rFonts w:cs="宋体"/>
                <w:sz w:val="18"/>
                <w:szCs w:val="18"/>
              </w:rPr>
              <w:t>资产支持计划：资产类型为保险资产管理公司设立的资产支持计划，底层资产为</w:t>
            </w:r>
            <w:r>
              <w:rPr>
                <w:rFonts w:cs="宋体"/>
                <w:sz w:val="18"/>
                <w:szCs w:val="18"/>
              </w:rPr>
              <w:t>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个人消费贷款债权，资产到期日不超过理财产品到期日，仅投资优先级。</w:t>
            </w:r>
          </w:p>
          <w:p w:rsidR="002B1050" w:rsidRDefault="00E02DD4">
            <w:pPr>
              <w:spacing w:line="200" w:lineRule="exact"/>
            </w:pPr>
            <w:r>
              <w:rPr>
                <w:rFonts w:cs="宋体"/>
                <w:sz w:val="18"/>
                <w:szCs w:val="18"/>
              </w:rPr>
              <w:t>4.</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个人消费贷款债权，资产到期日不超过理财产品到期日，仅投资优先级。</w:t>
            </w:r>
          </w:p>
          <w:p w:rsidR="002B1050" w:rsidRDefault="00E02DD4">
            <w:pPr>
              <w:spacing w:line="200" w:lineRule="exact"/>
            </w:pPr>
            <w:r>
              <w:rPr>
                <w:rFonts w:cs="宋体"/>
                <w:sz w:val="18"/>
                <w:szCs w:val="18"/>
              </w:rPr>
              <w:t>5.</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贷款资产，资产到期日不超过理财产品到期日，仅投资优先级。</w:t>
            </w:r>
          </w:p>
          <w:p w:rsidR="002B1050" w:rsidRDefault="00E02DD4">
            <w:pPr>
              <w:spacing w:line="200" w:lineRule="exact"/>
            </w:pPr>
            <w:r>
              <w:rPr>
                <w:rFonts w:cs="宋体"/>
                <w:sz w:val="18"/>
                <w:szCs w:val="18"/>
              </w:rPr>
              <w:t>6.</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个人消费贷款债权，资产到期日不超过理财产品到期日，仅投资优先级。</w:t>
            </w:r>
          </w:p>
          <w:p w:rsidR="002B1050" w:rsidRDefault="00E02DD4">
            <w:pPr>
              <w:spacing w:line="200" w:lineRule="exact"/>
            </w:pPr>
            <w:r>
              <w:rPr>
                <w:rFonts w:cs="宋体"/>
                <w:sz w:val="18"/>
                <w:szCs w:val="18"/>
              </w:rPr>
              <w:t>7.</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个人消费贷款债权，资产到期日不超过理财产品到期日，仅投资优先级。</w:t>
            </w:r>
          </w:p>
          <w:p w:rsidR="002B1050" w:rsidRDefault="00E02DD4">
            <w:pPr>
              <w:spacing w:line="200" w:lineRule="exact"/>
            </w:pPr>
            <w:r>
              <w:rPr>
                <w:rFonts w:cs="宋体"/>
                <w:sz w:val="18"/>
                <w:szCs w:val="18"/>
              </w:rPr>
              <w:t>8.</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rsidR="002B1050" w:rsidRDefault="00E02DD4">
            <w:pPr>
              <w:spacing w:line="200" w:lineRule="exact"/>
            </w:pPr>
            <w:r>
              <w:rPr>
                <w:rFonts w:cs="宋体"/>
                <w:sz w:val="18"/>
                <w:szCs w:val="18"/>
              </w:rPr>
              <w:t>9.</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w:t>
            </w:r>
          </w:p>
          <w:p w:rsidR="002B1050" w:rsidRDefault="00E02DD4">
            <w:pPr>
              <w:spacing w:line="200" w:lineRule="exact"/>
            </w:pPr>
            <w:r>
              <w:rPr>
                <w:rFonts w:cs="宋体"/>
                <w:sz w:val="18"/>
                <w:szCs w:val="18"/>
              </w:rPr>
              <w:t>10.</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r>
              <w:rPr>
                <w:rFonts w:cs="宋体"/>
                <w:sz w:val="18"/>
                <w:szCs w:val="18"/>
              </w:rPr>
              <w:t>。</w:t>
            </w:r>
          </w:p>
          <w:p w:rsidR="002B1050" w:rsidRDefault="00E02DD4">
            <w:pPr>
              <w:spacing w:line="200" w:lineRule="exact"/>
            </w:pPr>
            <w:r>
              <w:rPr>
                <w:rFonts w:cs="宋体"/>
                <w:sz w:val="18"/>
                <w:szCs w:val="18"/>
              </w:rPr>
              <w:t>11.</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w:t>
            </w:r>
          </w:p>
          <w:p w:rsidR="002B1050" w:rsidRDefault="00E02DD4">
            <w:pPr>
              <w:spacing w:line="200" w:lineRule="exact"/>
            </w:pPr>
            <w:r>
              <w:rPr>
                <w:rFonts w:cs="宋体"/>
                <w:sz w:val="18"/>
                <w:szCs w:val="18"/>
              </w:rPr>
              <w:t>12.</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w:t>
            </w:r>
          </w:p>
          <w:p w:rsidR="002B1050" w:rsidRDefault="00E02DD4">
            <w:pPr>
              <w:spacing w:line="200" w:lineRule="exact"/>
            </w:pPr>
            <w:r>
              <w:rPr>
                <w:rFonts w:cs="宋体"/>
                <w:sz w:val="18"/>
                <w:szCs w:val="18"/>
              </w:rPr>
              <w:t>13.</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rsidR="002B1050" w:rsidRDefault="00E02DD4">
            <w:pPr>
              <w:spacing w:line="200" w:lineRule="exact"/>
            </w:pPr>
            <w:r>
              <w:rPr>
                <w:rFonts w:cs="宋体"/>
                <w:sz w:val="18"/>
                <w:szCs w:val="18"/>
              </w:rPr>
              <w:t>14.</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w:t>
            </w:r>
          </w:p>
          <w:p w:rsidR="002B1050" w:rsidRDefault="00E02DD4">
            <w:pPr>
              <w:spacing w:line="200" w:lineRule="exact"/>
            </w:pPr>
            <w:r>
              <w:rPr>
                <w:rFonts w:cs="宋体"/>
                <w:sz w:val="18"/>
                <w:szCs w:val="18"/>
              </w:rPr>
              <w:t>15.</w:t>
            </w:r>
            <w:r>
              <w:rPr>
                <w:rFonts w:cs="宋体"/>
                <w:sz w:val="18"/>
                <w:szCs w:val="18"/>
              </w:rPr>
              <w:t>信托贷款：资产类型为信托公司设立的资金信托计划，底层资产为微信及信托公司双重审核、信托公司自主风控后发放的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个人消费贷款债权，资产到期日不超过理财产品到期日。</w:t>
            </w:r>
          </w:p>
          <w:p w:rsidR="002B1050" w:rsidRDefault="00E02DD4">
            <w:pPr>
              <w:spacing w:line="200" w:lineRule="exact"/>
            </w:pPr>
            <w:r>
              <w:rPr>
                <w:rFonts w:cs="宋体"/>
                <w:sz w:val="18"/>
                <w:szCs w:val="18"/>
              </w:rPr>
              <w:t>16.</w:t>
            </w:r>
            <w:r>
              <w:rPr>
                <w:rFonts w:cs="宋体"/>
                <w:sz w:val="18"/>
                <w:szCs w:val="18"/>
              </w:rPr>
              <w:t>信托贷款：资产类型为信托公司设立的资金信托计划，底层资产为度小满及信托公司双重审核、信托公司自主风控后发放的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个人消费贷款债权，资产到期日不超过理财产品到期日。</w:t>
            </w:r>
          </w:p>
          <w:p w:rsidR="002B1050" w:rsidRDefault="00E02DD4">
            <w:pPr>
              <w:spacing w:line="200" w:lineRule="exact"/>
            </w:pPr>
            <w:r>
              <w:rPr>
                <w:rFonts w:cs="宋体"/>
                <w:b/>
                <w:sz w:val="18"/>
                <w:szCs w:val="18"/>
              </w:rPr>
              <w:t>以上资产剩余期限均不超过产品期限。</w:t>
            </w:r>
          </w:p>
          <w:p w:rsidR="002B1050" w:rsidRDefault="00E02DD4">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2B105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1050" w:rsidRDefault="00E02DD4">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2B1050" w:rsidRDefault="00E02DD4">
            <w:pPr>
              <w:spacing w:line="200" w:lineRule="exact"/>
            </w:pPr>
            <w:r>
              <w:rPr>
                <w:rFonts w:cs="宋体"/>
                <w:sz w:val="18"/>
                <w:szCs w:val="18"/>
              </w:rPr>
              <w:t>A</w:t>
            </w:r>
            <w:r>
              <w:rPr>
                <w:rFonts w:cs="宋体"/>
                <w:sz w:val="18"/>
                <w:szCs w:val="18"/>
              </w:rPr>
              <w:t>份额：业绩比较基准为</w:t>
            </w:r>
            <w:r>
              <w:rPr>
                <w:rFonts w:cs="宋体"/>
                <w:sz w:val="18"/>
                <w:szCs w:val="18"/>
              </w:rPr>
              <w:t>1.78%(</w:t>
            </w:r>
            <w:r>
              <w:rPr>
                <w:rFonts w:cs="宋体"/>
                <w:sz w:val="18"/>
                <w:szCs w:val="18"/>
              </w:rPr>
              <w:t>年化</w:t>
            </w:r>
            <w:r>
              <w:rPr>
                <w:rFonts w:cs="宋体"/>
                <w:sz w:val="18"/>
                <w:szCs w:val="18"/>
              </w:rPr>
              <w:t>)</w:t>
            </w:r>
            <w:r>
              <w:rPr>
                <w:rFonts w:cs="宋体"/>
                <w:sz w:val="18"/>
                <w:szCs w:val="18"/>
              </w:rPr>
              <w:t>。</w:t>
            </w:r>
          </w:p>
          <w:p w:rsidR="002B1050" w:rsidRDefault="00E02DD4">
            <w:pPr>
              <w:spacing w:line="200" w:lineRule="exact"/>
            </w:pPr>
            <w:r>
              <w:rPr>
                <w:rFonts w:cs="宋体"/>
                <w:sz w:val="18"/>
                <w:szCs w:val="18"/>
              </w:rPr>
              <w:t>B</w:t>
            </w:r>
            <w:r>
              <w:rPr>
                <w:rFonts w:cs="宋体"/>
                <w:sz w:val="18"/>
                <w:szCs w:val="18"/>
              </w:rPr>
              <w:t>份额：业绩比较基准为</w:t>
            </w:r>
            <w:r>
              <w:rPr>
                <w:rFonts w:cs="宋体"/>
                <w:sz w:val="18"/>
                <w:szCs w:val="18"/>
              </w:rPr>
              <w:t>1.88%(</w:t>
            </w:r>
            <w:r>
              <w:rPr>
                <w:rFonts w:cs="宋体"/>
                <w:sz w:val="18"/>
                <w:szCs w:val="18"/>
              </w:rPr>
              <w:t>年化</w:t>
            </w:r>
            <w:r>
              <w:rPr>
                <w:rFonts w:cs="宋体"/>
                <w:sz w:val="18"/>
                <w:szCs w:val="18"/>
              </w:rPr>
              <w:t>)</w:t>
            </w:r>
            <w:r>
              <w:rPr>
                <w:rFonts w:cs="宋体"/>
                <w:sz w:val="18"/>
                <w:szCs w:val="18"/>
              </w:rPr>
              <w:t>。</w:t>
            </w:r>
          </w:p>
          <w:p w:rsidR="002B1050" w:rsidRDefault="00E02DD4">
            <w:pPr>
              <w:spacing w:line="200" w:lineRule="exact"/>
            </w:pPr>
            <w:r>
              <w:rPr>
                <w:rFonts w:cs="宋体"/>
                <w:sz w:val="18"/>
                <w:szCs w:val="18"/>
              </w:rPr>
              <w:t>C</w:t>
            </w:r>
            <w:r>
              <w:rPr>
                <w:rFonts w:cs="宋体"/>
                <w:sz w:val="18"/>
                <w:szCs w:val="18"/>
              </w:rPr>
              <w:t>份额：业绩比较基准为</w:t>
            </w:r>
            <w:r>
              <w:rPr>
                <w:rFonts w:cs="宋体"/>
                <w:sz w:val="18"/>
                <w:szCs w:val="18"/>
              </w:rPr>
              <w:t>1.98%(</w:t>
            </w:r>
            <w:r>
              <w:rPr>
                <w:rFonts w:cs="宋体"/>
                <w:sz w:val="18"/>
                <w:szCs w:val="18"/>
              </w:rPr>
              <w:t>年化</w:t>
            </w:r>
            <w:r>
              <w:rPr>
                <w:rFonts w:cs="宋体"/>
                <w:sz w:val="18"/>
                <w:szCs w:val="18"/>
              </w:rPr>
              <w:t>)</w:t>
            </w:r>
            <w:r>
              <w:rPr>
                <w:rFonts w:cs="宋体"/>
                <w:sz w:val="18"/>
                <w:szCs w:val="18"/>
              </w:rPr>
              <w:t>。</w:t>
            </w:r>
          </w:p>
          <w:p w:rsidR="002B1050" w:rsidRDefault="00E02DD4">
            <w:pPr>
              <w:spacing w:line="200" w:lineRule="exact"/>
            </w:pPr>
            <w:r>
              <w:rPr>
                <w:rFonts w:cs="宋体"/>
                <w:sz w:val="18"/>
                <w:szCs w:val="18"/>
              </w:rPr>
              <w:t>D</w:t>
            </w:r>
            <w:r>
              <w:rPr>
                <w:rFonts w:cs="宋体"/>
                <w:sz w:val="18"/>
                <w:szCs w:val="18"/>
              </w:rPr>
              <w:t>份额：业绩比较基准为</w:t>
            </w:r>
            <w:r>
              <w:rPr>
                <w:rFonts w:cs="宋体"/>
                <w:sz w:val="18"/>
                <w:szCs w:val="18"/>
              </w:rPr>
              <w:t>2.03%(</w:t>
            </w:r>
            <w:r>
              <w:rPr>
                <w:rFonts w:cs="宋体"/>
                <w:sz w:val="18"/>
                <w:szCs w:val="18"/>
              </w:rPr>
              <w:t>年化</w:t>
            </w:r>
            <w:r>
              <w:rPr>
                <w:rFonts w:cs="宋体"/>
                <w:sz w:val="18"/>
                <w:szCs w:val="18"/>
              </w:rPr>
              <w:t>)</w:t>
            </w:r>
            <w:r>
              <w:rPr>
                <w:rFonts w:cs="宋体"/>
                <w:sz w:val="18"/>
                <w:szCs w:val="18"/>
              </w:rPr>
              <w:t>。</w:t>
            </w:r>
          </w:p>
          <w:p w:rsidR="002B1050" w:rsidRDefault="00E02DD4">
            <w:pPr>
              <w:spacing w:line="200" w:lineRule="exact"/>
            </w:pPr>
            <w:r>
              <w:rPr>
                <w:rFonts w:cs="宋体"/>
                <w:sz w:val="18"/>
                <w:szCs w:val="18"/>
              </w:rPr>
              <w:t>E</w:t>
            </w:r>
            <w:r>
              <w:rPr>
                <w:rFonts w:cs="宋体"/>
                <w:sz w:val="18"/>
                <w:szCs w:val="18"/>
              </w:rPr>
              <w:t>份额：业绩比较基准为</w:t>
            </w:r>
            <w:r>
              <w:rPr>
                <w:rFonts w:cs="宋体"/>
                <w:sz w:val="18"/>
                <w:szCs w:val="18"/>
              </w:rPr>
              <w:t>1.93%(</w:t>
            </w:r>
            <w:r>
              <w:rPr>
                <w:rFonts w:cs="宋体"/>
                <w:sz w:val="18"/>
                <w:szCs w:val="18"/>
              </w:rPr>
              <w:t>年化</w:t>
            </w:r>
            <w:r>
              <w:rPr>
                <w:rFonts w:cs="宋体"/>
                <w:sz w:val="18"/>
                <w:szCs w:val="18"/>
              </w:rPr>
              <w:t>)</w:t>
            </w:r>
            <w:r>
              <w:rPr>
                <w:rFonts w:cs="宋体"/>
                <w:sz w:val="18"/>
                <w:szCs w:val="18"/>
              </w:rPr>
              <w:t>。</w:t>
            </w:r>
          </w:p>
          <w:p w:rsidR="002B1050" w:rsidRDefault="00E02DD4">
            <w:pPr>
              <w:spacing w:line="200" w:lineRule="exact"/>
            </w:pPr>
            <w:r>
              <w:rPr>
                <w:rFonts w:cs="宋体"/>
                <w:sz w:val="18"/>
                <w:szCs w:val="18"/>
              </w:rPr>
              <w:t>H</w:t>
            </w:r>
            <w:r>
              <w:rPr>
                <w:rFonts w:cs="宋体"/>
                <w:sz w:val="18"/>
                <w:szCs w:val="18"/>
              </w:rPr>
              <w:t>份额：业绩比较基准为</w:t>
            </w:r>
            <w:r>
              <w:rPr>
                <w:rFonts w:cs="宋体"/>
                <w:sz w:val="18"/>
                <w:szCs w:val="18"/>
              </w:rPr>
              <w:t>1.88%(</w:t>
            </w:r>
            <w:r>
              <w:rPr>
                <w:rFonts w:cs="宋体"/>
                <w:sz w:val="18"/>
                <w:szCs w:val="18"/>
              </w:rPr>
              <w:t>年化</w:t>
            </w:r>
            <w:r>
              <w:rPr>
                <w:rFonts w:cs="宋体"/>
                <w:sz w:val="18"/>
                <w:szCs w:val="18"/>
              </w:rPr>
              <w:t>)</w:t>
            </w:r>
            <w:r>
              <w:rPr>
                <w:rFonts w:cs="宋体"/>
                <w:sz w:val="18"/>
                <w:szCs w:val="18"/>
              </w:rPr>
              <w:t>。</w:t>
            </w:r>
          </w:p>
          <w:p w:rsidR="002B1050" w:rsidRDefault="00E02DD4">
            <w:pPr>
              <w:spacing w:line="200" w:lineRule="exact"/>
            </w:pPr>
            <w:r>
              <w:rPr>
                <w:rFonts w:cs="宋体"/>
                <w:sz w:val="18"/>
                <w:szCs w:val="18"/>
              </w:rPr>
              <w:t>J</w:t>
            </w:r>
            <w:r>
              <w:rPr>
                <w:rFonts w:cs="宋体"/>
                <w:sz w:val="18"/>
                <w:szCs w:val="18"/>
              </w:rPr>
              <w:t>份额：业绩比较基准为</w:t>
            </w:r>
            <w:r>
              <w:rPr>
                <w:rFonts w:cs="宋体"/>
                <w:sz w:val="18"/>
                <w:szCs w:val="18"/>
              </w:rPr>
              <w:t>1.78%(</w:t>
            </w:r>
            <w:r>
              <w:rPr>
                <w:rFonts w:cs="宋体"/>
                <w:sz w:val="18"/>
                <w:szCs w:val="18"/>
              </w:rPr>
              <w:t>年化</w:t>
            </w:r>
            <w:r>
              <w:rPr>
                <w:rFonts w:cs="宋体"/>
                <w:sz w:val="18"/>
                <w:szCs w:val="18"/>
              </w:rPr>
              <w:t>)</w:t>
            </w:r>
            <w:r>
              <w:rPr>
                <w:rFonts w:cs="宋体"/>
                <w:sz w:val="18"/>
                <w:szCs w:val="18"/>
              </w:rPr>
              <w:t>。</w:t>
            </w:r>
          </w:p>
          <w:p w:rsidR="002B1050" w:rsidRDefault="00E02DD4">
            <w:pPr>
              <w:spacing w:line="200" w:lineRule="exact"/>
            </w:pPr>
            <w:r>
              <w:rPr>
                <w:rFonts w:cs="宋体"/>
                <w:sz w:val="18"/>
                <w:szCs w:val="18"/>
              </w:rPr>
              <w:t>K</w:t>
            </w:r>
            <w:r>
              <w:rPr>
                <w:rFonts w:cs="宋体"/>
                <w:sz w:val="18"/>
                <w:szCs w:val="18"/>
              </w:rPr>
              <w:t>份额：业绩比较基准为</w:t>
            </w:r>
            <w:r>
              <w:rPr>
                <w:rFonts w:cs="宋体"/>
                <w:sz w:val="18"/>
                <w:szCs w:val="18"/>
              </w:rPr>
              <w:t>2.03%(</w:t>
            </w:r>
            <w:r>
              <w:rPr>
                <w:rFonts w:cs="宋体"/>
                <w:sz w:val="18"/>
                <w:szCs w:val="18"/>
              </w:rPr>
              <w:t>年化</w:t>
            </w:r>
            <w:r>
              <w:rPr>
                <w:rFonts w:cs="宋体"/>
                <w:sz w:val="18"/>
                <w:szCs w:val="18"/>
              </w:rPr>
              <w:t>)</w:t>
            </w:r>
            <w:r>
              <w:rPr>
                <w:rFonts w:cs="宋体"/>
                <w:sz w:val="18"/>
                <w:szCs w:val="18"/>
              </w:rPr>
              <w:t>。</w:t>
            </w:r>
          </w:p>
          <w:p w:rsidR="002B1050" w:rsidRDefault="00E02DD4">
            <w:pPr>
              <w:spacing w:line="200" w:lineRule="exact"/>
            </w:pPr>
            <w:r>
              <w:rPr>
                <w:rFonts w:cs="宋体"/>
                <w:sz w:val="18"/>
                <w:szCs w:val="18"/>
              </w:rPr>
              <w:t>L</w:t>
            </w:r>
            <w:r>
              <w:rPr>
                <w:rFonts w:cs="宋体"/>
                <w:sz w:val="18"/>
                <w:szCs w:val="18"/>
              </w:rPr>
              <w:t>份额：业绩比较基准为</w:t>
            </w:r>
            <w:r>
              <w:rPr>
                <w:rFonts w:cs="宋体"/>
                <w:sz w:val="18"/>
                <w:szCs w:val="18"/>
              </w:rPr>
              <w:t>2.03%(</w:t>
            </w:r>
            <w:r>
              <w:rPr>
                <w:rFonts w:cs="宋体"/>
                <w:sz w:val="18"/>
                <w:szCs w:val="18"/>
              </w:rPr>
              <w:t>年化</w:t>
            </w:r>
            <w:r>
              <w:rPr>
                <w:rFonts w:cs="宋体"/>
                <w:sz w:val="18"/>
                <w:szCs w:val="18"/>
              </w:rPr>
              <w:t>)</w:t>
            </w:r>
            <w:r>
              <w:rPr>
                <w:rFonts w:cs="宋体"/>
                <w:sz w:val="18"/>
                <w:szCs w:val="18"/>
              </w:rPr>
              <w:t>。</w:t>
            </w:r>
          </w:p>
          <w:p w:rsidR="002B1050" w:rsidRDefault="00E02DD4">
            <w:pPr>
              <w:spacing w:line="200" w:lineRule="exact"/>
            </w:pPr>
            <w:r>
              <w:rPr>
                <w:rFonts w:cs="宋体"/>
                <w:sz w:val="18"/>
                <w:szCs w:val="18"/>
              </w:rPr>
              <w:t>P</w:t>
            </w:r>
            <w:r>
              <w:rPr>
                <w:rFonts w:cs="宋体"/>
                <w:sz w:val="18"/>
                <w:szCs w:val="18"/>
              </w:rPr>
              <w:t>份额：业绩比较基准为</w:t>
            </w:r>
            <w:r>
              <w:rPr>
                <w:rFonts w:cs="宋体"/>
                <w:sz w:val="18"/>
                <w:szCs w:val="18"/>
              </w:rPr>
              <w:t>1.83%(</w:t>
            </w:r>
            <w:r>
              <w:rPr>
                <w:rFonts w:cs="宋体"/>
                <w:sz w:val="18"/>
                <w:szCs w:val="18"/>
              </w:rPr>
              <w:t>年化</w:t>
            </w:r>
            <w:r>
              <w:rPr>
                <w:rFonts w:cs="宋体"/>
                <w:sz w:val="18"/>
                <w:szCs w:val="18"/>
              </w:rPr>
              <w:t>)</w:t>
            </w:r>
            <w:r>
              <w:rPr>
                <w:rFonts w:cs="宋体"/>
                <w:sz w:val="18"/>
                <w:szCs w:val="18"/>
              </w:rPr>
              <w:t>。</w:t>
            </w:r>
          </w:p>
          <w:p w:rsidR="002B1050" w:rsidRDefault="00E02DD4">
            <w:pPr>
              <w:spacing w:line="200" w:lineRule="exact"/>
            </w:pPr>
            <w:r>
              <w:rPr>
                <w:rFonts w:cs="宋体"/>
                <w:sz w:val="18"/>
                <w:szCs w:val="18"/>
              </w:rPr>
              <w:t>Q</w:t>
            </w:r>
            <w:r>
              <w:rPr>
                <w:rFonts w:cs="宋体"/>
                <w:sz w:val="18"/>
                <w:szCs w:val="18"/>
              </w:rPr>
              <w:t>份额：业绩比较基准为</w:t>
            </w:r>
            <w:r>
              <w:rPr>
                <w:rFonts w:cs="宋体"/>
                <w:sz w:val="18"/>
                <w:szCs w:val="18"/>
              </w:rPr>
              <w:t>1.83%(</w:t>
            </w:r>
            <w:r>
              <w:rPr>
                <w:rFonts w:cs="宋体"/>
                <w:sz w:val="18"/>
                <w:szCs w:val="18"/>
              </w:rPr>
              <w:t>年化</w:t>
            </w:r>
            <w:r>
              <w:rPr>
                <w:rFonts w:cs="宋体"/>
                <w:sz w:val="18"/>
                <w:szCs w:val="18"/>
              </w:rPr>
              <w:t>)</w:t>
            </w:r>
            <w:r>
              <w:rPr>
                <w:rFonts w:cs="宋体"/>
                <w:sz w:val="18"/>
                <w:szCs w:val="18"/>
              </w:rPr>
              <w:t>。</w:t>
            </w:r>
          </w:p>
          <w:p w:rsidR="002B1050" w:rsidRDefault="00E02DD4">
            <w:pPr>
              <w:spacing w:line="200" w:lineRule="exact"/>
            </w:pPr>
            <w:r>
              <w:rPr>
                <w:rFonts w:cs="宋体"/>
                <w:sz w:val="18"/>
                <w:szCs w:val="18"/>
              </w:rPr>
              <w:t>R</w:t>
            </w:r>
            <w:r>
              <w:rPr>
                <w:rFonts w:cs="宋体"/>
                <w:sz w:val="18"/>
                <w:szCs w:val="18"/>
              </w:rPr>
              <w:t>份额：业绩比较基准为</w:t>
            </w:r>
            <w:r>
              <w:rPr>
                <w:rFonts w:cs="宋体"/>
                <w:sz w:val="18"/>
                <w:szCs w:val="18"/>
              </w:rPr>
              <w:t>1.88%(</w:t>
            </w:r>
            <w:r>
              <w:rPr>
                <w:rFonts w:cs="宋体"/>
                <w:sz w:val="18"/>
                <w:szCs w:val="18"/>
              </w:rPr>
              <w:t>年化</w:t>
            </w:r>
            <w:r>
              <w:rPr>
                <w:rFonts w:cs="宋体"/>
                <w:sz w:val="18"/>
                <w:szCs w:val="18"/>
              </w:rPr>
              <w:t>)</w:t>
            </w:r>
            <w:r>
              <w:rPr>
                <w:rFonts w:cs="宋体"/>
                <w:sz w:val="18"/>
                <w:szCs w:val="18"/>
              </w:rPr>
              <w:t>。</w:t>
            </w:r>
          </w:p>
          <w:p w:rsidR="002B1050" w:rsidRDefault="00E02DD4">
            <w:pPr>
              <w:spacing w:line="200" w:lineRule="exact"/>
            </w:pPr>
            <w:r>
              <w:rPr>
                <w:rFonts w:cs="宋体"/>
                <w:sz w:val="18"/>
                <w:szCs w:val="18"/>
              </w:rPr>
              <w:t>Q1</w:t>
            </w:r>
            <w:r>
              <w:rPr>
                <w:rFonts w:cs="宋体"/>
                <w:sz w:val="18"/>
                <w:szCs w:val="18"/>
              </w:rPr>
              <w:t>份额：业绩比较基准为</w:t>
            </w:r>
            <w:r>
              <w:rPr>
                <w:rFonts w:cs="宋体"/>
                <w:sz w:val="18"/>
                <w:szCs w:val="18"/>
              </w:rPr>
              <w:t>1.88%(</w:t>
            </w:r>
            <w:r>
              <w:rPr>
                <w:rFonts w:cs="宋体"/>
                <w:sz w:val="18"/>
                <w:szCs w:val="18"/>
              </w:rPr>
              <w:t>年化</w:t>
            </w:r>
            <w:r>
              <w:rPr>
                <w:rFonts w:cs="宋体"/>
                <w:sz w:val="18"/>
                <w:szCs w:val="18"/>
              </w:rPr>
              <w:t>)</w:t>
            </w:r>
            <w:r>
              <w:rPr>
                <w:rFonts w:cs="宋体"/>
                <w:sz w:val="18"/>
                <w:szCs w:val="18"/>
              </w:rPr>
              <w:t>。</w:t>
            </w:r>
          </w:p>
          <w:p w:rsidR="002B1050" w:rsidRDefault="00E02DD4">
            <w:pPr>
              <w:spacing w:line="200" w:lineRule="exact"/>
            </w:pPr>
            <w:r>
              <w:rPr>
                <w:rFonts w:cs="宋体"/>
                <w:sz w:val="18"/>
                <w:szCs w:val="18"/>
              </w:rPr>
              <w:t>本产品不同份额针对不同的销</w:t>
            </w:r>
            <w:r>
              <w:rPr>
                <w:rFonts w:cs="宋体"/>
                <w:sz w:val="18"/>
                <w:szCs w:val="18"/>
              </w:rPr>
              <w:t>售机构及客群进行销售，设置有不同的销售费和管理费，导致业绩基准测算结果不同。</w:t>
            </w:r>
          </w:p>
          <w:p w:rsidR="002B1050" w:rsidRDefault="00E02DD4">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。结合债券市场和拟投资的非标准化债权类资产的收益和波动水平预判，在本理财产品约定的投资策略基础上，管理人设定了本理财产品投资周期内的业绩比较基准。</w:t>
            </w:r>
          </w:p>
          <w:p w:rsidR="002B1050" w:rsidRDefault="00E02DD4">
            <w:pPr>
              <w:spacing w:line="200" w:lineRule="exact"/>
            </w:pPr>
            <w:r>
              <w:rPr>
                <w:rFonts w:cs="宋体"/>
                <w:b/>
                <w:sz w:val="18"/>
                <w:szCs w:val="18"/>
              </w:rPr>
              <w:t>本理财产品为净值型理财产品，业绩比较基准不是预期收益率，不代表产品的未来表现和实际收</w:t>
            </w:r>
            <w:r>
              <w:rPr>
                <w:rFonts w:cs="宋体"/>
                <w:b/>
                <w:sz w:val="18"/>
                <w:szCs w:val="18"/>
              </w:rPr>
              <w:t>益，不构成对产品收益的承诺。</w:t>
            </w:r>
          </w:p>
        </w:tc>
      </w:tr>
      <w:tr w:rsidR="002B105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1050" w:rsidRDefault="00E02DD4">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rsidR="002B1050" w:rsidRDefault="00E02DD4">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rsidR="002B1050" w:rsidRDefault="00E02DD4">
            <w:pPr>
              <w:spacing w:line="200" w:lineRule="exact"/>
            </w:pPr>
            <w:r>
              <w:rPr>
                <w:rFonts w:cs="宋体"/>
                <w:b/>
                <w:sz w:val="18"/>
                <w:szCs w:val="18"/>
              </w:rPr>
              <w:t>赎回费：本理财产品暂不收取赎回费。</w:t>
            </w:r>
          </w:p>
          <w:p w:rsidR="002B1050" w:rsidRDefault="00E02DD4">
            <w:pPr>
              <w:spacing w:line="200" w:lineRule="exact"/>
            </w:pPr>
            <w:r>
              <w:rPr>
                <w:rFonts w:cs="宋体"/>
                <w:b/>
                <w:sz w:val="18"/>
                <w:szCs w:val="18"/>
              </w:rPr>
              <w:t>销售费：本理财产品按前一日理财产品资产净值收取销售费，按日计提。</w:t>
            </w:r>
          </w:p>
          <w:p w:rsidR="002B1050" w:rsidRDefault="00E02DD4">
            <w:pPr>
              <w:spacing w:line="200" w:lineRule="exact"/>
            </w:pPr>
            <w:r>
              <w:rPr>
                <w:rFonts w:cs="宋体"/>
                <w:b/>
                <w:sz w:val="18"/>
                <w:szCs w:val="18"/>
              </w:rPr>
              <w:t>A</w:t>
            </w:r>
            <w:r>
              <w:rPr>
                <w:rFonts w:cs="宋体"/>
                <w:b/>
                <w:sz w:val="18"/>
                <w:szCs w:val="18"/>
              </w:rPr>
              <w:t>份额：销售费年化</w:t>
            </w:r>
            <w:r>
              <w:rPr>
                <w:rFonts w:cs="宋体"/>
                <w:b/>
                <w:sz w:val="18"/>
                <w:szCs w:val="18"/>
              </w:rPr>
              <w:t>0.2%</w:t>
            </w:r>
          </w:p>
          <w:p w:rsidR="002B1050" w:rsidRDefault="00E02DD4">
            <w:pPr>
              <w:spacing w:line="200" w:lineRule="exact"/>
            </w:pPr>
            <w:r>
              <w:rPr>
                <w:rFonts w:cs="宋体"/>
                <w:b/>
                <w:sz w:val="18"/>
                <w:szCs w:val="18"/>
              </w:rPr>
              <w:t>B</w:t>
            </w:r>
            <w:r>
              <w:rPr>
                <w:rFonts w:cs="宋体"/>
                <w:b/>
                <w:sz w:val="18"/>
                <w:szCs w:val="18"/>
              </w:rPr>
              <w:t>份额：销售费年化</w:t>
            </w:r>
            <w:r>
              <w:rPr>
                <w:rFonts w:cs="宋体"/>
                <w:b/>
                <w:sz w:val="18"/>
                <w:szCs w:val="18"/>
              </w:rPr>
              <w:t>0.15%</w:t>
            </w:r>
          </w:p>
          <w:p w:rsidR="002B1050" w:rsidRDefault="00E02DD4">
            <w:pPr>
              <w:spacing w:line="200" w:lineRule="exact"/>
            </w:pPr>
            <w:r>
              <w:rPr>
                <w:rFonts w:cs="宋体"/>
                <w:b/>
                <w:sz w:val="18"/>
                <w:szCs w:val="18"/>
              </w:rPr>
              <w:t>C</w:t>
            </w:r>
            <w:r>
              <w:rPr>
                <w:rFonts w:cs="宋体"/>
                <w:b/>
                <w:sz w:val="18"/>
                <w:szCs w:val="18"/>
              </w:rPr>
              <w:t>份额：销售费年化</w:t>
            </w:r>
            <w:r>
              <w:rPr>
                <w:rFonts w:cs="宋体"/>
                <w:b/>
                <w:sz w:val="18"/>
                <w:szCs w:val="18"/>
              </w:rPr>
              <w:t>0.05%</w:t>
            </w:r>
          </w:p>
          <w:p w:rsidR="002B1050" w:rsidRDefault="00E02DD4">
            <w:pPr>
              <w:spacing w:line="200" w:lineRule="exact"/>
            </w:pPr>
            <w:r>
              <w:rPr>
                <w:rFonts w:cs="宋体"/>
                <w:b/>
                <w:sz w:val="18"/>
                <w:szCs w:val="18"/>
              </w:rPr>
              <w:t>D</w:t>
            </w:r>
            <w:r>
              <w:rPr>
                <w:rFonts w:cs="宋体"/>
                <w:b/>
                <w:sz w:val="18"/>
                <w:szCs w:val="18"/>
              </w:rPr>
              <w:t>份额：销售费年化</w:t>
            </w:r>
            <w:r>
              <w:rPr>
                <w:rFonts w:cs="宋体"/>
                <w:b/>
                <w:sz w:val="18"/>
                <w:szCs w:val="18"/>
              </w:rPr>
              <w:t>0%</w:t>
            </w:r>
          </w:p>
          <w:p w:rsidR="002B1050" w:rsidRDefault="00E02DD4">
            <w:pPr>
              <w:spacing w:line="200" w:lineRule="exact"/>
            </w:pPr>
            <w:r>
              <w:rPr>
                <w:rFonts w:cs="宋体"/>
                <w:b/>
                <w:sz w:val="18"/>
                <w:szCs w:val="18"/>
              </w:rPr>
              <w:t>E</w:t>
            </w:r>
            <w:r>
              <w:rPr>
                <w:rFonts w:cs="宋体"/>
                <w:b/>
                <w:sz w:val="18"/>
                <w:szCs w:val="18"/>
              </w:rPr>
              <w:t>份额：销售费年化</w:t>
            </w:r>
            <w:r>
              <w:rPr>
                <w:rFonts w:cs="宋体"/>
                <w:b/>
                <w:sz w:val="18"/>
                <w:szCs w:val="18"/>
              </w:rPr>
              <w:t>0.1%</w:t>
            </w:r>
          </w:p>
          <w:p w:rsidR="002B1050" w:rsidRDefault="00E02DD4">
            <w:pPr>
              <w:spacing w:line="200" w:lineRule="exact"/>
            </w:pPr>
            <w:r>
              <w:rPr>
                <w:rFonts w:cs="宋体"/>
                <w:b/>
                <w:sz w:val="18"/>
                <w:szCs w:val="18"/>
              </w:rPr>
              <w:t>H</w:t>
            </w:r>
            <w:r>
              <w:rPr>
                <w:rFonts w:cs="宋体"/>
                <w:b/>
                <w:sz w:val="18"/>
                <w:szCs w:val="18"/>
              </w:rPr>
              <w:t>份额：销售费年化</w:t>
            </w:r>
            <w:r>
              <w:rPr>
                <w:rFonts w:cs="宋体"/>
                <w:b/>
                <w:sz w:val="18"/>
                <w:szCs w:val="18"/>
              </w:rPr>
              <w:t>0.15%</w:t>
            </w:r>
          </w:p>
          <w:p w:rsidR="002B1050" w:rsidRDefault="00E02DD4">
            <w:pPr>
              <w:spacing w:line="200" w:lineRule="exact"/>
            </w:pPr>
            <w:r>
              <w:rPr>
                <w:rFonts w:cs="宋体"/>
                <w:b/>
                <w:sz w:val="18"/>
                <w:szCs w:val="18"/>
              </w:rPr>
              <w:t>J</w:t>
            </w:r>
            <w:r>
              <w:rPr>
                <w:rFonts w:cs="宋体"/>
                <w:b/>
                <w:sz w:val="18"/>
                <w:szCs w:val="18"/>
              </w:rPr>
              <w:t>份额：销售费年化</w:t>
            </w:r>
            <w:r>
              <w:rPr>
                <w:rFonts w:cs="宋体"/>
                <w:b/>
                <w:sz w:val="18"/>
                <w:szCs w:val="18"/>
              </w:rPr>
              <w:t>0.2%</w:t>
            </w:r>
          </w:p>
          <w:p w:rsidR="002B1050" w:rsidRDefault="00E02DD4">
            <w:pPr>
              <w:spacing w:line="200" w:lineRule="exact"/>
            </w:pPr>
            <w:r>
              <w:rPr>
                <w:rFonts w:cs="宋体"/>
                <w:b/>
                <w:sz w:val="18"/>
                <w:szCs w:val="18"/>
              </w:rPr>
              <w:t>K</w:t>
            </w:r>
            <w:r>
              <w:rPr>
                <w:rFonts w:cs="宋体"/>
                <w:b/>
                <w:sz w:val="18"/>
                <w:szCs w:val="18"/>
              </w:rPr>
              <w:t>份额：销售费年化</w:t>
            </w:r>
            <w:r>
              <w:rPr>
                <w:rFonts w:cs="宋体"/>
                <w:b/>
                <w:sz w:val="18"/>
                <w:szCs w:val="18"/>
              </w:rPr>
              <w:t>0.05%</w:t>
            </w:r>
          </w:p>
          <w:p w:rsidR="002B1050" w:rsidRDefault="00E02DD4">
            <w:pPr>
              <w:spacing w:line="200" w:lineRule="exact"/>
            </w:pPr>
            <w:r>
              <w:rPr>
                <w:rFonts w:cs="宋体"/>
                <w:b/>
                <w:sz w:val="18"/>
                <w:szCs w:val="18"/>
              </w:rPr>
              <w:t>L</w:t>
            </w:r>
            <w:r>
              <w:rPr>
                <w:rFonts w:cs="宋体"/>
                <w:b/>
                <w:sz w:val="18"/>
                <w:szCs w:val="18"/>
              </w:rPr>
              <w:t>份额：销售费年化</w:t>
            </w:r>
            <w:r>
              <w:rPr>
                <w:rFonts w:cs="宋体"/>
                <w:b/>
                <w:sz w:val="18"/>
                <w:szCs w:val="18"/>
              </w:rPr>
              <w:t>0.05%</w:t>
            </w:r>
          </w:p>
          <w:p w:rsidR="002B1050" w:rsidRDefault="00E02DD4">
            <w:pPr>
              <w:spacing w:line="200" w:lineRule="exact"/>
            </w:pPr>
            <w:r>
              <w:rPr>
                <w:rFonts w:cs="宋体"/>
                <w:b/>
                <w:sz w:val="18"/>
                <w:szCs w:val="18"/>
              </w:rPr>
              <w:t>P</w:t>
            </w:r>
            <w:r>
              <w:rPr>
                <w:rFonts w:cs="宋体"/>
                <w:b/>
                <w:sz w:val="18"/>
                <w:szCs w:val="18"/>
              </w:rPr>
              <w:t>份额：销售费年化</w:t>
            </w:r>
            <w:r>
              <w:rPr>
                <w:rFonts w:cs="宋体"/>
                <w:b/>
                <w:sz w:val="18"/>
                <w:szCs w:val="18"/>
              </w:rPr>
              <w:t>0.15%</w:t>
            </w:r>
          </w:p>
          <w:p w:rsidR="002B1050" w:rsidRDefault="00E02DD4">
            <w:pPr>
              <w:spacing w:line="200" w:lineRule="exact"/>
            </w:pPr>
            <w:r>
              <w:rPr>
                <w:rFonts w:cs="宋体"/>
                <w:b/>
                <w:sz w:val="18"/>
                <w:szCs w:val="18"/>
              </w:rPr>
              <w:t>Q</w:t>
            </w:r>
            <w:r>
              <w:rPr>
                <w:rFonts w:cs="宋体"/>
                <w:b/>
                <w:sz w:val="18"/>
                <w:szCs w:val="18"/>
              </w:rPr>
              <w:t>份额：销售费年化</w:t>
            </w:r>
            <w:r>
              <w:rPr>
                <w:rFonts w:cs="宋体"/>
                <w:b/>
                <w:sz w:val="18"/>
                <w:szCs w:val="18"/>
              </w:rPr>
              <w:t>0.15%</w:t>
            </w:r>
          </w:p>
          <w:p w:rsidR="002B1050" w:rsidRDefault="00E02DD4">
            <w:pPr>
              <w:spacing w:line="200" w:lineRule="exact"/>
            </w:pPr>
            <w:r>
              <w:rPr>
                <w:rFonts w:cs="宋体"/>
                <w:b/>
                <w:sz w:val="18"/>
                <w:szCs w:val="18"/>
              </w:rPr>
              <w:t>R</w:t>
            </w:r>
            <w:r>
              <w:rPr>
                <w:rFonts w:cs="宋体"/>
                <w:b/>
                <w:sz w:val="18"/>
                <w:szCs w:val="18"/>
              </w:rPr>
              <w:t>份额：销售费年化</w:t>
            </w:r>
            <w:r>
              <w:rPr>
                <w:rFonts w:cs="宋体"/>
                <w:b/>
                <w:sz w:val="18"/>
                <w:szCs w:val="18"/>
              </w:rPr>
              <w:t>0.1%</w:t>
            </w:r>
          </w:p>
          <w:p w:rsidR="002B1050" w:rsidRDefault="00E02DD4">
            <w:pPr>
              <w:spacing w:line="200" w:lineRule="exact"/>
            </w:pPr>
            <w:r>
              <w:rPr>
                <w:rFonts w:cs="宋体"/>
                <w:b/>
                <w:sz w:val="18"/>
                <w:szCs w:val="18"/>
              </w:rPr>
              <w:t>Q1</w:t>
            </w:r>
            <w:r>
              <w:rPr>
                <w:rFonts w:cs="宋体"/>
                <w:b/>
                <w:sz w:val="18"/>
                <w:szCs w:val="18"/>
              </w:rPr>
              <w:t>份额：销售费年化</w:t>
            </w:r>
            <w:r>
              <w:rPr>
                <w:rFonts w:cs="宋体"/>
                <w:b/>
                <w:sz w:val="18"/>
                <w:szCs w:val="18"/>
              </w:rPr>
              <w:t>0.15%</w:t>
            </w:r>
          </w:p>
          <w:p w:rsidR="002B1050" w:rsidRDefault="00E02DD4">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年化销售费率</w:t>
            </w:r>
            <w:r>
              <w:rPr>
                <w:rFonts w:cs="宋体"/>
                <w:b/>
                <w:sz w:val="18"/>
                <w:szCs w:val="18"/>
              </w:rPr>
              <w:t>÷365</w:t>
            </w:r>
          </w:p>
          <w:p w:rsidR="002B1050" w:rsidRDefault="00E02DD4">
            <w:pPr>
              <w:spacing w:line="200" w:lineRule="exact"/>
            </w:pPr>
            <w:r>
              <w:rPr>
                <w:rFonts w:cs="宋体"/>
                <w:b/>
                <w:sz w:val="18"/>
                <w:szCs w:val="18"/>
              </w:rPr>
              <w:t>固定管理费：本理财产品按前一日理财产品资产净值收取固定管理费，按日计提。</w:t>
            </w:r>
          </w:p>
          <w:p w:rsidR="002B1050" w:rsidRDefault="00E02DD4">
            <w:pPr>
              <w:spacing w:line="200" w:lineRule="exact"/>
            </w:pPr>
            <w:r>
              <w:rPr>
                <w:rFonts w:cs="宋体"/>
                <w:b/>
                <w:sz w:val="18"/>
                <w:szCs w:val="18"/>
              </w:rPr>
              <w:t>A</w:t>
            </w:r>
            <w:r>
              <w:rPr>
                <w:rFonts w:cs="宋体"/>
                <w:b/>
                <w:sz w:val="18"/>
                <w:szCs w:val="18"/>
              </w:rPr>
              <w:t>份额：固定管理费年化</w:t>
            </w:r>
            <w:r>
              <w:rPr>
                <w:rFonts w:cs="宋体"/>
                <w:b/>
                <w:sz w:val="18"/>
                <w:szCs w:val="18"/>
              </w:rPr>
              <w:t>0.15%</w:t>
            </w:r>
          </w:p>
          <w:p w:rsidR="002B1050" w:rsidRDefault="00E02DD4">
            <w:pPr>
              <w:spacing w:line="200" w:lineRule="exact"/>
            </w:pPr>
            <w:r>
              <w:rPr>
                <w:rFonts w:cs="宋体"/>
                <w:b/>
                <w:sz w:val="18"/>
                <w:szCs w:val="18"/>
              </w:rPr>
              <w:t>B</w:t>
            </w:r>
            <w:r>
              <w:rPr>
                <w:rFonts w:cs="宋体"/>
                <w:b/>
                <w:sz w:val="18"/>
                <w:szCs w:val="18"/>
              </w:rPr>
              <w:t>份额：固定管理费年化</w:t>
            </w:r>
            <w:r>
              <w:rPr>
                <w:rFonts w:cs="宋体"/>
                <w:b/>
                <w:sz w:val="18"/>
                <w:szCs w:val="18"/>
              </w:rPr>
              <w:t>0.1%</w:t>
            </w:r>
          </w:p>
          <w:p w:rsidR="002B1050" w:rsidRDefault="00E02DD4">
            <w:pPr>
              <w:spacing w:line="200" w:lineRule="exact"/>
            </w:pPr>
            <w:r>
              <w:rPr>
                <w:rFonts w:cs="宋体"/>
                <w:b/>
                <w:sz w:val="18"/>
                <w:szCs w:val="18"/>
              </w:rPr>
              <w:t>C</w:t>
            </w:r>
            <w:r>
              <w:rPr>
                <w:rFonts w:cs="宋体"/>
                <w:b/>
                <w:sz w:val="18"/>
                <w:szCs w:val="18"/>
              </w:rPr>
              <w:t>份额：固定管理费年化</w:t>
            </w:r>
            <w:r>
              <w:rPr>
                <w:rFonts w:cs="宋体"/>
                <w:b/>
                <w:sz w:val="18"/>
                <w:szCs w:val="18"/>
              </w:rPr>
              <w:t>0.1%</w:t>
            </w:r>
          </w:p>
          <w:p w:rsidR="002B1050" w:rsidRDefault="00E02DD4">
            <w:pPr>
              <w:spacing w:line="200" w:lineRule="exact"/>
            </w:pPr>
            <w:r>
              <w:rPr>
                <w:rFonts w:cs="宋体"/>
                <w:b/>
                <w:sz w:val="18"/>
                <w:szCs w:val="18"/>
              </w:rPr>
              <w:t>D</w:t>
            </w:r>
            <w:r>
              <w:rPr>
                <w:rFonts w:cs="宋体"/>
                <w:b/>
                <w:sz w:val="18"/>
                <w:szCs w:val="18"/>
              </w:rPr>
              <w:t>份额：固定管理费年化</w:t>
            </w:r>
            <w:r>
              <w:rPr>
                <w:rFonts w:cs="宋体"/>
                <w:b/>
                <w:sz w:val="18"/>
                <w:szCs w:val="18"/>
              </w:rPr>
              <w:t>0.1%</w:t>
            </w:r>
          </w:p>
          <w:p w:rsidR="002B1050" w:rsidRDefault="00E02DD4">
            <w:pPr>
              <w:spacing w:line="200" w:lineRule="exact"/>
            </w:pPr>
            <w:r>
              <w:rPr>
                <w:rFonts w:cs="宋体"/>
                <w:b/>
                <w:sz w:val="18"/>
                <w:szCs w:val="18"/>
              </w:rPr>
              <w:t>E</w:t>
            </w:r>
            <w:r>
              <w:rPr>
                <w:rFonts w:cs="宋体"/>
                <w:b/>
                <w:sz w:val="18"/>
                <w:szCs w:val="18"/>
              </w:rPr>
              <w:t>份额：固定管理费年化</w:t>
            </w:r>
            <w:r>
              <w:rPr>
                <w:rFonts w:cs="宋体"/>
                <w:b/>
                <w:sz w:val="18"/>
                <w:szCs w:val="18"/>
              </w:rPr>
              <w:t>0.1%</w:t>
            </w:r>
          </w:p>
          <w:p w:rsidR="002B1050" w:rsidRDefault="00E02DD4">
            <w:pPr>
              <w:spacing w:line="200" w:lineRule="exact"/>
            </w:pPr>
            <w:r>
              <w:rPr>
                <w:rFonts w:cs="宋体"/>
                <w:b/>
                <w:sz w:val="18"/>
                <w:szCs w:val="18"/>
              </w:rPr>
              <w:t>H</w:t>
            </w:r>
            <w:r>
              <w:rPr>
                <w:rFonts w:cs="宋体"/>
                <w:b/>
                <w:sz w:val="18"/>
                <w:szCs w:val="18"/>
              </w:rPr>
              <w:t>份额：固定管理费年化</w:t>
            </w:r>
            <w:r>
              <w:rPr>
                <w:rFonts w:cs="宋体"/>
                <w:b/>
                <w:sz w:val="18"/>
                <w:szCs w:val="18"/>
              </w:rPr>
              <w:t>0.1%</w:t>
            </w:r>
          </w:p>
          <w:p w:rsidR="002B1050" w:rsidRDefault="00E02DD4">
            <w:pPr>
              <w:spacing w:line="200" w:lineRule="exact"/>
            </w:pPr>
            <w:r>
              <w:rPr>
                <w:rFonts w:cs="宋体"/>
                <w:b/>
                <w:sz w:val="18"/>
                <w:szCs w:val="18"/>
              </w:rPr>
              <w:t>J</w:t>
            </w:r>
            <w:r>
              <w:rPr>
                <w:rFonts w:cs="宋体"/>
                <w:b/>
                <w:sz w:val="18"/>
                <w:szCs w:val="18"/>
              </w:rPr>
              <w:t>份额：固定管理费年化</w:t>
            </w:r>
            <w:r>
              <w:rPr>
                <w:rFonts w:cs="宋体"/>
                <w:b/>
                <w:sz w:val="18"/>
                <w:szCs w:val="18"/>
              </w:rPr>
              <w:t>0.15%</w:t>
            </w:r>
          </w:p>
          <w:p w:rsidR="002B1050" w:rsidRDefault="00E02DD4">
            <w:pPr>
              <w:spacing w:line="200" w:lineRule="exact"/>
            </w:pPr>
            <w:r>
              <w:rPr>
                <w:rFonts w:cs="宋体"/>
                <w:b/>
                <w:sz w:val="18"/>
                <w:szCs w:val="18"/>
              </w:rPr>
              <w:t>K</w:t>
            </w:r>
            <w:r>
              <w:rPr>
                <w:rFonts w:cs="宋体"/>
                <w:b/>
                <w:sz w:val="18"/>
                <w:szCs w:val="18"/>
              </w:rPr>
              <w:t>份额：固定管理费年化</w:t>
            </w:r>
            <w:r>
              <w:rPr>
                <w:rFonts w:cs="宋体"/>
                <w:b/>
                <w:sz w:val="18"/>
                <w:szCs w:val="18"/>
              </w:rPr>
              <w:t>0.05%</w:t>
            </w:r>
          </w:p>
          <w:p w:rsidR="002B1050" w:rsidRDefault="00E02DD4">
            <w:pPr>
              <w:spacing w:line="200" w:lineRule="exact"/>
            </w:pPr>
            <w:r>
              <w:rPr>
                <w:rFonts w:cs="宋体"/>
                <w:b/>
                <w:sz w:val="18"/>
                <w:szCs w:val="18"/>
              </w:rPr>
              <w:t>L</w:t>
            </w:r>
            <w:r>
              <w:rPr>
                <w:rFonts w:cs="宋体"/>
                <w:b/>
                <w:sz w:val="18"/>
                <w:szCs w:val="18"/>
              </w:rPr>
              <w:t>份额：固定管理费年化</w:t>
            </w:r>
            <w:r>
              <w:rPr>
                <w:rFonts w:cs="宋体"/>
                <w:b/>
                <w:sz w:val="18"/>
                <w:szCs w:val="18"/>
              </w:rPr>
              <w:t>0.05%</w:t>
            </w:r>
          </w:p>
          <w:p w:rsidR="002B1050" w:rsidRDefault="00E02DD4">
            <w:pPr>
              <w:spacing w:line="200" w:lineRule="exact"/>
            </w:pPr>
            <w:r>
              <w:rPr>
                <w:rFonts w:cs="宋体"/>
                <w:b/>
                <w:sz w:val="18"/>
                <w:szCs w:val="18"/>
              </w:rPr>
              <w:t>P</w:t>
            </w:r>
            <w:r>
              <w:rPr>
                <w:rFonts w:cs="宋体"/>
                <w:b/>
                <w:sz w:val="18"/>
                <w:szCs w:val="18"/>
              </w:rPr>
              <w:t>份额：固定管理费</w:t>
            </w:r>
            <w:r>
              <w:rPr>
                <w:rFonts w:cs="宋体"/>
                <w:b/>
                <w:sz w:val="18"/>
                <w:szCs w:val="18"/>
              </w:rPr>
              <w:t>年化</w:t>
            </w:r>
            <w:r>
              <w:rPr>
                <w:rFonts w:cs="宋体"/>
                <w:b/>
                <w:sz w:val="18"/>
                <w:szCs w:val="18"/>
              </w:rPr>
              <w:t>0.15%</w:t>
            </w:r>
          </w:p>
          <w:p w:rsidR="002B1050" w:rsidRDefault="00E02DD4">
            <w:pPr>
              <w:spacing w:line="200" w:lineRule="exact"/>
            </w:pPr>
            <w:r>
              <w:rPr>
                <w:rFonts w:cs="宋体"/>
                <w:b/>
                <w:sz w:val="18"/>
                <w:szCs w:val="18"/>
              </w:rPr>
              <w:t>Q</w:t>
            </w:r>
            <w:r>
              <w:rPr>
                <w:rFonts w:cs="宋体"/>
                <w:b/>
                <w:sz w:val="18"/>
                <w:szCs w:val="18"/>
              </w:rPr>
              <w:t>份额：固定管理费年化</w:t>
            </w:r>
            <w:r>
              <w:rPr>
                <w:rFonts w:cs="宋体"/>
                <w:b/>
                <w:sz w:val="18"/>
                <w:szCs w:val="18"/>
              </w:rPr>
              <w:t>0.15%</w:t>
            </w:r>
          </w:p>
          <w:p w:rsidR="002B1050" w:rsidRDefault="00E02DD4">
            <w:pPr>
              <w:spacing w:line="200" w:lineRule="exact"/>
            </w:pPr>
            <w:r>
              <w:rPr>
                <w:rFonts w:cs="宋体"/>
                <w:b/>
                <w:sz w:val="18"/>
                <w:szCs w:val="18"/>
              </w:rPr>
              <w:t>R</w:t>
            </w:r>
            <w:r>
              <w:rPr>
                <w:rFonts w:cs="宋体"/>
                <w:b/>
                <w:sz w:val="18"/>
                <w:szCs w:val="18"/>
              </w:rPr>
              <w:t>份额：固定管理费年化</w:t>
            </w:r>
            <w:r>
              <w:rPr>
                <w:rFonts w:cs="宋体"/>
                <w:b/>
                <w:sz w:val="18"/>
                <w:szCs w:val="18"/>
              </w:rPr>
              <w:t>0.15%</w:t>
            </w:r>
          </w:p>
          <w:p w:rsidR="002B1050" w:rsidRDefault="00E02DD4">
            <w:pPr>
              <w:spacing w:line="200" w:lineRule="exact"/>
            </w:pPr>
            <w:r>
              <w:rPr>
                <w:rFonts w:cs="宋体"/>
                <w:b/>
                <w:sz w:val="18"/>
                <w:szCs w:val="18"/>
              </w:rPr>
              <w:t>Q1</w:t>
            </w:r>
            <w:r>
              <w:rPr>
                <w:rFonts w:cs="宋体"/>
                <w:b/>
                <w:sz w:val="18"/>
                <w:szCs w:val="18"/>
              </w:rPr>
              <w:t>份额：固定管理费年化</w:t>
            </w:r>
            <w:r>
              <w:rPr>
                <w:rFonts w:cs="宋体"/>
                <w:b/>
                <w:sz w:val="18"/>
                <w:szCs w:val="18"/>
              </w:rPr>
              <w:t>0.1%</w:t>
            </w:r>
          </w:p>
          <w:p w:rsidR="002B1050" w:rsidRDefault="00E02DD4">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年化固定管理费率</w:t>
            </w:r>
            <w:r>
              <w:rPr>
                <w:rFonts w:cs="宋体"/>
                <w:b/>
                <w:sz w:val="18"/>
                <w:szCs w:val="18"/>
              </w:rPr>
              <w:t>÷365</w:t>
            </w:r>
          </w:p>
          <w:p w:rsidR="002B1050" w:rsidRDefault="00E02DD4">
            <w:pPr>
              <w:spacing w:line="200" w:lineRule="exact"/>
            </w:pPr>
            <w:r>
              <w:rPr>
                <w:rFonts w:cs="宋体"/>
                <w:b/>
                <w:sz w:val="18"/>
                <w:szCs w:val="18"/>
              </w:rPr>
              <w:t>托管费：</w:t>
            </w:r>
          </w:p>
          <w:p w:rsidR="002B1050" w:rsidRDefault="00E02DD4">
            <w:pPr>
              <w:spacing w:line="200" w:lineRule="exact"/>
            </w:pPr>
            <w:r>
              <w:rPr>
                <w:rFonts w:cs="宋体"/>
                <w:b/>
                <w:sz w:val="18"/>
                <w:szCs w:val="18"/>
              </w:rPr>
              <w:t>本理财产品按前一日理财产品资产净值收取年化</w:t>
            </w:r>
            <w:r>
              <w:rPr>
                <w:rFonts w:cs="宋体"/>
                <w:b/>
                <w:sz w:val="18"/>
                <w:szCs w:val="18"/>
              </w:rPr>
              <w:t>0.02%</w:t>
            </w:r>
            <w:r>
              <w:rPr>
                <w:rFonts w:cs="宋体"/>
                <w:b/>
                <w:sz w:val="18"/>
                <w:szCs w:val="18"/>
              </w:rPr>
              <w:t>的托管费，按日计提。</w:t>
            </w:r>
          </w:p>
          <w:p w:rsidR="002B1050" w:rsidRDefault="00E02DD4">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年化托管费率</w:t>
            </w:r>
            <w:r>
              <w:rPr>
                <w:rFonts w:cs="宋体"/>
                <w:b/>
                <w:sz w:val="18"/>
                <w:szCs w:val="18"/>
              </w:rPr>
              <w:t>÷365</w:t>
            </w:r>
          </w:p>
          <w:p w:rsidR="002B1050" w:rsidRDefault="00E02DD4">
            <w:pPr>
              <w:spacing w:line="200" w:lineRule="exact"/>
            </w:pPr>
            <w:r>
              <w:rPr>
                <w:rFonts w:cs="宋体"/>
                <w:b/>
                <w:sz w:val="18"/>
                <w:szCs w:val="18"/>
              </w:rPr>
              <w:t>业绩报酬：</w:t>
            </w:r>
          </w:p>
          <w:p w:rsidR="002B1050" w:rsidRDefault="00E02DD4">
            <w:pPr>
              <w:spacing w:line="200" w:lineRule="exact"/>
            </w:pPr>
            <w:r>
              <w:rPr>
                <w:rFonts w:cs="宋体"/>
                <w:b/>
                <w:sz w:val="18"/>
                <w:szCs w:val="18"/>
              </w:rPr>
              <w:t>A</w:t>
            </w:r>
            <w:r>
              <w:rPr>
                <w:rFonts w:cs="宋体"/>
                <w:b/>
                <w:sz w:val="18"/>
                <w:szCs w:val="18"/>
              </w:rPr>
              <w:t>份额：到期兑付时，当期产品投资的实际资产组合收益（扣除销售费、固定管理费、托管费等相关费用）超过</w:t>
            </w:r>
            <w:r>
              <w:rPr>
                <w:rFonts w:cs="宋体"/>
                <w:b/>
                <w:sz w:val="18"/>
                <w:szCs w:val="18"/>
              </w:rPr>
              <w:t>1.78%</w:t>
            </w:r>
            <w:r>
              <w:rPr>
                <w:rFonts w:cs="宋体"/>
                <w:b/>
                <w:sz w:val="18"/>
                <w:szCs w:val="18"/>
              </w:rPr>
              <w:t>（年化，即产品该份额对应的业绩报酬计提基准）时，超过部</w:t>
            </w:r>
            <w:r>
              <w:rPr>
                <w:rFonts w:cs="宋体"/>
                <w:b/>
                <w:sz w:val="18"/>
                <w:szCs w:val="18"/>
              </w:rPr>
              <w:t>分管理人将按</w:t>
            </w:r>
            <w:r>
              <w:rPr>
                <w:rFonts w:cs="宋体"/>
                <w:b/>
                <w:sz w:val="18"/>
                <w:szCs w:val="18"/>
              </w:rPr>
              <w:t>60%</w:t>
            </w:r>
            <w:r>
              <w:rPr>
                <w:rFonts w:cs="宋体"/>
                <w:b/>
                <w:sz w:val="18"/>
                <w:szCs w:val="18"/>
              </w:rPr>
              <w:t>收取业绩报酬。</w:t>
            </w:r>
          </w:p>
          <w:p w:rsidR="002B1050" w:rsidRDefault="00E02DD4">
            <w:pPr>
              <w:spacing w:line="200" w:lineRule="exact"/>
            </w:pPr>
            <w:r>
              <w:rPr>
                <w:rFonts w:cs="宋体"/>
                <w:b/>
                <w:sz w:val="18"/>
                <w:szCs w:val="18"/>
              </w:rPr>
              <w:t>B</w:t>
            </w:r>
            <w:r>
              <w:rPr>
                <w:rFonts w:cs="宋体"/>
                <w:b/>
                <w:sz w:val="18"/>
                <w:szCs w:val="18"/>
              </w:rPr>
              <w:t>份额：到期兑付时，当期产品投资的实际资产组合收益（扣除销售费、固定管理费、托管费等相关费用）超过</w:t>
            </w:r>
            <w:r>
              <w:rPr>
                <w:rFonts w:cs="宋体"/>
                <w:b/>
                <w:sz w:val="18"/>
                <w:szCs w:val="18"/>
              </w:rPr>
              <w:t>1.88%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2B1050" w:rsidRDefault="00E02DD4">
            <w:pPr>
              <w:spacing w:line="200" w:lineRule="exact"/>
            </w:pPr>
            <w:r>
              <w:rPr>
                <w:rFonts w:cs="宋体"/>
                <w:b/>
                <w:sz w:val="18"/>
                <w:szCs w:val="18"/>
              </w:rPr>
              <w:t>C</w:t>
            </w:r>
            <w:r>
              <w:rPr>
                <w:rFonts w:cs="宋体"/>
                <w:b/>
                <w:sz w:val="18"/>
                <w:szCs w:val="18"/>
              </w:rPr>
              <w:t>份额：到期兑付时，当期产品投资的实际资产组合收益（扣除销售费、固定管理费、托管费等相关费用）超过</w:t>
            </w:r>
            <w:r>
              <w:rPr>
                <w:rFonts w:cs="宋体"/>
                <w:b/>
                <w:sz w:val="18"/>
                <w:szCs w:val="18"/>
              </w:rPr>
              <w:t>1.98%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2B1050" w:rsidRDefault="00E02DD4">
            <w:pPr>
              <w:spacing w:line="200" w:lineRule="exact"/>
            </w:pPr>
            <w:r>
              <w:rPr>
                <w:rFonts w:cs="宋体"/>
                <w:b/>
                <w:sz w:val="18"/>
                <w:szCs w:val="18"/>
              </w:rPr>
              <w:t>D</w:t>
            </w:r>
            <w:r>
              <w:rPr>
                <w:rFonts w:cs="宋体"/>
                <w:b/>
                <w:sz w:val="18"/>
                <w:szCs w:val="18"/>
              </w:rPr>
              <w:t>份额：到期兑付时，当期产品投资的实际资产组合收益（扣除销售费、固定管理费、托管费等相关费用）超过</w:t>
            </w:r>
            <w:r>
              <w:rPr>
                <w:rFonts w:cs="宋体"/>
                <w:b/>
                <w:sz w:val="18"/>
                <w:szCs w:val="18"/>
              </w:rPr>
              <w:t>2.03%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2B1050" w:rsidRDefault="00E02DD4">
            <w:pPr>
              <w:spacing w:line="200" w:lineRule="exact"/>
            </w:pPr>
            <w:r>
              <w:rPr>
                <w:rFonts w:cs="宋体"/>
                <w:b/>
                <w:sz w:val="18"/>
                <w:szCs w:val="18"/>
              </w:rPr>
              <w:t>E</w:t>
            </w:r>
            <w:r>
              <w:rPr>
                <w:rFonts w:cs="宋体"/>
                <w:b/>
                <w:sz w:val="18"/>
                <w:szCs w:val="18"/>
              </w:rPr>
              <w:t>份额：到期兑付时，当期产品投资的实际资产组合收益（扣除销售费、固定管理费、托管费等相关费用）超过</w:t>
            </w:r>
            <w:r>
              <w:rPr>
                <w:rFonts w:cs="宋体"/>
                <w:b/>
                <w:sz w:val="18"/>
                <w:szCs w:val="18"/>
              </w:rPr>
              <w:t>1.93%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2B1050" w:rsidRDefault="00E02DD4">
            <w:pPr>
              <w:spacing w:line="200" w:lineRule="exact"/>
            </w:pPr>
            <w:r>
              <w:rPr>
                <w:rFonts w:cs="宋体"/>
                <w:b/>
                <w:sz w:val="18"/>
                <w:szCs w:val="18"/>
              </w:rPr>
              <w:t>H</w:t>
            </w:r>
            <w:r>
              <w:rPr>
                <w:rFonts w:cs="宋体"/>
                <w:b/>
                <w:sz w:val="18"/>
                <w:szCs w:val="18"/>
              </w:rPr>
              <w:t>份额：到期兑付时，当期产品投资的实际资产组合收益（扣除销售费、固定管理费、托管费等相关费用）超过</w:t>
            </w:r>
            <w:r>
              <w:rPr>
                <w:rFonts w:cs="宋体"/>
                <w:b/>
                <w:sz w:val="18"/>
                <w:szCs w:val="18"/>
              </w:rPr>
              <w:t>1.88%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2B1050" w:rsidRDefault="00E02DD4">
            <w:pPr>
              <w:spacing w:line="200" w:lineRule="exact"/>
            </w:pPr>
            <w:r>
              <w:rPr>
                <w:rFonts w:cs="宋体"/>
                <w:b/>
                <w:sz w:val="18"/>
                <w:szCs w:val="18"/>
              </w:rPr>
              <w:t>J</w:t>
            </w:r>
            <w:r>
              <w:rPr>
                <w:rFonts w:cs="宋体"/>
                <w:b/>
                <w:sz w:val="18"/>
                <w:szCs w:val="18"/>
              </w:rPr>
              <w:t>份额：到期兑付时，当期产品投资的实际资产组合收益（扣除销售费、固定管理费、托管费等相关费用）超过</w:t>
            </w:r>
            <w:r>
              <w:rPr>
                <w:rFonts w:cs="宋体"/>
                <w:b/>
                <w:sz w:val="18"/>
                <w:szCs w:val="18"/>
              </w:rPr>
              <w:t>1.78%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2B1050" w:rsidRDefault="00E02DD4">
            <w:pPr>
              <w:spacing w:line="200" w:lineRule="exact"/>
            </w:pPr>
            <w:r>
              <w:rPr>
                <w:rFonts w:cs="宋体"/>
                <w:b/>
                <w:sz w:val="18"/>
                <w:szCs w:val="18"/>
              </w:rPr>
              <w:t>K</w:t>
            </w:r>
            <w:r>
              <w:rPr>
                <w:rFonts w:cs="宋体"/>
                <w:b/>
                <w:sz w:val="18"/>
                <w:szCs w:val="18"/>
              </w:rPr>
              <w:t>份额：到期兑付时，当期产品投资的实际资产组合收益（扣除销售费、固定管理费、托管费等相关费用）超过</w:t>
            </w:r>
            <w:r>
              <w:rPr>
                <w:rFonts w:cs="宋体"/>
                <w:b/>
                <w:sz w:val="18"/>
                <w:szCs w:val="18"/>
              </w:rPr>
              <w:t>2.03%</w:t>
            </w:r>
            <w:r>
              <w:rPr>
                <w:rFonts w:cs="宋体"/>
                <w:b/>
                <w:sz w:val="18"/>
                <w:szCs w:val="18"/>
              </w:rPr>
              <w:t>（年化，即产</w:t>
            </w:r>
            <w:r>
              <w:rPr>
                <w:rFonts w:cs="宋体"/>
                <w:b/>
                <w:sz w:val="18"/>
                <w:szCs w:val="18"/>
              </w:rPr>
              <w:t>品该份额对应的业绩报酬计提基准）时，超过部分管理人将按</w:t>
            </w:r>
            <w:r>
              <w:rPr>
                <w:rFonts w:cs="宋体"/>
                <w:b/>
                <w:sz w:val="18"/>
                <w:szCs w:val="18"/>
              </w:rPr>
              <w:t>60%</w:t>
            </w:r>
            <w:r>
              <w:rPr>
                <w:rFonts w:cs="宋体"/>
                <w:b/>
                <w:sz w:val="18"/>
                <w:szCs w:val="18"/>
              </w:rPr>
              <w:t>收取业绩报酬。</w:t>
            </w:r>
          </w:p>
          <w:p w:rsidR="002B1050" w:rsidRDefault="00E02DD4">
            <w:pPr>
              <w:spacing w:line="200" w:lineRule="exact"/>
            </w:pPr>
            <w:r>
              <w:rPr>
                <w:rFonts w:cs="宋体"/>
                <w:b/>
                <w:sz w:val="18"/>
                <w:szCs w:val="18"/>
              </w:rPr>
              <w:t>L</w:t>
            </w:r>
            <w:r>
              <w:rPr>
                <w:rFonts w:cs="宋体"/>
                <w:b/>
                <w:sz w:val="18"/>
                <w:szCs w:val="18"/>
              </w:rPr>
              <w:t>份额：到期兑付时，当期产品投资的实际资产组合收益（扣除销售费、固定管理费、托管费等相关费用）超过</w:t>
            </w:r>
            <w:r>
              <w:rPr>
                <w:rFonts w:cs="宋体"/>
                <w:b/>
                <w:sz w:val="18"/>
                <w:szCs w:val="18"/>
              </w:rPr>
              <w:t>2.03%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2B1050" w:rsidRDefault="00E02DD4">
            <w:pPr>
              <w:spacing w:line="200" w:lineRule="exact"/>
            </w:pPr>
            <w:r>
              <w:rPr>
                <w:rFonts w:cs="宋体"/>
                <w:b/>
                <w:sz w:val="18"/>
                <w:szCs w:val="18"/>
              </w:rPr>
              <w:t>P</w:t>
            </w:r>
            <w:r>
              <w:rPr>
                <w:rFonts w:cs="宋体"/>
                <w:b/>
                <w:sz w:val="18"/>
                <w:szCs w:val="18"/>
              </w:rPr>
              <w:t>份额：到期兑付时，当期产品投资的实际资产组合收益（扣除销售费、固定管理费、托管费等相关费用）超过</w:t>
            </w:r>
            <w:r>
              <w:rPr>
                <w:rFonts w:cs="宋体"/>
                <w:b/>
                <w:sz w:val="18"/>
                <w:szCs w:val="18"/>
              </w:rPr>
              <w:t>1.83%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2B1050" w:rsidRDefault="00E02DD4">
            <w:pPr>
              <w:spacing w:line="200" w:lineRule="exact"/>
            </w:pPr>
            <w:r>
              <w:rPr>
                <w:rFonts w:cs="宋体"/>
                <w:b/>
                <w:sz w:val="18"/>
                <w:szCs w:val="18"/>
              </w:rPr>
              <w:t>Q</w:t>
            </w:r>
            <w:r>
              <w:rPr>
                <w:rFonts w:cs="宋体"/>
                <w:b/>
                <w:sz w:val="18"/>
                <w:szCs w:val="18"/>
              </w:rPr>
              <w:t>份额：到期兑付时，当期产品投资的实际资产组</w:t>
            </w:r>
            <w:r>
              <w:rPr>
                <w:rFonts w:cs="宋体"/>
                <w:b/>
                <w:sz w:val="18"/>
                <w:szCs w:val="18"/>
              </w:rPr>
              <w:t>合收益（扣除销售费、固定管理费、托管费等相关费用）超过</w:t>
            </w:r>
            <w:r>
              <w:rPr>
                <w:rFonts w:cs="宋体"/>
                <w:b/>
                <w:sz w:val="18"/>
                <w:szCs w:val="18"/>
              </w:rPr>
              <w:t>1.83%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2B1050" w:rsidRDefault="00E02DD4">
            <w:pPr>
              <w:spacing w:line="200" w:lineRule="exact"/>
            </w:pPr>
            <w:r>
              <w:rPr>
                <w:rFonts w:cs="宋体"/>
                <w:b/>
                <w:sz w:val="18"/>
                <w:szCs w:val="18"/>
              </w:rPr>
              <w:t>R</w:t>
            </w:r>
            <w:r>
              <w:rPr>
                <w:rFonts w:cs="宋体"/>
                <w:b/>
                <w:sz w:val="18"/>
                <w:szCs w:val="18"/>
              </w:rPr>
              <w:t>份额：到期兑付时，当期产品投资的实际资产组合收益（扣除销售费、固定管理费、托管费等相关费用）超过</w:t>
            </w:r>
            <w:r>
              <w:rPr>
                <w:rFonts w:cs="宋体"/>
                <w:b/>
                <w:sz w:val="18"/>
                <w:szCs w:val="18"/>
              </w:rPr>
              <w:t>1.88%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2B1050" w:rsidRDefault="00E02DD4">
            <w:pPr>
              <w:spacing w:line="200" w:lineRule="exact"/>
            </w:pPr>
            <w:r>
              <w:rPr>
                <w:rFonts w:cs="宋体"/>
                <w:b/>
                <w:sz w:val="18"/>
                <w:szCs w:val="18"/>
              </w:rPr>
              <w:t>Q1</w:t>
            </w:r>
            <w:r>
              <w:rPr>
                <w:rFonts w:cs="宋体"/>
                <w:b/>
                <w:sz w:val="18"/>
                <w:szCs w:val="18"/>
              </w:rPr>
              <w:t>份额：到期兑付时，当期产品投资的实际资产组合收益（扣除销售费、固定管理费、托管费等相关费用）超过</w:t>
            </w:r>
            <w:r>
              <w:rPr>
                <w:rFonts w:cs="宋体"/>
                <w:b/>
                <w:sz w:val="18"/>
                <w:szCs w:val="18"/>
              </w:rPr>
              <w:t>1.88%</w:t>
            </w:r>
            <w:r>
              <w:rPr>
                <w:rFonts w:cs="宋体"/>
                <w:b/>
                <w:sz w:val="18"/>
                <w:szCs w:val="18"/>
              </w:rPr>
              <w:t>（年化，即产品该份额对应的业绩报酬计提基准）时，超过部</w:t>
            </w:r>
            <w:r>
              <w:rPr>
                <w:rFonts w:cs="宋体"/>
                <w:b/>
                <w:sz w:val="18"/>
                <w:szCs w:val="18"/>
              </w:rPr>
              <w:t>分管理人将按</w:t>
            </w:r>
            <w:r>
              <w:rPr>
                <w:rFonts w:cs="宋体"/>
                <w:b/>
                <w:sz w:val="18"/>
                <w:szCs w:val="18"/>
              </w:rPr>
              <w:t>60%</w:t>
            </w:r>
            <w:r>
              <w:rPr>
                <w:rFonts w:cs="宋体"/>
                <w:b/>
                <w:sz w:val="18"/>
                <w:szCs w:val="18"/>
              </w:rPr>
              <w:t>收取业绩报酬。</w:t>
            </w:r>
          </w:p>
          <w:p w:rsidR="002B1050" w:rsidRDefault="00E02DD4">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2B1050" w:rsidRDefault="00E02DD4">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w:t>
            </w:r>
            <w:r>
              <w:rPr>
                <w:rFonts w:cs="宋体"/>
                <w:b/>
                <w:sz w:val="18"/>
                <w:szCs w:val="18"/>
              </w:rPr>
              <w:t>从理财产品中列支。如发生以上费用，将通过本理财产品的定期报告等进行信息披露。本理财产品终止日起，清算过程中各项利息及费用与实际结算金额的尾差（如有）由管理人承担。</w:t>
            </w:r>
          </w:p>
          <w:p w:rsidR="002B1050" w:rsidRDefault="00E02DD4">
            <w:pPr>
              <w:spacing w:line="200" w:lineRule="exact"/>
            </w:pPr>
            <w:r>
              <w:rPr>
                <w:rFonts w:cs="宋体"/>
                <w:b/>
                <w:sz w:val="18"/>
                <w:szCs w:val="18"/>
              </w:rPr>
              <w:t>注：</w:t>
            </w:r>
            <w:r>
              <w:rPr>
                <w:rFonts w:cs="宋体"/>
                <w:b/>
                <w:sz w:val="18"/>
                <w:szCs w:val="18"/>
              </w:rPr>
              <w:t>1.</w:t>
            </w:r>
            <w:r>
              <w:rPr>
                <w:rFonts w:cs="宋体"/>
                <w:b/>
                <w:sz w:val="18"/>
                <w:szCs w:val="18"/>
              </w:rPr>
              <w:t>根据财政部《资产管理产品相关会计处理规定》（财会〔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将当期发生的管理人报酬计入当期损益</w:t>
            </w:r>
            <w:r>
              <w:rPr>
                <w:rFonts w:cs="宋体"/>
                <w:b/>
                <w:sz w:val="18"/>
                <w:szCs w:val="18"/>
              </w:rPr>
              <w:t>”</w:t>
            </w:r>
            <w:r>
              <w:rPr>
                <w:rFonts w:cs="宋体"/>
                <w:b/>
                <w:sz w:val="18"/>
                <w:szCs w:val="18"/>
              </w:rPr>
              <w:t>的相关规定，本理财产品将每日计提暂估的业绩报酬（如有）。</w:t>
            </w:r>
          </w:p>
          <w:p w:rsidR="002B1050" w:rsidRDefault="00E02DD4">
            <w:pPr>
              <w:spacing w:line="200" w:lineRule="exact"/>
            </w:pPr>
            <w:r>
              <w:rPr>
                <w:rFonts w:cs="宋体"/>
                <w:b/>
                <w:sz w:val="18"/>
                <w:szCs w:val="18"/>
              </w:rPr>
              <w:t>2.</w:t>
            </w:r>
            <w:r>
              <w:rPr>
                <w:rFonts w:cs="宋体"/>
                <w:b/>
                <w:sz w:val="18"/>
                <w:szCs w:val="18"/>
              </w:rPr>
              <w:t>产品存续期的每个估值日，如果产品各份额当期起始日至估值日（即本区间）的年化收益率大于当期业绩报酬计提基准，则相应计提暂估业绩报酬，披露的各份额的单位净值为扣除暂估业绩报酬（</w:t>
            </w:r>
            <w:r>
              <w:rPr>
                <w:rFonts w:cs="宋体"/>
                <w:b/>
                <w:sz w:val="18"/>
                <w:szCs w:val="18"/>
              </w:rPr>
              <w:t>如有）之后的水平。</w:t>
            </w:r>
          </w:p>
          <w:p w:rsidR="002B1050" w:rsidRDefault="00E02DD4">
            <w:pPr>
              <w:spacing w:line="200" w:lineRule="exact"/>
            </w:pPr>
            <w:r>
              <w:rPr>
                <w:rFonts w:cs="宋体"/>
                <w:b/>
                <w:sz w:val="18"/>
                <w:szCs w:val="18"/>
              </w:rPr>
              <w:t>计算本区间业绩报酬的公式如下：</w:t>
            </w:r>
          </w:p>
          <w:p w:rsidR="002B1050" w:rsidRDefault="00E02DD4">
            <w:pPr>
              <w:spacing w:line="200" w:lineRule="exact"/>
            </w:pPr>
            <w:r>
              <w:rPr>
                <w:rFonts w:cs="宋体"/>
                <w:b/>
                <w:sz w:val="18"/>
                <w:szCs w:val="18"/>
              </w:rPr>
              <w:t>A={B-C*D*(1+E*F/365)}*G</w:t>
            </w:r>
            <w:r>
              <w:rPr>
                <w:rFonts w:cs="宋体"/>
                <w:b/>
                <w:sz w:val="18"/>
                <w:szCs w:val="18"/>
              </w:rPr>
              <w:t>。</w:t>
            </w:r>
          </w:p>
          <w:p w:rsidR="002B1050" w:rsidRDefault="00E02DD4">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是产品该份额当期起始日前一自然日的单位净值，</w:t>
            </w:r>
            <w:r>
              <w:rPr>
                <w:rFonts w:cs="宋体"/>
                <w:b/>
                <w:sz w:val="18"/>
                <w:szCs w:val="18"/>
              </w:rPr>
              <w:t>E</w:t>
            </w:r>
            <w:r>
              <w:rPr>
                <w:rFonts w:cs="宋体"/>
                <w:b/>
                <w:sz w:val="18"/>
                <w:szCs w:val="18"/>
              </w:rPr>
              <w:t>是产品该份额当期的业绩报酬计提基准，</w:t>
            </w:r>
            <w:r>
              <w:rPr>
                <w:rFonts w:cs="宋体"/>
                <w:b/>
                <w:sz w:val="18"/>
                <w:szCs w:val="18"/>
              </w:rPr>
              <w:t>F</w:t>
            </w:r>
            <w:r>
              <w:rPr>
                <w:rFonts w:cs="宋体"/>
                <w:b/>
                <w:sz w:val="18"/>
                <w:szCs w:val="18"/>
              </w:rPr>
              <w:t>是产品该份额当期起始日（含）到估值日（含）的天数，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是产品该份额当期的业绩报酬计提比例。若本区间内产品该份额存在分红，则应当将分红金额考虑在内；若业绩报酬分段计提，则将分段计</w:t>
            </w:r>
            <w:r>
              <w:rPr>
                <w:rFonts w:cs="宋体"/>
                <w:b/>
                <w:sz w:val="18"/>
                <w:szCs w:val="18"/>
              </w:rPr>
              <w:t>提暂估的业绩报酬，因此计提业绩报酬公式根据产品实际情况可能有微调。</w:t>
            </w:r>
          </w:p>
          <w:p w:rsidR="002B1050" w:rsidRDefault="00E02DD4">
            <w:pPr>
              <w:spacing w:line="200" w:lineRule="exact"/>
            </w:pPr>
            <w:r>
              <w:rPr>
                <w:rFonts w:cs="宋体"/>
                <w:b/>
                <w:sz w:val="18"/>
                <w:szCs w:val="18"/>
              </w:rPr>
              <w:t>3.</w:t>
            </w:r>
            <w:r>
              <w:rPr>
                <w:rFonts w:cs="宋体"/>
                <w:b/>
                <w:sz w:val="18"/>
                <w:szCs w:val="18"/>
              </w:rPr>
              <w:t>本理财产品所有份额的固定管理费自本理财产品成立日（含）至</w:t>
            </w:r>
            <w:r>
              <w:rPr>
                <w:rFonts w:cs="宋体"/>
                <w:b/>
                <w:sz w:val="18"/>
                <w:szCs w:val="18"/>
              </w:rPr>
              <w:t>2025</w:t>
            </w:r>
            <w:r>
              <w:rPr>
                <w:rFonts w:cs="宋体"/>
                <w:b/>
                <w:sz w:val="18"/>
                <w:szCs w:val="18"/>
              </w:rPr>
              <w:t>年</w:t>
            </w:r>
            <w:r>
              <w:rPr>
                <w:rFonts w:cs="宋体"/>
                <w:b/>
                <w:sz w:val="18"/>
                <w:szCs w:val="18"/>
              </w:rPr>
              <w:t>12</w:t>
            </w:r>
            <w:r>
              <w:rPr>
                <w:rFonts w:cs="宋体"/>
                <w:b/>
                <w:sz w:val="18"/>
                <w:szCs w:val="18"/>
              </w:rPr>
              <w:t>月</w:t>
            </w:r>
            <w:r>
              <w:rPr>
                <w:rFonts w:cs="宋体"/>
                <w:b/>
                <w:sz w:val="18"/>
                <w:szCs w:val="18"/>
              </w:rPr>
              <w:t>31</w:t>
            </w:r>
            <w:r>
              <w:rPr>
                <w:rFonts w:cs="宋体"/>
                <w:b/>
                <w:sz w:val="18"/>
                <w:szCs w:val="18"/>
              </w:rPr>
              <w:t>日（含）期间优惠至</w:t>
            </w:r>
            <w:r>
              <w:rPr>
                <w:rFonts w:cs="宋体"/>
                <w:b/>
                <w:sz w:val="18"/>
                <w:szCs w:val="18"/>
              </w:rPr>
              <w:t>0.01%</w:t>
            </w:r>
            <w:r>
              <w:rPr>
                <w:rFonts w:cs="宋体"/>
                <w:b/>
                <w:sz w:val="18"/>
                <w:szCs w:val="18"/>
              </w:rPr>
              <w:t>。</w:t>
            </w:r>
          </w:p>
        </w:tc>
      </w:tr>
      <w:tr w:rsidR="002B1050">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1050" w:rsidRDefault="00E02DD4">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2B1050" w:rsidRDefault="00E02DD4">
            <w:pPr>
              <w:spacing w:line="200" w:lineRule="exact"/>
            </w:pPr>
            <w:r>
              <w:rPr>
                <w:rFonts w:cs="宋体"/>
                <w:sz w:val="18"/>
                <w:szCs w:val="18"/>
              </w:rPr>
              <w:t>具体详见本理财产品风险揭示书。</w:t>
            </w:r>
          </w:p>
        </w:tc>
      </w:tr>
      <w:tr w:rsidR="002B1050">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1050" w:rsidRDefault="00E02DD4">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2B1050" w:rsidRDefault="00E02DD4">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rsidR="002B1050" w:rsidRDefault="00E02DD4">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rsidR="002B1050" w:rsidRDefault="00E02DD4">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rsidR="002B1050" w:rsidRDefault="00E02DD4">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rsidR="002B1050" w:rsidRDefault="00E02DD4">
            <w:pPr>
              <w:spacing w:line="200" w:lineRule="exact"/>
              <w:jc w:val="left"/>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rsidR="002B1050" w:rsidRDefault="00E02DD4">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rsidR="002B1050" w:rsidRDefault="00E02DD4">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rsidR="002B1050" w:rsidRDefault="00E02DD4">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2B105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1050" w:rsidRDefault="00E02DD4">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2B1050" w:rsidRDefault="00E02DD4">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九江银行股份有限公司、天津农村商业银行股份有限公司、江苏紫金农村商业银行股份有限公司、温州银行股份有限公司、江苏滨海农村商业银行股份有</w:t>
            </w:r>
            <w:r>
              <w:rPr>
                <w:rFonts w:cs="宋体"/>
                <w:sz w:val="18"/>
                <w:szCs w:val="18"/>
              </w:rPr>
              <w:t>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w:t>
            </w:r>
            <w:r>
              <w:rPr>
                <w:rFonts w:cs="宋体"/>
                <w:sz w:val="18"/>
                <w:szCs w:val="18"/>
              </w:rPr>
              <w:t>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w:t>
            </w:r>
            <w:r>
              <w:rPr>
                <w:rFonts w:cs="宋体"/>
                <w:sz w:val="18"/>
                <w:szCs w:val="18"/>
              </w:rPr>
              <w:t>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w:t>
            </w:r>
            <w:r>
              <w:rPr>
                <w:rFonts w:cs="宋体"/>
                <w:sz w:val="18"/>
                <w:szCs w:val="18"/>
              </w:rPr>
              <w:t>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四川天府银行股份</w:t>
            </w:r>
            <w:r>
              <w:rPr>
                <w:rFonts w:cs="宋体"/>
                <w:sz w:val="18"/>
                <w:szCs w:val="18"/>
              </w:rPr>
              <w:t>有限公司、上海农村商业银行股份有限公司、广发银行股份有限公司、江苏沭阳农村商业银行股份有限公司、湖州银行股份有限公司、江苏灌云农村商业银行股份有限公司、江苏海安农村商业银行股份有限公司、江苏昆山农村商业银行股份有限公司、广州农村商业银行股份有限公司、江苏泰州农村商业银行股份有限公司、青岛农村商业银行股份有限公司。管理人有权调整本理财产品的销售机构并进行信息披露。</w:t>
            </w:r>
          </w:p>
          <w:p w:rsidR="002B1050" w:rsidRDefault="00E02DD4">
            <w:pPr>
              <w:spacing w:line="200" w:lineRule="exact"/>
              <w:jc w:val="left"/>
            </w:pPr>
            <w:r>
              <w:rPr>
                <w:rFonts w:cs="宋体"/>
                <w:sz w:val="18"/>
                <w:szCs w:val="18"/>
              </w:rPr>
              <w:t>销售机构主要职责如下：</w:t>
            </w:r>
          </w:p>
          <w:p w:rsidR="002B1050" w:rsidRDefault="00E02DD4">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rsidR="002B1050" w:rsidRDefault="00E02DD4">
            <w:pPr>
              <w:spacing w:line="200" w:lineRule="exact"/>
              <w:jc w:val="left"/>
            </w:pPr>
            <w:r>
              <w:rPr>
                <w:rFonts w:cs="宋体"/>
                <w:sz w:val="18"/>
                <w:szCs w:val="18"/>
              </w:rPr>
              <w:t>2.</w:t>
            </w:r>
            <w:r>
              <w:rPr>
                <w:rFonts w:cs="宋体"/>
                <w:sz w:val="18"/>
                <w:szCs w:val="18"/>
              </w:rPr>
              <w:t>对非机构投</w:t>
            </w:r>
            <w:r>
              <w:rPr>
                <w:rFonts w:cs="宋体"/>
                <w:sz w:val="18"/>
                <w:szCs w:val="18"/>
              </w:rPr>
              <w:t>资者的风险承受能力进行评估，确保投资者风险承受能力评估的客观性、及时性和有效性；</w:t>
            </w:r>
          </w:p>
          <w:p w:rsidR="002B1050" w:rsidRDefault="00E02DD4">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rsidR="002B1050" w:rsidRDefault="00E02DD4">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rsidR="002B1050" w:rsidRDefault="00E02DD4">
            <w:pPr>
              <w:spacing w:line="200" w:lineRule="exact"/>
              <w:jc w:val="left"/>
            </w:pPr>
            <w:r>
              <w:rPr>
                <w:rFonts w:cs="宋体"/>
                <w:sz w:val="18"/>
                <w:szCs w:val="18"/>
              </w:rPr>
              <w:t>5.</w:t>
            </w:r>
            <w:r>
              <w:rPr>
                <w:rFonts w:cs="宋体"/>
                <w:sz w:val="18"/>
                <w:szCs w:val="18"/>
              </w:rPr>
              <w:t>建立健全投资者权益保护管理体系，加强投资者适当性管理；</w:t>
            </w:r>
          </w:p>
          <w:p w:rsidR="002B1050" w:rsidRDefault="00E02DD4">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2B1050">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1050" w:rsidRDefault="00E02DD4">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2B1050" w:rsidRDefault="00E02DD4">
            <w:pPr>
              <w:spacing w:line="200" w:lineRule="exact"/>
            </w:pPr>
            <w:r>
              <w:rPr>
                <w:rFonts w:cs="宋体"/>
                <w:sz w:val="18"/>
                <w:szCs w:val="18"/>
              </w:rPr>
              <w:t>本理财产品托管人为南京银行股份有限公司，主要职责如下：</w:t>
            </w:r>
          </w:p>
          <w:p w:rsidR="002B1050" w:rsidRDefault="00E02DD4">
            <w:pPr>
              <w:spacing w:line="200" w:lineRule="exact"/>
            </w:pPr>
            <w:r>
              <w:rPr>
                <w:rFonts w:cs="宋体"/>
                <w:sz w:val="18"/>
                <w:szCs w:val="18"/>
              </w:rPr>
              <w:t>1.</w:t>
            </w:r>
            <w:r>
              <w:rPr>
                <w:rFonts w:cs="宋体"/>
                <w:sz w:val="18"/>
                <w:szCs w:val="18"/>
              </w:rPr>
              <w:t>安全保管理财产品财产；</w:t>
            </w:r>
          </w:p>
          <w:p w:rsidR="002B1050" w:rsidRDefault="00E02DD4">
            <w:pPr>
              <w:spacing w:line="200" w:lineRule="exact"/>
            </w:pPr>
            <w:r>
              <w:rPr>
                <w:rFonts w:cs="宋体"/>
                <w:sz w:val="18"/>
                <w:szCs w:val="18"/>
              </w:rPr>
              <w:t>2.</w:t>
            </w:r>
            <w:r>
              <w:rPr>
                <w:rFonts w:cs="宋体"/>
                <w:sz w:val="18"/>
                <w:szCs w:val="18"/>
              </w:rPr>
              <w:t>为每只理财产品开设独立的托管账户，不同托管账户中的资产应当相互独立；</w:t>
            </w:r>
          </w:p>
          <w:p w:rsidR="002B1050" w:rsidRDefault="00E02DD4">
            <w:pPr>
              <w:spacing w:line="200" w:lineRule="exact"/>
            </w:pPr>
            <w:r>
              <w:rPr>
                <w:rFonts w:cs="宋体"/>
                <w:sz w:val="18"/>
                <w:szCs w:val="18"/>
              </w:rPr>
              <w:t>3.</w:t>
            </w:r>
            <w:r>
              <w:rPr>
                <w:rFonts w:cs="宋体"/>
                <w:sz w:val="18"/>
                <w:szCs w:val="18"/>
              </w:rPr>
              <w:t>按照托管协议约定和管理人的投资指令，及时办理清算、交割事宜；</w:t>
            </w:r>
          </w:p>
          <w:p w:rsidR="002B1050" w:rsidRDefault="00E02DD4">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rsidR="002B1050" w:rsidRDefault="00E02DD4">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rsidR="002B1050" w:rsidRDefault="00E02DD4">
            <w:pPr>
              <w:spacing w:line="200" w:lineRule="exact"/>
            </w:pPr>
            <w:r>
              <w:rPr>
                <w:rFonts w:cs="宋体"/>
                <w:sz w:val="18"/>
                <w:szCs w:val="18"/>
              </w:rPr>
              <w:t>6.</w:t>
            </w:r>
            <w:r>
              <w:rPr>
                <w:rFonts w:cs="宋体"/>
                <w:sz w:val="18"/>
                <w:szCs w:val="18"/>
              </w:rPr>
              <w:t>办理与理财产品托管业务活动相关的信息披露事项，包括披露理财产品托管协议、对理</w:t>
            </w:r>
            <w:r>
              <w:rPr>
                <w:rFonts w:cs="宋体"/>
                <w:sz w:val="18"/>
                <w:szCs w:val="18"/>
              </w:rPr>
              <w:t>财产品信息披露文件中的理财产品财务会计报告等出具意见，以及在公募理财产品半年度和年度报告中出具理财托管机构报告等；</w:t>
            </w:r>
          </w:p>
          <w:p w:rsidR="002B1050" w:rsidRDefault="00E02DD4">
            <w:pPr>
              <w:spacing w:line="200" w:lineRule="exact"/>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rsidR="002B1050" w:rsidRDefault="00E02DD4">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rsidR="002B1050" w:rsidRDefault="00E02DD4">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2B1050">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1050" w:rsidRDefault="00E02DD4">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2B1050" w:rsidRDefault="00E02DD4">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w:t>
            </w:r>
            <w:r>
              <w:rPr>
                <w:rFonts w:cs="宋体"/>
                <w:sz w:val="18"/>
                <w:szCs w:val="18"/>
              </w:rPr>
              <w:t>合作机构签署的合同为准。</w:t>
            </w:r>
          </w:p>
          <w:p w:rsidR="002B1050" w:rsidRDefault="00E02DD4">
            <w:pPr>
              <w:spacing w:line="200" w:lineRule="exact"/>
            </w:pPr>
            <w:r>
              <w:rPr>
                <w:rFonts w:cs="宋体"/>
                <w:sz w:val="18"/>
                <w:szCs w:val="18"/>
              </w:rPr>
              <w:t>1.</w:t>
            </w:r>
            <w:r>
              <w:rPr>
                <w:rFonts w:cs="宋体"/>
                <w:sz w:val="18"/>
                <w:szCs w:val="18"/>
              </w:rPr>
              <w:t>合作机构为理财产品所投资资产管理产品的发行机构，主要承担资产管理产品的管理人职责：平安资产管理有限责任公司、太平洋资产管理有限责任公司、太平资产管理有限公司、中国人保资产管理有限公司。</w:t>
            </w:r>
          </w:p>
          <w:p w:rsidR="002B1050" w:rsidRDefault="00E02DD4">
            <w:pPr>
              <w:spacing w:line="200" w:lineRule="exact"/>
            </w:pPr>
            <w:r>
              <w:rPr>
                <w:rFonts w:cs="宋体"/>
                <w:sz w:val="18"/>
                <w:szCs w:val="18"/>
              </w:rPr>
              <w:t>2.</w:t>
            </w:r>
            <w:r>
              <w:rPr>
                <w:rFonts w:cs="宋体"/>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w:t>
            </w:r>
            <w:r>
              <w:rPr>
                <w:rFonts w:cs="宋体"/>
                <w:sz w:val="18"/>
                <w:szCs w:val="18"/>
              </w:rPr>
              <w:t>托有限责任公司、泰康资产管理有限责任公司、天津信托有限责任公司、中粮信托有限责任公司、中信信托有限责任公司、鑫元基金管理有限公司。</w:t>
            </w:r>
          </w:p>
          <w:p w:rsidR="002B1050" w:rsidRDefault="00E02DD4">
            <w:pPr>
              <w:spacing w:line="200" w:lineRule="exact"/>
            </w:pPr>
            <w:r>
              <w:rPr>
                <w:rFonts w:cs="宋体"/>
                <w:sz w:val="18"/>
                <w:szCs w:val="18"/>
              </w:rPr>
              <w:t>若上述合作机构及其职责发生调整，管理人将在本理财产品的定期报告中进行信息披露。</w:t>
            </w:r>
          </w:p>
          <w:p w:rsidR="002B1050" w:rsidRDefault="00E02DD4">
            <w:pPr>
              <w:spacing w:line="200" w:lineRule="exact"/>
            </w:pPr>
            <w:r>
              <w:rPr>
                <w:rFonts w:cs="宋体"/>
                <w:sz w:val="18"/>
                <w:szCs w:val="18"/>
              </w:rPr>
              <w:t>上述投资合作机构简介：</w:t>
            </w:r>
          </w:p>
          <w:p w:rsidR="002B1050" w:rsidRDefault="00E02DD4">
            <w:pPr>
              <w:spacing w:line="200" w:lineRule="exact"/>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rsidR="002B1050" w:rsidRDefault="00E02DD4">
            <w:pPr>
              <w:spacing w:line="200" w:lineRule="exact"/>
            </w:pPr>
            <w:r>
              <w:rPr>
                <w:rFonts w:cs="宋体"/>
                <w:sz w:val="18"/>
                <w:szCs w:val="18"/>
              </w:rPr>
              <w:t>光大永明资产管理股份有限公司成立于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rsidR="002B1050" w:rsidRDefault="00E02DD4">
            <w:pPr>
              <w:spacing w:line="200" w:lineRule="exact"/>
            </w:pPr>
            <w:r>
              <w:rPr>
                <w:rFonts w:cs="宋体"/>
                <w:sz w:val="18"/>
                <w:szCs w:val="18"/>
              </w:rPr>
              <w:t>国联基金管理有限公司成立于</w:t>
            </w:r>
            <w:r>
              <w:rPr>
                <w:rFonts w:cs="宋体"/>
                <w:sz w:val="18"/>
                <w:szCs w:val="18"/>
              </w:rPr>
              <w:t>2013</w:t>
            </w:r>
            <w:r>
              <w:rPr>
                <w:rFonts w:cs="宋体"/>
                <w:sz w:val="18"/>
                <w:szCs w:val="18"/>
              </w:rPr>
              <w:t>年</w:t>
            </w:r>
            <w:r>
              <w:rPr>
                <w:rFonts w:cs="宋体"/>
                <w:sz w:val="18"/>
                <w:szCs w:val="18"/>
              </w:rPr>
              <w:t>05</w:t>
            </w:r>
            <w:r>
              <w:rPr>
                <w:rFonts w:cs="宋体"/>
                <w:sz w:val="18"/>
                <w:szCs w:val="18"/>
              </w:rPr>
              <w:t>月</w:t>
            </w:r>
            <w:r>
              <w:rPr>
                <w:rFonts w:cs="宋体"/>
                <w:sz w:val="18"/>
                <w:szCs w:val="18"/>
              </w:rPr>
              <w:t>31</w:t>
            </w:r>
            <w:r>
              <w:rPr>
                <w:rFonts w:cs="宋体"/>
                <w:sz w:val="18"/>
                <w:szCs w:val="18"/>
              </w:rPr>
              <w:t>日，注册资本金</w:t>
            </w:r>
            <w:r>
              <w:rPr>
                <w:rFonts w:cs="宋体"/>
                <w:sz w:val="18"/>
                <w:szCs w:val="18"/>
              </w:rPr>
              <w:t>11.5</w:t>
            </w:r>
            <w:r>
              <w:rPr>
                <w:rFonts w:cs="宋体"/>
                <w:sz w:val="18"/>
                <w:szCs w:val="18"/>
              </w:rPr>
              <w:t>亿元。</w:t>
            </w:r>
          </w:p>
          <w:p w:rsidR="002B1050" w:rsidRDefault="00E02DD4">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rsidR="002B1050" w:rsidRDefault="00E02DD4">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rsidR="002B1050" w:rsidRDefault="00E02DD4">
            <w:pPr>
              <w:spacing w:line="200" w:lineRule="exact"/>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rsidR="002B1050" w:rsidRDefault="00E02DD4">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rsidR="002B1050" w:rsidRDefault="00E02DD4">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rsidR="002B1050" w:rsidRDefault="00E02DD4">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rsidR="002B1050" w:rsidRDefault="00E02DD4">
            <w:pPr>
              <w:spacing w:line="200" w:lineRule="exact"/>
            </w:pPr>
            <w:r>
              <w:rPr>
                <w:rFonts w:cs="宋体"/>
                <w:sz w:val="18"/>
                <w:szCs w:val="18"/>
              </w:rPr>
              <w:t>平安资产管理有限责任公司成立于</w:t>
            </w:r>
            <w:r>
              <w:rPr>
                <w:rFonts w:cs="宋体"/>
                <w:sz w:val="18"/>
                <w:szCs w:val="18"/>
              </w:rPr>
              <w:t>2005</w:t>
            </w:r>
            <w:r>
              <w:rPr>
                <w:rFonts w:cs="宋体"/>
                <w:sz w:val="18"/>
                <w:szCs w:val="18"/>
              </w:rPr>
              <w:t>年</w:t>
            </w:r>
            <w:r>
              <w:rPr>
                <w:rFonts w:cs="宋体"/>
                <w:sz w:val="18"/>
                <w:szCs w:val="18"/>
              </w:rPr>
              <w:t>05</w:t>
            </w:r>
            <w:r>
              <w:rPr>
                <w:rFonts w:cs="宋体"/>
                <w:sz w:val="18"/>
                <w:szCs w:val="18"/>
              </w:rPr>
              <w:t>月</w:t>
            </w:r>
            <w:r>
              <w:rPr>
                <w:rFonts w:cs="宋体"/>
                <w:sz w:val="18"/>
                <w:szCs w:val="18"/>
              </w:rPr>
              <w:t>27</w:t>
            </w:r>
            <w:r>
              <w:rPr>
                <w:rFonts w:cs="宋体"/>
                <w:sz w:val="18"/>
                <w:szCs w:val="18"/>
              </w:rPr>
              <w:t>日，注册资本金</w:t>
            </w:r>
            <w:r>
              <w:rPr>
                <w:rFonts w:cs="宋体"/>
                <w:sz w:val="18"/>
                <w:szCs w:val="18"/>
              </w:rPr>
              <w:t>15</w:t>
            </w:r>
            <w:r>
              <w:rPr>
                <w:rFonts w:cs="宋体"/>
                <w:sz w:val="18"/>
                <w:szCs w:val="18"/>
              </w:rPr>
              <w:t>亿元。</w:t>
            </w:r>
          </w:p>
          <w:p w:rsidR="002B1050" w:rsidRDefault="00E02DD4">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rsidR="002B1050" w:rsidRDefault="00E02DD4">
            <w:pPr>
              <w:spacing w:line="200" w:lineRule="exact"/>
            </w:pPr>
            <w:r>
              <w:rPr>
                <w:rFonts w:cs="宋体"/>
                <w:sz w:val="18"/>
                <w:szCs w:val="18"/>
              </w:rPr>
              <w:t>太平洋资产管理有限责任公司成立于</w:t>
            </w:r>
            <w:r>
              <w:rPr>
                <w:rFonts w:cs="宋体"/>
                <w:sz w:val="18"/>
                <w:szCs w:val="18"/>
              </w:rPr>
              <w:t>2006</w:t>
            </w:r>
            <w:r>
              <w:rPr>
                <w:rFonts w:cs="宋体"/>
                <w:sz w:val="18"/>
                <w:szCs w:val="18"/>
              </w:rPr>
              <w:t>年</w:t>
            </w:r>
            <w:r>
              <w:rPr>
                <w:rFonts w:cs="宋体"/>
                <w:sz w:val="18"/>
                <w:szCs w:val="18"/>
              </w:rPr>
              <w:t>06</w:t>
            </w:r>
            <w:r>
              <w:rPr>
                <w:rFonts w:cs="宋体"/>
                <w:sz w:val="18"/>
                <w:szCs w:val="18"/>
              </w:rPr>
              <w:t>月</w:t>
            </w:r>
            <w:r>
              <w:rPr>
                <w:rFonts w:cs="宋体"/>
                <w:sz w:val="18"/>
                <w:szCs w:val="18"/>
              </w:rPr>
              <w:t>09</w:t>
            </w:r>
            <w:r>
              <w:rPr>
                <w:rFonts w:cs="宋体"/>
                <w:sz w:val="18"/>
                <w:szCs w:val="18"/>
              </w:rPr>
              <w:t>日，注册资本金</w:t>
            </w:r>
            <w:r>
              <w:rPr>
                <w:rFonts w:cs="宋体"/>
                <w:sz w:val="18"/>
                <w:szCs w:val="18"/>
              </w:rPr>
              <w:t>21</w:t>
            </w:r>
            <w:r>
              <w:rPr>
                <w:rFonts w:cs="宋体"/>
                <w:sz w:val="18"/>
                <w:szCs w:val="18"/>
              </w:rPr>
              <w:t>亿元。</w:t>
            </w:r>
          </w:p>
          <w:p w:rsidR="002B1050" w:rsidRDefault="00E02DD4">
            <w:pPr>
              <w:spacing w:line="200" w:lineRule="exact"/>
            </w:pPr>
            <w:r>
              <w:rPr>
                <w:rFonts w:cs="宋体"/>
                <w:sz w:val="18"/>
                <w:szCs w:val="18"/>
              </w:rPr>
              <w:t>太平资产管理有限公司成立于</w:t>
            </w:r>
            <w:r>
              <w:rPr>
                <w:rFonts w:cs="宋体"/>
                <w:sz w:val="18"/>
                <w:szCs w:val="18"/>
              </w:rPr>
              <w:t>2006</w:t>
            </w:r>
            <w:r>
              <w:rPr>
                <w:rFonts w:cs="宋体"/>
                <w:sz w:val="18"/>
                <w:szCs w:val="18"/>
              </w:rPr>
              <w:t>年</w:t>
            </w:r>
            <w:r>
              <w:rPr>
                <w:rFonts w:cs="宋体"/>
                <w:sz w:val="18"/>
                <w:szCs w:val="18"/>
              </w:rPr>
              <w:t>09</w:t>
            </w:r>
            <w:r>
              <w:rPr>
                <w:rFonts w:cs="宋体"/>
                <w:sz w:val="18"/>
                <w:szCs w:val="18"/>
              </w:rPr>
              <w:t>月</w:t>
            </w:r>
            <w:r>
              <w:rPr>
                <w:rFonts w:cs="宋体"/>
                <w:sz w:val="18"/>
                <w:szCs w:val="18"/>
              </w:rPr>
              <w:t>01</w:t>
            </w:r>
            <w:r>
              <w:rPr>
                <w:rFonts w:cs="宋体"/>
                <w:sz w:val="18"/>
                <w:szCs w:val="18"/>
              </w:rPr>
              <w:t>日，注册资本金</w:t>
            </w:r>
            <w:r>
              <w:rPr>
                <w:rFonts w:cs="宋体"/>
                <w:sz w:val="18"/>
                <w:szCs w:val="18"/>
              </w:rPr>
              <w:t>10</w:t>
            </w:r>
            <w:r>
              <w:rPr>
                <w:rFonts w:cs="宋体"/>
                <w:sz w:val="18"/>
                <w:szCs w:val="18"/>
              </w:rPr>
              <w:t>亿元。</w:t>
            </w:r>
          </w:p>
          <w:p w:rsidR="002B1050" w:rsidRDefault="00E02DD4">
            <w:pPr>
              <w:spacing w:line="200" w:lineRule="exact"/>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rsidR="002B1050" w:rsidRDefault="00E02DD4">
            <w:pPr>
              <w:spacing w:line="200" w:lineRule="exact"/>
            </w:pPr>
            <w:r>
              <w:rPr>
                <w:rFonts w:cs="宋体"/>
                <w:sz w:val="18"/>
                <w:szCs w:val="18"/>
              </w:rPr>
              <w:t>中国人保资产管理有限公司成立于</w:t>
            </w:r>
            <w:r>
              <w:rPr>
                <w:rFonts w:cs="宋体"/>
                <w:sz w:val="18"/>
                <w:szCs w:val="18"/>
              </w:rPr>
              <w:t>2003</w:t>
            </w:r>
            <w:r>
              <w:rPr>
                <w:rFonts w:cs="宋体"/>
                <w:sz w:val="18"/>
                <w:szCs w:val="18"/>
              </w:rPr>
              <w:t>年</w:t>
            </w:r>
            <w:r>
              <w:rPr>
                <w:rFonts w:cs="宋体"/>
                <w:sz w:val="18"/>
                <w:szCs w:val="18"/>
              </w:rPr>
              <w:t>07</w:t>
            </w:r>
            <w:r>
              <w:rPr>
                <w:rFonts w:cs="宋体"/>
                <w:sz w:val="18"/>
                <w:szCs w:val="18"/>
              </w:rPr>
              <w:t>月</w:t>
            </w:r>
            <w:r>
              <w:rPr>
                <w:rFonts w:cs="宋体"/>
                <w:sz w:val="18"/>
                <w:szCs w:val="18"/>
              </w:rPr>
              <w:t>16</w:t>
            </w:r>
            <w:r>
              <w:rPr>
                <w:rFonts w:cs="宋体"/>
                <w:sz w:val="18"/>
                <w:szCs w:val="18"/>
              </w:rPr>
              <w:t>日，注册资本金</w:t>
            </w:r>
            <w:r>
              <w:rPr>
                <w:rFonts w:cs="宋体"/>
                <w:sz w:val="18"/>
                <w:szCs w:val="18"/>
              </w:rPr>
              <w:t>12.98</w:t>
            </w:r>
            <w:r>
              <w:rPr>
                <w:rFonts w:cs="宋体"/>
                <w:sz w:val="18"/>
                <w:szCs w:val="18"/>
              </w:rPr>
              <w:t>亿元。</w:t>
            </w:r>
          </w:p>
          <w:p w:rsidR="002B1050" w:rsidRDefault="00E02DD4">
            <w:pPr>
              <w:spacing w:line="200" w:lineRule="exact"/>
            </w:pPr>
            <w:r>
              <w:rPr>
                <w:rFonts w:cs="宋体"/>
                <w:sz w:val="18"/>
                <w:szCs w:val="18"/>
              </w:rPr>
              <w:t>中粮信托有限责任公司成立于</w:t>
            </w:r>
            <w:r>
              <w:rPr>
                <w:rFonts w:cs="宋体"/>
                <w:sz w:val="18"/>
                <w:szCs w:val="18"/>
              </w:rPr>
              <w:t>2009</w:t>
            </w:r>
            <w:r>
              <w:rPr>
                <w:rFonts w:cs="宋体"/>
                <w:sz w:val="18"/>
                <w:szCs w:val="18"/>
              </w:rPr>
              <w:t>年</w:t>
            </w:r>
            <w:r>
              <w:rPr>
                <w:rFonts w:cs="宋体"/>
                <w:sz w:val="18"/>
                <w:szCs w:val="18"/>
              </w:rPr>
              <w:t>07</w:t>
            </w:r>
            <w:r>
              <w:rPr>
                <w:rFonts w:cs="宋体"/>
                <w:sz w:val="18"/>
                <w:szCs w:val="18"/>
              </w:rPr>
              <w:t>月</w:t>
            </w:r>
            <w:r>
              <w:rPr>
                <w:rFonts w:cs="宋体"/>
                <w:sz w:val="18"/>
                <w:szCs w:val="18"/>
              </w:rPr>
              <w:t>27</w:t>
            </w:r>
            <w:r>
              <w:rPr>
                <w:rFonts w:cs="宋体"/>
                <w:sz w:val="18"/>
                <w:szCs w:val="18"/>
              </w:rPr>
              <w:t>日，注册资本金</w:t>
            </w:r>
            <w:r>
              <w:rPr>
                <w:rFonts w:cs="宋体"/>
                <w:sz w:val="18"/>
                <w:szCs w:val="18"/>
              </w:rPr>
              <w:t>28.3</w:t>
            </w:r>
            <w:r>
              <w:rPr>
                <w:rFonts w:cs="宋体"/>
                <w:sz w:val="18"/>
                <w:szCs w:val="18"/>
              </w:rPr>
              <w:t>亿元。</w:t>
            </w:r>
          </w:p>
          <w:p w:rsidR="002B1050" w:rsidRDefault="00E02DD4">
            <w:pPr>
              <w:spacing w:line="200" w:lineRule="exact"/>
            </w:pPr>
            <w:r>
              <w:rPr>
                <w:rFonts w:cs="宋体"/>
                <w:sz w:val="18"/>
                <w:szCs w:val="18"/>
              </w:rPr>
              <w:t>中信信托有限责任公司成立于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p w:rsidR="002B1050" w:rsidRDefault="00E02DD4">
            <w:pPr>
              <w:spacing w:line="200" w:lineRule="exact"/>
            </w:pPr>
            <w:r>
              <w:rPr>
                <w:rFonts w:cs="宋体"/>
                <w:sz w:val="18"/>
                <w:szCs w:val="18"/>
              </w:rPr>
              <w:t>鑫元基金管理有限公司成立于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2B1050">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1050" w:rsidRDefault="00E02DD4">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2B1050" w:rsidRDefault="00E02DD4">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赎回，投资者应考虑产品期限并合理安排自身投资计划。</w:t>
            </w:r>
          </w:p>
          <w:p w:rsidR="002B1050" w:rsidRDefault="00E02DD4">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rsidR="002B1050" w:rsidRDefault="00E02DD4">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rsidR="002B1050" w:rsidRDefault="00E02DD4">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w:t>
            </w:r>
            <w:r>
              <w:rPr>
                <w:rFonts w:cs="宋体"/>
                <w:b/>
                <w:sz w:val="18"/>
                <w:szCs w:val="18"/>
              </w:rPr>
              <w:t>50</w:t>
            </w:r>
            <w:r>
              <w:rPr>
                <w:rFonts w:cs="宋体"/>
                <w:b/>
                <w:sz w:val="18"/>
                <w:szCs w:val="18"/>
              </w:rPr>
              <w:t>％以上。</w:t>
            </w:r>
          </w:p>
        </w:tc>
      </w:tr>
      <w:tr w:rsidR="002B1050">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1050" w:rsidRDefault="00E02DD4">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2B1050" w:rsidRDefault="00E02DD4">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2B1050" w:rsidRDefault="00E02DD4">
      <w:pPr>
        <w:pStyle w:val="Normal72bf5e8e"/>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2B1050" w:rsidRDefault="00E02DD4">
      <w:pPr>
        <w:pStyle w:val="Normal079f1999079f1999"/>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rsidR="002B1050" w:rsidRDefault="00E02DD4">
      <w:pPr>
        <w:pStyle w:val="Normal079f1999079f1999"/>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2B1050" w:rsidRDefault="00E02DD4">
      <w:pPr>
        <w:pStyle w:val="Normal079f1999079f1999"/>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2B1050" w:rsidRDefault="00E02DD4">
      <w:pPr>
        <w:pStyle w:val="Normal079f1999079f1999"/>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rsidR="002B1050" w:rsidRDefault="00E02DD4">
      <w:pPr>
        <w:pStyle w:val="Normal079f1999079f1999"/>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rsidR="002B1050" w:rsidRDefault="00E02DD4">
      <w:pPr>
        <w:pStyle w:val="Normal079f1999079f1999"/>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rsidR="002B1050" w:rsidRDefault="00E02DD4">
      <w:pPr>
        <w:pStyle w:val="Normal079f1999079f1999"/>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rsidR="002B1050" w:rsidRDefault="00E02DD4">
      <w:pPr>
        <w:pStyle w:val="Normal079f1999079f1999"/>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rsidR="002B1050" w:rsidRDefault="00E02DD4">
      <w:pPr>
        <w:pStyle w:val="Normal079f1999079f1999"/>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rsidR="002B1050" w:rsidRDefault="00E02DD4">
      <w:pPr>
        <w:pStyle w:val="Normal079f1999079f1999"/>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2B1050" w:rsidRDefault="00E02DD4">
      <w:pPr>
        <w:pStyle w:val="Normal079f1999079f1999"/>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rsidR="002B1050" w:rsidRDefault="00E02DD4">
      <w:pPr>
        <w:pStyle w:val="Normal079f1999079f1999"/>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2B1050" w:rsidRDefault="00E02DD4">
      <w:pPr>
        <w:pStyle w:val="Normal079f1999079f1999"/>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rsidR="002B1050" w:rsidRDefault="00E02DD4">
      <w:pPr>
        <w:pStyle w:val="Normal079f1999079f1999"/>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w:t>
      </w:r>
      <w:r>
        <w:rPr>
          <w:color w:val="3D3D3D"/>
          <w:kern w:val="0"/>
          <w:sz w:val="15"/>
          <w:szCs w:val="15"/>
        </w:rPr>
        <w:t>：指本理财产品对应的《投资者权益须知》以及对该文件的有效修改或补充。</w:t>
      </w:r>
    </w:p>
    <w:p w:rsidR="002B1050" w:rsidRDefault="00E02DD4">
      <w:pPr>
        <w:pStyle w:val="Normal079f1999079f1999"/>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2B1050" w:rsidRDefault="00E02DD4">
      <w:pPr>
        <w:pStyle w:val="Normal079f1999079f1999"/>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2B1050" w:rsidRDefault="00E02DD4">
      <w:pPr>
        <w:pStyle w:val="Normal079f1999079f1999"/>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2B1050" w:rsidRDefault="00E02DD4">
      <w:pPr>
        <w:pStyle w:val="Normal079f1999079f1999"/>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rsidR="002B1050" w:rsidRDefault="00E02DD4">
      <w:pPr>
        <w:pStyle w:val="Normal079f1999079f1999"/>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rsidR="002B1050" w:rsidRDefault="00E02DD4">
      <w:pPr>
        <w:pStyle w:val="Normal079f1999079f1999"/>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rsidR="002B1050" w:rsidRDefault="00E02DD4">
      <w:pPr>
        <w:pStyle w:val="Normal079f1999079f1999"/>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rsidR="002B1050" w:rsidRDefault="00E02DD4">
      <w:pPr>
        <w:pStyle w:val="Normal079f1999079f1999"/>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rsidR="002B1050" w:rsidRDefault="00E02DD4">
      <w:pPr>
        <w:pStyle w:val="Normal079f1999079f1999"/>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认购、申购冷静期（私募产品适用）：指根据法律法规的规定，理财产品管理人对私募理财产品投资者设定的自签署理财产品销售文件或提交认购、申购申请起的至少二十四小时的期间，在此期间内投资者有权</w:t>
      </w:r>
      <w:r>
        <w:rPr>
          <w:color w:val="3D3D3D"/>
          <w:kern w:val="0"/>
          <w:sz w:val="15"/>
          <w:szCs w:val="15"/>
        </w:rPr>
        <w:t>解除理财产品销售文件或撤销认购、申购申请。</w:t>
      </w:r>
    </w:p>
    <w:p w:rsidR="002B1050" w:rsidRDefault="00E02DD4">
      <w:pPr>
        <w:pStyle w:val="Normal079f1999079f1999"/>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rsidR="002B1050" w:rsidRDefault="00E02DD4">
      <w:pPr>
        <w:pStyle w:val="Normal079f1999079f1999"/>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rsidR="002B1050" w:rsidRDefault="00E02DD4">
      <w:pPr>
        <w:pStyle w:val="Normal079f1999079f1999"/>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rsidR="002B1050" w:rsidRDefault="00E02DD4">
      <w:pPr>
        <w:pStyle w:val="Normal079f1999079f1999"/>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rsidR="002B1050" w:rsidRDefault="00E02DD4">
      <w:pPr>
        <w:pStyle w:val="Normal079f1999079f1999"/>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w:t>
      </w:r>
      <w:r>
        <w:rPr>
          <w:color w:val="3D3D3D"/>
          <w:kern w:val="0"/>
          <w:sz w:val="15"/>
          <w:szCs w:val="15"/>
        </w:rPr>
        <w:t>交易日：指上海证券交易所和深圳证券交易所的正常开盘交易日。</w:t>
      </w:r>
    </w:p>
    <w:p w:rsidR="002B1050" w:rsidRDefault="00E02DD4">
      <w:pPr>
        <w:pStyle w:val="Normal079f1999079f1999"/>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rsidR="002B1050" w:rsidRDefault="00E02DD4">
      <w:pPr>
        <w:pStyle w:val="Normal079f1999079f1999"/>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rsidR="002B1050" w:rsidRDefault="00E02DD4">
      <w:pPr>
        <w:pStyle w:val="Normal079f1999079f1999"/>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2B1050" w:rsidRDefault="00E02DD4">
      <w:pPr>
        <w:pStyle w:val="Normal079f1999079f1999"/>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南银理财珠联璧合鑫逸稳三个月</w:t>
      </w:r>
      <w:r>
        <w:rPr>
          <w:b/>
          <w:bCs/>
          <w:color w:val="3D3D3D"/>
          <w:kern w:val="0"/>
          <w:sz w:val="15"/>
          <w:szCs w:val="15"/>
        </w:rPr>
        <w:t>109</w:t>
      </w:r>
      <w:r>
        <w:rPr>
          <w:b/>
          <w:bCs/>
          <w:color w:val="3D3D3D"/>
          <w:kern w:val="0"/>
          <w:sz w:val="15"/>
          <w:szCs w:val="15"/>
        </w:rPr>
        <w:t>期封闭式公募人民币理财产品</w:t>
      </w:r>
      <w:r>
        <w:rPr>
          <w:rFonts w:hint="eastAsia"/>
          <w:color w:val="3D3D3D"/>
          <w:kern w:val="0"/>
          <w:sz w:val="15"/>
          <w:szCs w:val="15"/>
        </w:rPr>
        <w:t>。</w:t>
      </w:r>
    </w:p>
    <w:p w:rsidR="002B1050" w:rsidRDefault="00E02DD4">
      <w:pPr>
        <w:pStyle w:val="Normal079f1999079f1999"/>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rsidR="002B1050" w:rsidRDefault="00E02DD4">
      <w:pPr>
        <w:pStyle w:val="Normal079f1999079f1999"/>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rsidR="002B1050" w:rsidRDefault="00E02DD4">
      <w:pPr>
        <w:pStyle w:val="Normal079f1999079f1999"/>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rsidR="002B1050" w:rsidRDefault="00E02DD4">
      <w:pPr>
        <w:pStyle w:val="Normal079f1999079f1999"/>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w:t>
      </w:r>
      <w:r>
        <w:rPr>
          <w:color w:val="3D3D3D"/>
          <w:kern w:val="0"/>
          <w:sz w:val="15"/>
          <w:szCs w:val="15"/>
        </w:rPr>
        <w:t>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2B1050" w:rsidRDefault="00E02DD4">
      <w:pPr>
        <w:pStyle w:val="Normal079f1999079f1999"/>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r>
        <w:rPr>
          <w:color w:val="3D3D3D"/>
          <w:kern w:val="0"/>
          <w:sz w:val="15"/>
          <w:szCs w:val="15"/>
        </w:rPr>
        <w:t>。</w:t>
      </w:r>
    </w:p>
    <w:p w:rsidR="002B1050" w:rsidRDefault="00E02DD4">
      <w:pPr>
        <w:pStyle w:val="Normal079f1999079f1999"/>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rsidR="002B1050" w:rsidRDefault="00E02DD4">
      <w:pPr>
        <w:pStyle w:val="Normal079f1999079f1999"/>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2B1050" w:rsidRDefault="00E02DD4">
      <w:pPr>
        <w:pStyle w:val="Normal079f1999079f1999"/>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rsidR="002B1050" w:rsidRDefault="00E02DD4">
      <w:pPr>
        <w:pStyle w:val="Normal079f1999079f1999"/>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rsidR="002B1050" w:rsidRDefault="00E02DD4">
      <w:pPr>
        <w:pStyle w:val="Normal079f1999079f1999"/>
        <w:widowControl/>
        <w:tabs>
          <w:tab w:val="left" w:pos="567"/>
        </w:tabs>
        <w:spacing w:line="200" w:lineRule="exact"/>
        <w:ind w:left="289"/>
        <w:outlineLvl w:val="1"/>
        <w:rPr>
          <w:color w:val="3D3D3D"/>
          <w:kern w:val="0"/>
          <w:sz w:val="15"/>
          <w:szCs w:val="15"/>
        </w:rPr>
      </w:pPr>
      <w:r>
        <w:rPr>
          <w:color w:val="3D3D3D"/>
          <w:kern w:val="0"/>
          <w:sz w:val="15"/>
          <w:szCs w:val="15"/>
        </w:rPr>
        <w:t xml:space="preserve"> </w:t>
      </w:r>
      <w:r>
        <w:rPr>
          <w:color w:val="3D3D3D"/>
          <w:kern w:val="0"/>
          <w:sz w:val="15"/>
          <w:szCs w:val="15"/>
        </w:rPr>
        <w:t>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rsidR="002B1050" w:rsidRDefault="00E02DD4">
      <w:pPr>
        <w:pStyle w:val="Normal079f1999079f1999"/>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rsidR="002B1050" w:rsidRDefault="00E02DD4">
      <w:pPr>
        <w:pStyle w:val="Normal079f1999079f1999"/>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rsidR="002B1050" w:rsidRDefault="00E02DD4">
      <w:pPr>
        <w:pStyle w:val="Normal079f1999079f1999"/>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rsidR="002B1050" w:rsidRDefault="00E02DD4">
      <w:pPr>
        <w:pStyle w:val="Normal079f1999079f1999"/>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rsidR="002B1050" w:rsidRDefault="00E02DD4">
      <w:pPr>
        <w:pStyle w:val="Normal079f1999079f1999"/>
        <w:widowControl/>
        <w:tabs>
          <w:tab w:val="left" w:pos="567"/>
        </w:tabs>
        <w:spacing w:line="200" w:lineRule="exact"/>
        <w:ind w:left="289"/>
        <w:outlineLvl w:val="1"/>
        <w:rPr>
          <w:color w:val="3D3D3D"/>
          <w:kern w:val="0"/>
          <w:sz w:val="15"/>
          <w:szCs w:val="15"/>
        </w:rPr>
      </w:pPr>
      <w:r>
        <w:rPr>
          <w:color w:val="3D3D3D"/>
          <w:kern w:val="0"/>
          <w:sz w:val="15"/>
          <w:szCs w:val="15"/>
        </w:rPr>
        <w:t xml:space="preserve"> </w:t>
      </w:r>
      <w:r>
        <w:rPr>
          <w:color w:val="3D3D3D"/>
          <w:kern w:val="0"/>
          <w:sz w:val="15"/>
          <w:szCs w:val="15"/>
        </w:rPr>
        <w:t>16.</w:t>
      </w:r>
      <w:r>
        <w:rPr>
          <w:color w:val="3D3D3D"/>
          <w:kern w:val="0"/>
          <w:sz w:val="15"/>
          <w:szCs w:val="15"/>
        </w:rPr>
        <w:t>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rsidR="002B1050" w:rsidRDefault="00E02DD4">
      <w:pPr>
        <w:pStyle w:val="Normal079f1999079f1999"/>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rsidR="002B1050" w:rsidRDefault="00E02DD4">
      <w:pPr>
        <w:pStyle w:val="Normal079f1999079f1999"/>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rsidR="002B1050" w:rsidRDefault="00E02DD4">
      <w:pPr>
        <w:pStyle w:val="Normal079f1999079f1999"/>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2B1050" w:rsidRDefault="00E02DD4">
      <w:pPr>
        <w:pStyle w:val="Normal079f1999079f1999"/>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不可抗力：指理财产品各方不能预见、不能避免且不能克服的客观情况，该事件妨碍、影响或延误任何一方依相关理财产品销售文件的约定履行其全部或部分义务。该事件包括但不限于：</w:t>
      </w:r>
    </w:p>
    <w:p w:rsidR="002B1050" w:rsidRDefault="00E02DD4">
      <w:pPr>
        <w:pStyle w:val="125e0a64425e0a644"/>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2B1050" w:rsidRDefault="00E02DD4">
      <w:pPr>
        <w:pStyle w:val="125e0a64425e0a644"/>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2B1050" w:rsidRDefault="00E02DD4">
      <w:pPr>
        <w:pStyle w:val="125e0a64425e0a644"/>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2B1050" w:rsidRDefault="00E02DD4">
      <w:pPr>
        <w:pStyle w:val="125e0a64425e0a644"/>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2B1050" w:rsidRDefault="00E02DD4">
      <w:pPr>
        <w:pStyle w:val="125e0a64425e0a644"/>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2B1050" w:rsidRDefault="00E02DD4">
      <w:pPr>
        <w:pStyle w:val="125e0a64425e0a644"/>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rsidR="002B1050" w:rsidRDefault="00E02DD4">
      <w:pPr>
        <w:pStyle w:val="Normal079f1999079f1999"/>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rsidR="002B1050" w:rsidRDefault="00E02DD4">
      <w:pPr>
        <w:pStyle w:val="Normal079f1999079f1999"/>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rsidR="002B1050" w:rsidRDefault="00E02DD4">
      <w:pPr>
        <w:pStyle w:val="Normal079f1999079f1999"/>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w:t>
      </w:r>
      <w:r>
        <w:rPr>
          <w:color w:val="3D3D3D"/>
          <w:kern w:val="0"/>
          <w:sz w:val="15"/>
          <w:szCs w:val="15"/>
        </w:rPr>
        <w:t>、规则、通知、须知、业务指南、指引或操作规程，及其有效的修改、更新或补充。</w:t>
      </w:r>
    </w:p>
    <w:p w:rsidR="002B1050" w:rsidRDefault="00E02DD4">
      <w:pPr>
        <w:pStyle w:val="Normal72bf5e8e"/>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rsidR="002B1050" w:rsidRDefault="00E02DD4">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2B1050" w:rsidRDefault="00E02DD4">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2B1050" w:rsidRDefault="00E02DD4">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2B1050" w:rsidRDefault="00E02DD4">
      <w:pPr>
        <w:pStyle w:val="Normal72bf5e8e"/>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2B1050" w:rsidRDefault="00E02DD4">
      <w:pPr>
        <w:pStyle w:val="Normal72bf5e8e"/>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2B1050" w:rsidRDefault="00E02DD4">
      <w:pPr>
        <w:pStyle w:val="Normal72bf5e8e"/>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rsidR="002B1050" w:rsidRDefault="00E02DD4">
      <w:pPr>
        <w:spacing w:line="200" w:lineRule="exact"/>
        <w:ind w:firstLine="300"/>
      </w:pPr>
      <w:r>
        <w:rPr>
          <w:rFonts w:cs="宋体"/>
          <w:sz w:val="15"/>
          <w:szCs w:val="20"/>
        </w:rPr>
        <w:t>（一）估值日</w:t>
      </w:r>
    </w:p>
    <w:p w:rsidR="002B1050" w:rsidRDefault="00E02DD4">
      <w:pPr>
        <w:spacing w:line="200" w:lineRule="exact"/>
        <w:ind w:firstLine="300"/>
      </w:pPr>
      <w:r>
        <w:rPr>
          <w:rFonts w:cs="宋体"/>
          <w:sz w:val="15"/>
          <w:szCs w:val="20"/>
        </w:rPr>
        <w:t>本理财产品每个工作日进行估值。</w:t>
      </w:r>
    </w:p>
    <w:p w:rsidR="002B1050" w:rsidRDefault="00E02DD4">
      <w:pPr>
        <w:spacing w:line="200" w:lineRule="exact"/>
        <w:ind w:firstLine="300"/>
      </w:pPr>
      <w:r>
        <w:rPr>
          <w:rFonts w:cs="宋体"/>
          <w:sz w:val="15"/>
          <w:szCs w:val="20"/>
        </w:rPr>
        <w:t>（二）估值对象</w:t>
      </w:r>
    </w:p>
    <w:p w:rsidR="002B1050" w:rsidRDefault="00E02DD4">
      <w:pPr>
        <w:spacing w:line="200" w:lineRule="exact"/>
        <w:ind w:firstLine="300"/>
      </w:pPr>
      <w:r>
        <w:rPr>
          <w:rFonts w:cs="宋体"/>
          <w:sz w:val="15"/>
          <w:szCs w:val="20"/>
        </w:rPr>
        <w:t>本理财产品所拥有的所有资产及负债。</w:t>
      </w:r>
    </w:p>
    <w:p w:rsidR="002B1050" w:rsidRDefault="00E02DD4">
      <w:pPr>
        <w:spacing w:line="200" w:lineRule="exact"/>
        <w:ind w:firstLine="300"/>
      </w:pPr>
      <w:r>
        <w:rPr>
          <w:rFonts w:cs="宋体"/>
          <w:sz w:val="15"/>
          <w:szCs w:val="20"/>
        </w:rPr>
        <w:t>（三）估值目的</w:t>
      </w:r>
    </w:p>
    <w:p w:rsidR="002B1050" w:rsidRDefault="00E02DD4">
      <w:pPr>
        <w:spacing w:line="200" w:lineRule="exact"/>
        <w:ind w:firstLine="300"/>
      </w:pPr>
      <w:r>
        <w:rPr>
          <w:rFonts w:cs="宋体"/>
          <w:sz w:val="15"/>
          <w:szCs w:val="20"/>
        </w:rPr>
        <w:t>客观、准确反映理财产品的价值。</w:t>
      </w:r>
    </w:p>
    <w:p w:rsidR="002B1050" w:rsidRDefault="00E02DD4">
      <w:pPr>
        <w:spacing w:line="200" w:lineRule="exact"/>
        <w:ind w:firstLine="300"/>
      </w:pPr>
      <w:r>
        <w:rPr>
          <w:rFonts w:cs="宋体"/>
          <w:sz w:val="15"/>
          <w:szCs w:val="20"/>
        </w:rPr>
        <w:t>（四）估值原则</w:t>
      </w:r>
    </w:p>
    <w:p w:rsidR="002B1050" w:rsidRDefault="00E02DD4">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2B1050" w:rsidRDefault="00E02DD4">
      <w:pPr>
        <w:spacing w:line="200" w:lineRule="exact"/>
        <w:ind w:firstLine="300"/>
      </w:pPr>
      <w:r>
        <w:rPr>
          <w:rFonts w:cs="宋体"/>
          <w:sz w:val="15"/>
          <w:szCs w:val="20"/>
        </w:rPr>
        <w:t>（五）估值方法</w:t>
      </w:r>
    </w:p>
    <w:p w:rsidR="002B1050" w:rsidRDefault="00E02DD4">
      <w:pPr>
        <w:spacing w:line="200" w:lineRule="exact"/>
        <w:ind w:firstLine="440"/>
      </w:pPr>
      <w:r>
        <w:rPr>
          <w:rFonts w:cs="宋体"/>
          <w:sz w:val="18"/>
          <w:szCs w:val="20"/>
        </w:rPr>
        <w:t>估值方法中列示的资产品种不代表管理人的实际投向，本理财产品拟投资范围以</w:t>
      </w:r>
      <w:r>
        <w:rPr>
          <w:rFonts w:cs="宋体"/>
          <w:sz w:val="18"/>
          <w:szCs w:val="20"/>
        </w:rPr>
        <w:t>“</w:t>
      </w:r>
      <w:r>
        <w:rPr>
          <w:rFonts w:cs="宋体"/>
          <w:sz w:val="18"/>
          <w:szCs w:val="20"/>
        </w:rPr>
        <w:t>投资范围</w:t>
      </w:r>
      <w:r>
        <w:rPr>
          <w:rFonts w:cs="宋体"/>
          <w:sz w:val="18"/>
          <w:szCs w:val="20"/>
        </w:rPr>
        <w:t>”</w:t>
      </w:r>
      <w:r>
        <w:rPr>
          <w:rFonts w:cs="宋体"/>
          <w:sz w:val="18"/>
          <w:szCs w:val="20"/>
        </w:rPr>
        <w:t>章节描述为准。</w:t>
      </w:r>
    </w:p>
    <w:p w:rsidR="002B1050" w:rsidRDefault="00E02DD4">
      <w:pPr>
        <w:spacing w:line="200" w:lineRule="exact"/>
        <w:ind w:firstLine="440"/>
      </w:pPr>
      <w:r>
        <w:rPr>
          <w:rFonts w:cs="宋体"/>
          <w:sz w:val="18"/>
          <w:szCs w:val="20"/>
        </w:rPr>
        <w:t>1.</w:t>
      </w:r>
      <w:r>
        <w:rPr>
          <w:rFonts w:cs="宋体"/>
          <w:sz w:val="18"/>
          <w:szCs w:val="20"/>
        </w:rPr>
        <w:t>银行存款、回购等货币市场工具</w:t>
      </w:r>
    </w:p>
    <w:p w:rsidR="002B1050" w:rsidRDefault="00E02DD4">
      <w:pPr>
        <w:spacing w:line="200" w:lineRule="exact"/>
        <w:ind w:firstLine="440"/>
      </w:pPr>
      <w:r>
        <w:rPr>
          <w:rFonts w:cs="宋体"/>
          <w:sz w:val="18"/>
          <w:szCs w:val="20"/>
        </w:rPr>
        <w:t>以本金列示，逐日计提利息。</w:t>
      </w:r>
    </w:p>
    <w:p w:rsidR="002B1050" w:rsidRDefault="00E02DD4">
      <w:pPr>
        <w:spacing w:line="200" w:lineRule="exact"/>
        <w:ind w:firstLine="440"/>
      </w:pPr>
      <w:r>
        <w:rPr>
          <w:rFonts w:cs="宋体"/>
          <w:sz w:val="18"/>
          <w:szCs w:val="20"/>
        </w:rPr>
        <w:t>2.</w:t>
      </w:r>
      <w:r>
        <w:rPr>
          <w:rFonts w:cs="宋体"/>
          <w:sz w:val="18"/>
          <w:szCs w:val="20"/>
        </w:rPr>
        <w:t>债券类资产</w:t>
      </w:r>
    </w:p>
    <w:p w:rsidR="002B1050" w:rsidRDefault="00E02DD4">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的资产按摊余成本法估值，并按照会计准则采用合理减值计量模型或第三方减值计量结果进行预期信用损失的减值计提。</w:t>
      </w:r>
    </w:p>
    <w:p w:rsidR="002B1050" w:rsidRDefault="00E02DD4">
      <w:pPr>
        <w:spacing w:line="200" w:lineRule="exact"/>
        <w:ind w:firstLine="440"/>
      </w:pPr>
      <w:r>
        <w:rPr>
          <w:rFonts w:cs="宋体"/>
          <w:sz w:val="18"/>
          <w:szCs w:val="20"/>
        </w:rPr>
        <w:t>3.</w:t>
      </w:r>
      <w:r>
        <w:rPr>
          <w:rFonts w:cs="宋体"/>
          <w:sz w:val="18"/>
          <w:szCs w:val="20"/>
        </w:rPr>
        <w:t>非标准化债权类资产</w:t>
      </w:r>
    </w:p>
    <w:p w:rsidR="002B1050" w:rsidRDefault="00E02DD4">
      <w:pPr>
        <w:spacing w:line="200" w:lineRule="exact"/>
        <w:ind w:firstLine="440"/>
      </w:pPr>
      <w:r>
        <w:rPr>
          <w:rFonts w:cs="宋体"/>
          <w:sz w:val="18"/>
          <w:szCs w:val="20"/>
        </w:rPr>
        <w:t>非标准化债权类资产按照公允价值估值，优先采用市值法估值。对于符合企业会计准则及监管规定范围内且分类为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w:t>
      </w:r>
      <w:r>
        <w:rPr>
          <w:rFonts w:cs="宋体"/>
          <w:sz w:val="18"/>
          <w:szCs w:val="20"/>
        </w:rPr>
        <w:t>按照会计准则采用合理减值计量模型或第三方减值计量结果进行预期信用损失的减值计提。</w:t>
      </w:r>
    </w:p>
    <w:p w:rsidR="002B1050" w:rsidRDefault="00E02DD4">
      <w:pPr>
        <w:spacing w:line="200" w:lineRule="exact"/>
        <w:ind w:firstLine="440"/>
      </w:pPr>
      <w:r>
        <w:rPr>
          <w:rFonts w:cs="宋体"/>
          <w:sz w:val="18"/>
          <w:szCs w:val="20"/>
        </w:rPr>
        <w:t>4.</w:t>
      </w:r>
      <w:r>
        <w:rPr>
          <w:rFonts w:cs="宋体"/>
          <w:sz w:val="18"/>
          <w:szCs w:val="20"/>
        </w:rPr>
        <w:t>证券投资基金、资管计划、信托计划等资产</w:t>
      </w:r>
    </w:p>
    <w:p w:rsidR="002B1050" w:rsidRDefault="00E02DD4">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2B1050" w:rsidRDefault="00E02DD4">
      <w:pPr>
        <w:spacing w:line="200" w:lineRule="exact"/>
        <w:ind w:firstLine="440"/>
      </w:pPr>
      <w:r>
        <w:rPr>
          <w:rFonts w:cs="宋体"/>
          <w:sz w:val="18"/>
          <w:szCs w:val="20"/>
        </w:rPr>
        <w:t>5.</w:t>
      </w:r>
      <w:r>
        <w:rPr>
          <w:rFonts w:cs="宋体"/>
          <w:sz w:val="18"/>
          <w:szCs w:val="20"/>
        </w:rPr>
        <w:t>股权类及其他资产</w:t>
      </w:r>
    </w:p>
    <w:p w:rsidR="002B1050" w:rsidRDefault="00E02DD4">
      <w:pPr>
        <w:spacing w:line="200" w:lineRule="exact"/>
        <w:ind w:firstLine="440"/>
      </w:pPr>
      <w:r>
        <w:rPr>
          <w:rFonts w:cs="宋体"/>
          <w:sz w:val="18"/>
          <w:szCs w:val="20"/>
        </w:rPr>
        <w:t>按照公允价值估值，优先采用市值法估值。</w:t>
      </w:r>
    </w:p>
    <w:p w:rsidR="002B1050" w:rsidRDefault="00E02DD4">
      <w:pPr>
        <w:spacing w:line="200" w:lineRule="exact"/>
        <w:ind w:firstLine="440"/>
      </w:pPr>
      <w:r>
        <w:rPr>
          <w:rFonts w:cs="宋体"/>
          <w:sz w:val="18"/>
          <w:szCs w:val="20"/>
        </w:rPr>
        <w:t>6.</w:t>
      </w:r>
      <w:r>
        <w:rPr>
          <w:rFonts w:cs="宋体"/>
          <w:sz w:val="18"/>
          <w:szCs w:val="20"/>
        </w:rPr>
        <w:t>如有新增事项或变更事项，按国家最新规定或监管最新要求进行调整。</w:t>
      </w:r>
    </w:p>
    <w:p w:rsidR="002B1050" w:rsidRDefault="00E02DD4">
      <w:pPr>
        <w:spacing w:line="200" w:lineRule="exact"/>
        <w:ind w:firstLine="300"/>
      </w:pPr>
      <w:r>
        <w:rPr>
          <w:rFonts w:cs="宋体"/>
          <w:sz w:val="15"/>
          <w:szCs w:val="20"/>
        </w:rPr>
        <w:t>（六）估值错误及暂停估值</w:t>
      </w:r>
    </w:p>
    <w:p w:rsidR="002B1050" w:rsidRDefault="00E02DD4">
      <w:pPr>
        <w:spacing w:line="200" w:lineRule="exact"/>
        <w:ind w:firstLine="300"/>
      </w:pPr>
      <w:r>
        <w:rPr>
          <w:rFonts w:cs="宋体"/>
          <w:sz w:val="15"/>
          <w:szCs w:val="20"/>
        </w:rPr>
        <w:t>当资产估值或份额净值计价错误且给投资者造成损失的，管理人应立即纠正，并采取合理的</w:t>
      </w:r>
      <w:r>
        <w:rPr>
          <w:rFonts w:cs="宋体"/>
          <w:sz w:val="15"/>
          <w:szCs w:val="20"/>
        </w:rPr>
        <w:t>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2B1050" w:rsidRDefault="00E02DD4">
      <w:pPr>
        <w:pStyle w:val="Normal72bf5e8e"/>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rsidR="002B1050" w:rsidRDefault="00E02DD4">
      <w:pPr>
        <w:pStyle w:val="Normal72bf5e8e"/>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2B1050" w:rsidRDefault="00E02DD4">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2B1050" w:rsidRDefault="00E02DD4">
      <w:pPr>
        <w:pStyle w:val="Normal72bf5e8e"/>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2B1050" w:rsidRDefault="00E02DD4">
      <w:pPr>
        <w:pStyle w:val="Normal72bf5e8e"/>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2B1050" w:rsidRDefault="00E02DD4">
      <w:pPr>
        <w:pStyle w:val="Normal72bf5e8e"/>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rsidR="002B1050" w:rsidRDefault="00E02DD4">
      <w:pPr>
        <w:pStyle w:val="Normal72bf5e8e"/>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2B1050" w:rsidRDefault="00E02DD4">
      <w:pPr>
        <w:pStyle w:val="Normal72bf5e8e"/>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2B1050" w:rsidRDefault="00E02DD4">
      <w:pPr>
        <w:pStyle w:val="Normal72bf5e8e"/>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2B1050" w:rsidRDefault="00E02DD4">
      <w:pPr>
        <w:pStyle w:val="Normal72bf5e8e"/>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rsidR="002B1050" w:rsidRDefault="00E02DD4">
      <w:pPr>
        <w:pStyle w:val="Normal72bf5e8e"/>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2B1050" w:rsidRDefault="00E02DD4">
      <w:pPr>
        <w:pStyle w:val="Normal72bf5e8e"/>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2B1050" w:rsidRDefault="00E02DD4">
      <w:pPr>
        <w:pStyle w:val="Normal72bf5e8e"/>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2B1050" w:rsidRDefault="00E02DD4">
      <w:pPr>
        <w:pStyle w:val="Normal72bf5e8e"/>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2B1050" w:rsidRDefault="00E02DD4">
      <w:pPr>
        <w:pStyle w:val="Normal72bf5e8e"/>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2B1050" w:rsidRDefault="00E02DD4">
      <w:pPr>
        <w:pStyle w:val="Normal72bf5e8e"/>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2B1050" w:rsidRDefault="00E02DD4">
      <w:pPr>
        <w:pStyle w:val="Normal72bf5e8e"/>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2B1050" w:rsidRDefault="00E02DD4">
      <w:pPr>
        <w:pStyle w:val="Normal72bf5e8e"/>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w:t>
      </w:r>
      <w:r>
        <w:rPr>
          <w:rFonts w:hint="eastAsia"/>
          <w:color w:val="3D3D3D"/>
          <w:kern w:val="0"/>
          <w:sz w:val="15"/>
          <w:szCs w:val="15"/>
        </w:rPr>
        <w:t>息</w:t>
      </w:r>
      <w:r>
        <w:rPr>
          <w:rFonts w:hint="eastAsia"/>
          <w:color w:val="3D3D3D"/>
          <w:kern w:val="0"/>
          <w:sz w:val="15"/>
          <w:szCs w:val="15"/>
        </w:rPr>
        <w:t>。</w:t>
      </w:r>
    </w:p>
    <w:p w:rsidR="002B1050" w:rsidRDefault="00E02DD4">
      <w:pPr>
        <w:pStyle w:val="Normal72bf5e8e"/>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2B1050" w:rsidRDefault="00E02DD4">
      <w:pPr>
        <w:pStyle w:val="Normal72bf5e8e"/>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rsidR="002B1050" w:rsidRDefault="00E02DD4">
      <w:pPr>
        <w:pStyle w:val="Normal72bf5e8e"/>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2B1050" w:rsidRDefault="00E02DD4">
      <w:pPr>
        <w:pStyle w:val="Normal72bf5e8e"/>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r>
        <w:rPr>
          <w:rFonts w:hint="eastAsia"/>
          <w:b/>
          <w:bCs/>
          <w:color w:val="3D3D3D"/>
          <w:kern w:val="0"/>
          <w:sz w:val="15"/>
          <w:szCs w:val="15"/>
        </w:rPr>
        <w:t>；</w:t>
      </w:r>
    </w:p>
    <w:p w:rsidR="002B1050" w:rsidRDefault="00E02DD4">
      <w:pPr>
        <w:pStyle w:val="Normal72bf5e8e"/>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w:t>
      </w:r>
      <w:r>
        <w:rPr>
          <w:b/>
          <w:bCs/>
          <w:color w:val="3D3D3D"/>
          <w:kern w:val="0"/>
          <w:sz w:val="15"/>
          <w:szCs w:val="15"/>
        </w:rPr>
        <w:t>本理财产品说明书项下相关业务的，视同其接受调整内容、放弃赎回权并继续持有本理财产品。</w:t>
      </w:r>
    </w:p>
    <w:p w:rsidR="002B1050" w:rsidRDefault="00E02DD4">
      <w:pPr>
        <w:pStyle w:val="Normal72bf5e8e"/>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rsidR="002B1050" w:rsidRDefault="00E02DD4">
      <w:pPr>
        <w:pStyle w:val="Normal72bf5e8e"/>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2B1050" w:rsidRDefault="00E02DD4">
      <w:pPr>
        <w:pStyle w:val="Normal72bf5e8e"/>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rsidR="002B1050" w:rsidRDefault="00E02DD4">
      <w:pPr>
        <w:pStyle w:val="Normal72bf5e8e"/>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2B1050" w:rsidRDefault="00E02DD4">
      <w:pPr>
        <w:pStyle w:val="Normal72bf5e8e"/>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2B1050" w:rsidRDefault="00E02DD4">
      <w:pPr>
        <w:pStyle w:val="Normal72bf5e8e"/>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2B1050" w:rsidRDefault="00E02DD4">
      <w:pPr>
        <w:pStyle w:val="Normal72bf5e8e"/>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rsidR="002B1050" w:rsidRDefault="00E02DD4">
      <w:pPr>
        <w:pStyle w:val="Normal72bf5e8e"/>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2B1050" w:rsidRDefault="00E02DD4">
      <w:pPr>
        <w:pStyle w:val="Normal72bf5e8e"/>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rsidR="002B1050" w:rsidRDefault="00E02DD4">
      <w:pPr>
        <w:pStyle w:val="Normal72bf5e8e"/>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2B1050" w:rsidRDefault="00E02DD4">
      <w:pPr>
        <w:pStyle w:val="Normal72bf5e8e"/>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rsidR="002B1050" w:rsidRDefault="00E02DD4">
      <w:pPr>
        <w:pStyle w:val="Normal72bf5e8e"/>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rsidR="002B1050" w:rsidRDefault="002B1050">
      <w:pPr>
        <w:pStyle w:val="Normal72bf5e8e"/>
        <w:widowControl/>
        <w:rPr>
          <w:b/>
          <w:bCs/>
          <w:color w:val="3D3D3D"/>
          <w:kern w:val="0"/>
          <w:sz w:val="15"/>
          <w:szCs w:val="15"/>
        </w:rPr>
      </w:pPr>
    </w:p>
    <w:p w:rsidR="002B1050" w:rsidRDefault="00E02DD4">
      <w:pPr>
        <w:pStyle w:val="Normal72bf5e8e"/>
        <w:widowControl/>
        <w:rPr>
          <w:b/>
          <w:bCs/>
          <w:color w:val="3D3D3D"/>
          <w:kern w:val="0"/>
          <w:sz w:val="15"/>
          <w:szCs w:val="15"/>
        </w:rPr>
      </w:pPr>
      <w:r>
        <w:rPr>
          <w:rFonts w:hint="eastAsia"/>
          <w:b/>
          <w:bCs/>
          <w:color w:val="3D3D3D"/>
          <w:kern w:val="0"/>
          <w:sz w:val="15"/>
          <w:szCs w:val="15"/>
        </w:rPr>
        <w:t>风险提示：</w:t>
      </w:r>
    </w:p>
    <w:p w:rsidR="002B1050" w:rsidRDefault="00E02DD4">
      <w:pPr>
        <w:pStyle w:val="Normal72bf5e8e"/>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p>
      <w:r>
        <w:br w:type="page"/>
      </w:r>
    </w:p>
    <w:p w14:paraId="157B085A" w14:textId="77777777" w:rsidR="00A50A8D" w:rsidRDefault="00A50A8D">
      <w:pPr>
        <w:spacing w:line="0" w:lineRule="atLeast"/>
        <w:jc w:val="center"/>
        <w:rPr>
          <w:rFonts w:ascii="方正黑体_GBK" w:eastAsia="方正黑体_GBK" w:hAnsi="Times New Roman"/>
          <w:b/>
          <w:bCs/>
          <w:sz w:val="24"/>
          <w:szCs w:val="15"/>
        </w:rPr>
      </w:pPr>
      <w:bookmarkStart w:id="1" w:name="_GoBack"/>
      <w:bookmarkEnd w:id="1"/>
    </w:p>
    <w:p w14:paraId="3436DEA4" w14:textId="77777777" w:rsidR="00A50A8D" w:rsidRDefault="00A50A8D">
      <w:pPr>
        <w:spacing w:line="0" w:lineRule="atLeast"/>
        <w:jc w:val="center"/>
        <w:rPr>
          <w:rFonts w:ascii="方正黑体_GBK" w:eastAsia="方正黑体_GBK" w:hAnsi="Times New Roman"/>
          <w:b/>
          <w:bCs/>
          <w:sz w:val="24"/>
          <w:szCs w:val="15"/>
        </w:rPr>
      </w:pPr>
    </w:p>
    <w:p w14:paraId="0FA2726F" w14:textId="77777777" w:rsidR="00A50A8D" w:rsidRDefault="00A50A8D">
      <w:pPr>
        <w:spacing w:line="0" w:lineRule="atLeast"/>
        <w:jc w:val="center"/>
        <w:rPr>
          <w:rFonts w:ascii="方正黑体_GBK" w:eastAsia="方正黑体_GBK" w:hAnsi="Times New Roman"/>
          <w:b/>
          <w:bCs/>
          <w:sz w:val="24"/>
          <w:szCs w:val="15"/>
        </w:rPr>
      </w:pPr>
    </w:p>
    <w:p w14:paraId="05E11E65" w14:textId="77777777" w:rsidR="00A50A8D" w:rsidRDefault="00A50A8D">
      <w:pPr>
        <w:spacing w:line="0" w:lineRule="atLeast"/>
        <w:jc w:val="center"/>
        <w:rPr>
          <w:rFonts w:ascii="方正黑体_GBK" w:eastAsia="方正黑体_GBK" w:hAnsi="Times New Roman"/>
          <w:b/>
          <w:bCs/>
          <w:sz w:val="24"/>
          <w:szCs w:val="15"/>
        </w:rPr>
      </w:pPr>
    </w:p>
    <w:p w14:paraId="7D4A08DB" w14:textId="77777777" w:rsidR="00A50A8D" w:rsidRDefault="00A50A8D">
      <w:pPr>
        <w:spacing w:line="0" w:lineRule="atLeast"/>
        <w:jc w:val="center"/>
        <w:rPr>
          <w:rFonts w:ascii="方正黑体_GBK" w:eastAsia="方正黑体_GBK" w:hAnsi="Times New Roman"/>
          <w:b/>
          <w:bCs/>
          <w:sz w:val="24"/>
          <w:szCs w:val="15"/>
        </w:rPr>
      </w:pPr>
    </w:p>
    <w:p w14:paraId="3A298E25" w14:textId="77777777" w:rsidR="00A50A8D" w:rsidRDefault="00A50A8D">
      <w:pPr>
        <w:spacing w:line="0" w:lineRule="atLeast"/>
        <w:jc w:val="center"/>
        <w:rPr>
          <w:rFonts w:ascii="方正黑体_GBK" w:eastAsia="方正黑体_GBK" w:hAnsi="Times New Roman"/>
          <w:b/>
          <w:bCs/>
          <w:sz w:val="24"/>
          <w:szCs w:val="15"/>
        </w:rPr>
      </w:pPr>
    </w:p>
    <w:p w14:paraId="09329E85" w14:textId="77777777" w:rsidR="00A50A8D" w:rsidRDefault="00A50A8D">
      <w:pPr>
        <w:spacing w:line="0" w:lineRule="atLeast"/>
        <w:jc w:val="center"/>
        <w:rPr>
          <w:rFonts w:ascii="方正黑体_GBK" w:eastAsia="方正黑体_GBK" w:hAnsi="Times New Roman"/>
          <w:b/>
          <w:bCs/>
          <w:sz w:val="24"/>
          <w:szCs w:val="15"/>
        </w:rPr>
      </w:pPr>
    </w:p>
    <w:p w14:paraId="143FA78C" w14:textId="77777777" w:rsidR="00A50A8D" w:rsidRDefault="00A50A8D">
      <w:pPr>
        <w:spacing w:line="0" w:lineRule="atLeast"/>
        <w:jc w:val="center"/>
        <w:rPr>
          <w:rFonts w:ascii="方正黑体_GBK" w:eastAsia="方正黑体_GBK" w:hAnsi="Times New Roman"/>
          <w:b/>
          <w:bCs/>
          <w:sz w:val="24"/>
          <w:szCs w:val="15"/>
        </w:rPr>
      </w:pPr>
    </w:p>
    <w:p w14:paraId="515CFE60" w14:textId="77777777" w:rsidR="00A50A8D" w:rsidRDefault="00A50A8D">
      <w:pPr>
        <w:spacing w:line="0" w:lineRule="atLeast"/>
        <w:jc w:val="center"/>
        <w:rPr>
          <w:rFonts w:ascii="方正黑体_GBK" w:eastAsia="方正黑体_GBK" w:hAnsi="Times New Roman"/>
          <w:b/>
          <w:bCs/>
          <w:sz w:val="24"/>
          <w:szCs w:val="15"/>
        </w:rPr>
      </w:pPr>
    </w:p>
    <w:p w14:paraId="2FC10E02" w14:textId="77777777" w:rsidR="00A50A8D" w:rsidRDefault="00E168B6">
      <w:pPr>
        <w:spacing w:line="0" w:lineRule="atLeast"/>
        <w:jc w:val="center"/>
        <w:rPr>
          <w:rFonts w:ascii="方正黑体_GBK" w:eastAsia="方正黑体_GBK" w:hAnsi="Times New Roman"/>
          <w:b/>
          <w:bCs/>
          <w:sz w:val="24"/>
          <w:szCs w:val="15"/>
        </w:rPr>
      </w:pPr>
      <w:r>
        <w:rPr>
          <w:rFonts w:ascii="方正黑体_GBK" w:eastAsia="方正黑体_GBK" w:hAnsi="Times New Roman" w:hint="eastAsia"/>
          <w:b/>
          <w:bCs/>
          <w:sz w:val="24"/>
          <w:szCs w:val="15"/>
        </w:rPr>
        <w:t>理财产品销售协议书</w:t>
      </w:r>
    </w:p>
    <w:p w14:paraId="2E91640B" w14:textId="77777777" w:rsidR="00A50A8D" w:rsidRDefault="00A50A8D">
      <w:pPr>
        <w:tabs>
          <w:tab w:val="left" w:pos="0"/>
        </w:tabs>
        <w:jc w:val="center"/>
        <w:rPr>
          <w:rFonts w:ascii="方正黑体_GBK" w:eastAsia="方正黑体_GBK" w:hAnsi="Times New Roman"/>
          <w:szCs w:val="21"/>
        </w:rPr>
      </w:pPr>
    </w:p>
    <w:p w14:paraId="71E79509" w14:textId="77777777" w:rsidR="00A50A8D" w:rsidRDefault="00A50A8D">
      <w:pPr>
        <w:tabs>
          <w:tab w:val="left" w:pos="0"/>
        </w:tabs>
        <w:jc w:val="center"/>
        <w:rPr>
          <w:rFonts w:ascii="方正黑体_GBK" w:eastAsia="方正黑体_GBK" w:hAnsi="Times New Roman"/>
          <w:szCs w:val="21"/>
        </w:rPr>
      </w:pPr>
    </w:p>
    <w:p w14:paraId="697BCF88" w14:textId="77777777" w:rsidR="00A50A8D" w:rsidRDefault="00A50A8D">
      <w:pPr>
        <w:tabs>
          <w:tab w:val="left" w:pos="0"/>
        </w:tabs>
        <w:jc w:val="center"/>
        <w:rPr>
          <w:rFonts w:ascii="方正黑体_GBK" w:eastAsia="方正黑体_GBK" w:hAnsi="Times New Roman"/>
          <w:szCs w:val="21"/>
        </w:rPr>
      </w:pPr>
    </w:p>
    <w:p w14:paraId="141B1B9A" w14:textId="77777777" w:rsidR="00A50A8D" w:rsidRDefault="00A50A8D">
      <w:pPr>
        <w:tabs>
          <w:tab w:val="left" w:pos="0"/>
        </w:tabs>
        <w:jc w:val="center"/>
        <w:rPr>
          <w:rFonts w:ascii="方正黑体_GBK" w:eastAsia="方正黑体_GBK" w:hAnsi="Times New Roman"/>
          <w:szCs w:val="21"/>
        </w:rPr>
      </w:pPr>
    </w:p>
    <w:p w14:paraId="7FCB0189" w14:textId="77777777" w:rsidR="00A50A8D" w:rsidRDefault="00A50A8D">
      <w:pPr>
        <w:tabs>
          <w:tab w:val="left" w:pos="0"/>
        </w:tabs>
        <w:jc w:val="center"/>
        <w:rPr>
          <w:rFonts w:ascii="方正黑体_GBK" w:eastAsia="方正黑体_GBK" w:hAnsi="Times New Roman"/>
          <w:szCs w:val="21"/>
        </w:rPr>
      </w:pPr>
    </w:p>
    <w:p w14:paraId="3D825ECA" w14:textId="77777777" w:rsidR="00A50A8D" w:rsidRDefault="00A50A8D">
      <w:pPr>
        <w:tabs>
          <w:tab w:val="left" w:pos="0"/>
        </w:tabs>
        <w:jc w:val="center"/>
        <w:rPr>
          <w:rFonts w:ascii="方正黑体_GBK" w:eastAsia="方正黑体_GBK" w:hAnsi="Times New Roman"/>
          <w:szCs w:val="21"/>
        </w:rPr>
      </w:pPr>
    </w:p>
    <w:p w14:paraId="30E393DD" w14:textId="77777777" w:rsidR="00A50A8D" w:rsidRDefault="00A50A8D">
      <w:pPr>
        <w:tabs>
          <w:tab w:val="left" w:pos="0"/>
        </w:tabs>
        <w:jc w:val="center"/>
        <w:rPr>
          <w:rFonts w:ascii="方正黑体_GBK" w:eastAsia="方正黑体_GBK" w:hAnsi="Times New Roman"/>
          <w:szCs w:val="21"/>
        </w:rPr>
      </w:pPr>
    </w:p>
    <w:p w14:paraId="2F9F9337" w14:textId="77777777" w:rsidR="00A50A8D" w:rsidRDefault="00A50A8D">
      <w:pPr>
        <w:tabs>
          <w:tab w:val="left" w:pos="0"/>
        </w:tabs>
        <w:jc w:val="center"/>
        <w:rPr>
          <w:rFonts w:ascii="方正黑体_GBK" w:eastAsia="方正黑体_GBK" w:hAnsi="Times New Roman"/>
          <w:szCs w:val="21"/>
        </w:rPr>
      </w:pPr>
    </w:p>
    <w:p w14:paraId="7EB665FB" w14:textId="77777777" w:rsidR="00A50A8D" w:rsidRDefault="00E168B6">
      <w:pPr>
        <w:tabs>
          <w:tab w:val="left" w:pos="0"/>
        </w:tabs>
        <w:jc w:val="center"/>
        <w:rPr>
          <w:rFonts w:ascii="方正黑体_GBK" w:eastAsia="方正黑体_GBK" w:hAnsi="Times New Roman"/>
          <w:szCs w:val="21"/>
          <w:u w:val="single"/>
        </w:rPr>
      </w:pPr>
      <w:r>
        <w:rPr>
          <w:rFonts w:ascii="方正黑体_GBK" w:eastAsia="方正黑体_GBK" w:hAnsi="Times New Roman" w:hint="eastAsia"/>
          <w:szCs w:val="21"/>
        </w:rPr>
        <w:t>编制单位：</w:t>
      </w:r>
      <w:r>
        <w:rPr>
          <w:rFonts w:ascii="方正黑体_GBK" w:eastAsia="方正黑体_GBK" w:hAnsi="Times New Roman" w:hint="eastAsia"/>
          <w:szCs w:val="21"/>
          <w:u w:val="single"/>
        </w:rPr>
        <w:t>南银理财有限责任公司</w:t>
      </w:r>
    </w:p>
    <w:p w14:paraId="497DA317" w14:textId="77777777" w:rsidR="00A50A8D" w:rsidRDefault="00E168B6">
      <w:pPr>
        <w:tabs>
          <w:tab w:val="left" w:pos="0"/>
        </w:tabs>
        <w:jc w:val="center"/>
        <w:rPr>
          <w:rFonts w:ascii="方正黑体_GBK" w:eastAsia="方正黑体_GBK" w:hAnsi="Times New Roman"/>
          <w:szCs w:val="21"/>
          <w:u w:val="single"/>
        </w:rPr>
        <w:sectPr w:rsidR="00A50A8D">
          <w:headerReference w:type="default" r:id="rId7"/>
          <w:pgSz w:w="11906" w:h="16838"/>
          <w:pgMar w:top="720" w:right="720" w:bottom="720" w:left="720" w:header="510" w:footer="624" w:gutter="0"/>
          <w:cols w:space="720"/>
          <w:docGrid w:type="lines" w:linePitch="312"/>
        </w:sectPr>
      </w:pPr>
      <w:r>
        <w:rPr>
          <w:rFonts w:ascii="方正黑体_GBK" w:eastAsia="方正黑体_GBK" w:hAnsi="Times New Roman" w:hint="eastAsia"/>
          <w:szCs w:val="21"/>
        </w:rPr>
        <w:t>版次号：</w:t>
      </w:r>
      <w:r>
        <w:rPr>
          <w:rFonts w:ascii="方正黑体_GBK" w:eastAsia="方正黑体_GBK" w:hAnsi="Times New Roman" w:hint="eastAsia"/>
          <w:szCs w:val="21"/>
          <w:u w:val="single"/>
        </w:rPr>
        <w:t>2021</w:t>
      </w:r>
      <w:r>
        <w:rPr>
          <w:rFonts w:ascii="方正黑体_GBK" w:eastAsia="方正黑体_GBK" w:hAnsi="Times New Roman" w:hint="eastAsia"/>
          <w:szCs w:val="21"/>
          <w:u w:val="single"/>
        </w:rPr>
        <w:t>第</w:t>
      </w:r>
      <w:r>
        <w:rPr>
          <w:rFonts w:ascii="方正黑体_GBK" w:eastAsia="方正黑体_GBK" w:hAnsi="Times New Roman" w:hint="eastAsia"/>
          <w:szCs w:val="21"/>
          <w:u w:val="single"/>
        </w:rPr>
        <w:t>2</w:t>
      </w:r>
      <w:r>
        <w:rPr>
          <w:rFonts w:ascii="方正黑体_GBK" w:eastAsia="方正黑体_GBK" w:hAnsi="Times New Roman" w:hint="eastAsia"/>
          <w:szCs w:val="21"/>
          <w:u w:val="single"/>
        </w:rPr>
        <w:t>版</w:t>
      </w:r>
    </w:p>
    <w:p w14:paraId="78288497" w14:textId="77777777" w:rsidR="00A50A8D" w:rsidRDefault="00A50A8D">
      <w:pPr>
        <w:rPr>
          <w:rFonts w:ascii="方正黑体_GBK" w:eastAsia="方正黑体_GBK" w:hAnsi="Times New Roman"/>
          <w:b/>
          <w:bCs/>
          <w:szCs w:val="21"/>
        </w:rPr>
      </w:pPr>
    </w:p>
    <w:p w14:paraId="1B1E6BA8" w14:textId="77777777" w:rsidR="00A50A8D" w:rsidRDefault="00E168B6">
      <w:pPr>
        <w:adjustRightInd w:val="0"/>
        <w:snapToGrid w:val="0"/>
        <w:spacing w:line="0" w:lineRule="atLeast"/>
        <w:rPr>
          <w:rFonts w:ascii="方正黑体_GBK" w:eastAsia="方正黑体_GBK" w:hAnsi="Times New Roman"/>
          <w:b/>
          <w:bCs/>
          <w:szCs w:val="21"/>
        </w:rPr>
      </w:pPr>
      <w:r>
        <w:rPr>
          <w:rFonts w:ascii="方正黑体_GBK" w:eastAsia="方正黑体_GBK" w:hAnsi="Times New Roman" w:hint="eastAsia"/>
          <w:b/>
          <w:bCs/>
          <w:szCs w:val="21"/>
        </w:rPr>
        <w:t>风险提示：</w:t>
      </w:r>
    </w:p>
    <w:p w14:paraId="56268CBB" w14:textId="77777777" w:rsidR="00A50A8D" w:rsidRDefault="00E168B6">
      <w:pPr>
        <w:adjustRightInd w:val="0"/>
        <w:snapToGrid w:val="0"/>
        <w:spacing w:line="0" w:lineRule="atLeast"/>
        <w:rPr>
          <w:rFonts w:ascii="方正黑体_GBK" w:eastAsia="方正黑体_GBK" w:hAnsi="Times New Roman"/>
          <w:b/>
          <w:bCs/>
          <w:szCs w:val="21"/>
        </w:rPr>
      </w:pPr>
      <w:r>
        <w:rPr>
          <w:rFonts w:ascii="方正黑体_GBK" w:eastAsia="方正黑体_GBK" w:hAnsi="Times New Roman" w:hint="eastAsia"/>
          <w:b/>
          <w:bCs/>
          <w:szCs w:val="21"/>
        </w:rPr>
        <w:t>本理财产品是净值型理财产品，不保证本金和收益，投资者的本金与收益可能会因市场变动而蒙受重大损失，投资者应仔细阅读本理财产品销售协议书条款和对应期次的《理财产品说明书》《理财产品风险揭示书》</w:t>
      </w:r>
      <w:bookmarkStart w:id="2" w:name="_Hlk41679176"/>
      <w:r>
        <w:rPr>
          <w:rFonts w:ascii="方正黑体_GBK" w:eastAsia="方正黑体_GBK" w:hAnsi="Times New Roman" w:hint="eastAsia"/>
          <w:b/>
          <w:bCs/>
          <w:szCs w:val="21"/>
        </w:rPr>
        <w:t>《投资者权益须知》</w:t>
      </w:r>
      <w:bookmarkEnd w:id="2"/>
      <w:r>
        <w:rPr>
          <w:rFonts w:ascii="方正黑体_GBK" w:eastAsia="方正黑体_GBK" w:hAnsi="Times New Roman" w:hint="eastAsia"/>
          <w:b/>
          <w:bCs/>
          <w:szCs w:val="21"/>
        </w:rPr>
        <w:t>《理财产品投资协议书》，充分认识投资风险，谨慎投资。</w:t>
      </w:r>
    </w:p>
    <w:p w14:paraId="08718261" w14:textId="77777777" w:rsidR="00A50A8D" w:rsidRDefault="00A50A8D">
      <w:pPr>
        <w:tabs>
          <w:tab w:val="left" w:pos="7920"/>
          <w:tab w:val="left" w:pos="8100"/>
        </w:tabs>
        <w:spacing w:line="0" w:lineRule="atLeast"/>
        <w:rPr>
          <w:rFonts w:ascii="方正黑体_GBK" w:eastAsia="方正黑体_GBK" w:hAnsi="Times New Roman"/>
          <w:b/>
          <w:bCs/>
        </w:rPr>
      </w:pPr>
    </w:p>
    <w:p w14:paraId="6D1AF41A" w14:textId="77777777" w:rsidR="00A50A8D" w:rsidRDefault="00A50A8D">
      <w:pPr>
        <w:spacing w:line="0" w:lineRule="atLeast"/>
        <w:jc w:val="center"/>
        <w:rPr>
          <w:rFonts w:ascii="方正黑体_GBK" w:eastAsia="方正黑体_GBK" w:hAnsi="Times New Roman"/>
          <w:b/>
          <w:bCs/>
          <w:sz w:val="24"/>
          <w:szCs w:val="15"/>
        </w:rPr>
      </w:pPr>
    </w:p>
    <w:p w14:paraId="72B3157C" w14:textId="77777777" w:rsidR="00A50A8D" w:rsidRDefault="00E168B6">
      <w:pPr>
        <w:spacing w:line="0" w:lineRule="atLeast"/>
        <w:jc w:val="center"/>
        <w:rPr>
          <w:rFonts w:ascii="方正黑体_GBK" w:eastAsia="方正黑体_GBK" w:hAnsi="Times New Roman"/>
          <w:b/>
          <w:bCs/>
          <w:sz w:val="24"/>
          <w:szCs w:val="15"/>
        </w:rPr>
      </w:pPr>
      <w:r>
        <w:rPr>
          <w:rFonts w:ascii="方正黑体_GBK" w:eastAsia="方正黑体_GBK" w:hAnsi="Times New Roman" w:hint="eastAsia"/>
          <w:b/>
          <w:bCs/>
          <w:sz w:val="24"/>
          <w:szCs w:val="15"/>
        </w:rPr>
        <w:t>理财产品销售协议书</w:t>
      </w:r>
    </w:p>
    <w:p w14:paraId="53431CCE" w14:textId="77777777" w:rsidR="00A50A8D" w:rsidRDefault="00A50A8D">
      <w:pPr>
        <w:spacing w:line="200" w:lineRule="exact"/>
        <w:ind w:firstLineChars="200" w:firstLine="300"/>
        <w:rPr>
          <w:rFonts w:ascii="方正黑体_GBK" w:eastAsia="方正黑体_GBK" w:hAnsi="Times New Roman"/>
          <w:sz w:val="15"/>
          <w:szCs w:val="15"/>
        </w:rPr>
      </w:pPr>
    </w:p>
    <w:p w14:paraId="4BAD9FDC" w14:textId="77777777" w:rsidR="00A50A8D" w:rsidRDefault="00E168B6">
      <w:pPr>
        <w:spacing w:line="200" w:lineRule="exact"/>
        <w:ind w:firstLineChars="200" w:firstLine="300"/>
        <w:rPr>
          <w:rFonts w:ascii="方正黑体_GBK" w:eastAsia="方正黑体_GBK" w:hAnsi="Times New Roman"/>
          <w:sz w:val="15"/>
          <w:szCs w:val="15"/>
        </w:rPr>
      </w:pPr>
      <w:r>
        <w:rPr>
          <w:rFonts w:ascii="方正黑体_GBK" w:eastAsia="方正黑体_GBK" w:hAnsi="Times New Roman" w:hint="eastAsia"/>
          <w:sz w:val="15"/>
          <w:szCs w:val="15"/>
        </w:rPr>
        <w:t>经甲方（南银理财有限责任公司，以下简称“南银理财”、“</w:t>
      </w:r>
      <w:r>
        <w:rPr>
          <w:rFonts w:ascii="方正黑体_GBK" w:eastAsia="方正黑体_GBK" w:hAnsi="Times New Roman" w:hint="eastAsia"/>
          <w:color w:val="3D3D3D"/>
          <w:sz w:val="15"/>
          <w:szCs w:val="15"/>
        </w:rPr>
        <w:t>管理人”、“产品管理人”或“理财产品管理人</w:t>
      </w:r>
      <w:r>
        <w:rPr>
          <w:rFonts w:ascii="方正黑体_GBK" w:eastAsia="方正黑体_GBK" w:hAnsi="Times New Roman" w:hint="eastAsia"/>
          <w:sz w:val="15"/>
          <w:szCs w:val="15"/>
        </w:rPr>
        <w:t>”）与乙方（以下简称“投资者”）双方平等友好协商，本着平等自愿、诚实守信的原则，就乙方购买甲方管理的理财产品的有关事宜达成协议如下：</w:t>
      </w:r>
    </w:p>
    <w:p w14:paraId="174647E0" w14:textId="77777777" w:rsidR="00A50A8D" w:rsidRDefault="00E168B6">
      <w:pPr>
        <w:numPr>
          <w:ilvl w:val="0"/>
          <w:numId w:val="5"/>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名词释义</w:t>
      </w:r>
    </w:p>
    <w:p w14:paraId="5E55ED34" w14:textId="77777777" w:rsidR="00A50A8D" w:rsidRDefault="00E168B6">
      <w:pPr>
        <w:pStyle w:val="10"/>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本协议项下用词与对应期次的《理财产品说明书》中相关用词含义一致，本协议另有说明的除外。</w:t>
      </w:r>
    </w:p>
    <w:p w14:paraId="1CAF1926" w14:textId="77777777" w:rsidR="00A50A8D" w:rsidRDefault="00E168B6">
      <w:pPr>
        <w:numPr>
          <w:ilvl w:val="0"/>
          <w:numId w:val="5"/>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销售机构</w:t>
      </w:r>
    </w:p>
    <w:p w14:paraId="23FCE534" w14:textId="77777777" w:rsidR="00A50A8D" w:rsidRDefault="00E168B6">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w:t>
      </w:r>
      <w:r>
        <w:rPr>
          <w:rFonts w:ascii="Times New Roman" w:hAnsi="Times New Roman" w:hint="eastAsia"/>
          <w:spacing w:val="10"/>
          <w:sz w:val="15"/>
          <w:szCs w:val="15"/>
        </w:rPr>
        <w:t>张家港农村商业银行股份有限公司</w:t>
      </w:r>
      <w:r>
        <w:rPr>
          <w:rFonts w:ascii="方正黑体_GBK" w:eastAsia="方正黑体_GBK" w:hAnsi="Times New Roman" w:hint="eastAsia"/>
          <w:spacing w:val="10"/>
          <w:sz w:val="15"/>
          <w:szCs w:val="15"/>
        </w:rPr>
        <w:t>】作为本理财产品的销售机构，负责本理财产品的销售。</w:t>
      </w:r>
    </w:p>
    <w:p w14:paraId="4C9F21AB" w14:textId="77777777" w:rsidR="00A50A8D" w:rsidRDefault="00E168B6">
      <w:pPr>
        <w:numPr>
          <w:ilvl w:val="0"/>
          <w:numId w:val="5"/>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甲方的权利与义务：</w:t>
      </w:r>
    </w:p>
    <w:p w14:paraId="3D62B843" w14:textId="77777777" w:rsidR="00A50A8D" w:rsidRDefault="00E168B6">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甲方应当履行恪尽职守、勤勉尽责、诚实守信、有效管理的义务。</w:t>
      </w:r>
    </w:p>
    <w:p w14:paraId="675BDEF4" w14:textId="77777777" w:rsidR="00A50A8D" w:rsidRDefault="00E168B6">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甲方应当按照理财产品销售文件的约定向投资者分配收益。</w:t>
      </w:r>
    </w:p>
    <w:p w14:paraId="0A045FFC" w14:textId="77777777" w:rsidR="00A50A8D" w:rsidRDefault="00E168B6">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甲方应当按照法律法规、理财产品销售文件的约定履行信息披露义务。</w:t>
      </w:r>
    </w:p>
    <w:p w14:paraId="32B4C4D3" w14:textId="77777777" w:rsidR="00A50A8D" w:rsidRDefault="00E168B6">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甲方应当确保理财业务与其他业务相分离，理财产品之间相分离，理财业务操作与其他业务操作相分离。</w:t>
      </w:r>
    </w:p>
    <w:p w14:paraId="5F3D4D89" w14:textId="77777777" w:rsidR="00A50A8D" w:rsidRDefault="00E168B6">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甲方应当遵守市场交易和公平交易原则，不得在理财产品之间、理财产品投资者之间或者理财产品投资者与其他市场主体之间进行利益输送。</w:t>
      </w:r>
    </w:p>
    <w:p w14:paraId="305BD8E5" w14:textId="77777777" w:rsidR="00A50A8D" w:rsidRDefault="00E168B6">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甲方应当选择具有证券投资基金托管业务资格的金融机构、银行业理财登记托管机构或者国务院银行业监督管理机构认可的其他机构托管理财产品。</w:t>
      </w:r>
    </w:p>
    <w:p w14:paraId="271392A4" w14:textId="77777777" w:rsidR="00A50A8D" w:rsidRDefault="00E168B6">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在本协议约定的投资范围和权限内，甲方拥有管理和运用理财资金的权利，并有权按照对应期次《理财产品说</w:t>
      </w:r>
      <w:r>
        <w:rPr>
          <w:rFonts w:ascii="方正黑体_GBK" w:eastAsia="方正黑体_GBK" w:hAnsi="Times New Roman" w:hint="eastAsia"/>
          <w:spacing w:val="10"/>
          <w:sz w:val="15"/>
          <w:szCs w:val="15"/>
        </w:rPr>
        <w:t>明书》的约定收取相应费用、业绩报酬。</w:t>
      </w:r>
    </w:p>
    <w:p w14:paraId="53393C87" w14:textId="77777777" w:rsidR="00A50A8D" w:rsidRDefault="00E168B6">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由于投资管理或者获取投资标的的需要，甲方有权决定以理财产品财产支付产品运作和清算中产生的其他资金汇划费、结算费、交易手续费、注册登记费、信息披露费、账户服务费、审计费、律师费、投后管理费、项目推荐费、财务顾问费和《理财产品说明书》约定的其他应由理财产品承担的费用等，在实际发生时列支。</w:t>
      </w:r>
    </w:p>
    <w:p w14:paraId="4D77D3C1" w14:textId="77777777" w:rsidR="00A50A8D" w:rsidRDefault="00E168B6">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作为理财产品管理人，全权负责理财产品资金的运用和理财产品资产的管理，有权参加与理财产品所投资资产相关的所有会议，并对相关事项进行表决；甲方应代表乙方利益，按照法律法规和监管部门相关规定</w:t>
      </w:r>
      <w:r>
        <w:rPr>
          <w:rFonts w:ascii="方正黑体_GBK" w:eastAsia="方正黑体_GBK" w:hAnsi="Times New Roman" w:hint="eastAsia"/>
          <w:spacing w:val="10"/>
          <w:sz w:val="15"/>
          <w:szCs w:val="15"/>
        </w:rPr>
        <w:t>对理财产品投资产生的风险资产进行多种方式的处置，包括但不限于转让、重组、债转股、资产证券化、催收、抵债资产收取与处置、破产重整等；在理财产品运作过程中发生任何争议，甲方以管理人的名义代表理财产品进行维权，包括但不限于提起诉讼</w:t>
      </w:r>
      <w:r>
        <w:rPr>
          <w:rFonts w:ascii="方正黑体_GBK" w:eastAsia="方正黑体_GBK" w:hAnsi="Times New Roman" w:hint="eastAsia"/>
          <w:spacing w:val="10"/>
          <w:sz w:val="15"/>
          <w:szCs w:val="15"/>
        </w:rPr>
        <w:t>/</w:t>
      </w:r>
      <w:r>
        <w:rPr>
          <w:rFonts w:ascii="方正黑体_GBK" w:eastAsia="方正黑体_GBK" w:hAnsi="Times New Roman" w:hint="eastAsia"/>
          <w:spacing w:val="10"/>
          <w:sz w:val="15"/>
          <w:szCs w:val="15"/>
        </w:rPr>
        <w:t>仲裁、申请保全</w:t>
      </w:r>
      <w:r>
        <w:rPr>
          <w:rFonts w:ascii="方正黑体_GBK" w:eastAsia="方正黑体_GBK" w:hAnsi="Times New Roman" w:hint="eastAsia"/>
          <w:spacing w:val="10"/>
          <w:sz w:val="15"/>
          <w:szCs w:val="15"/>
        </w:rPr>
        <w:t>/</w:t>
      </w:r>
      <w:r>
        <w:rPr>
          <w:rFonts w:ascii="方正黑体_GBK" w:eastAsia="方正黑体_GBK" w:hAnsi="Times New Roman" w:hint="eastAsia"/>
          <w:spacing w:val="10"/>
          <w:sz w:val="15"/>
          <w:szCs w:val="15"/>
        </w:rPr>
        <w:t>执行等，由此产生的费用由理财产品承担，在实际发生时列支。</w:t>
      </w:r>
    </w:p>
    <w:p w14:paraId="418443DF" w14:textId="77777777" w:rsidR="00A50A8D" w:rsidRDefault="00E168B6">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甲方有权根据产品运作的需要选任必要的业务合作机构。</w:t>
      </w:r>
    </w:p>
    <w:p w14:paraId="2D4DAFB3" w14:textId="77777777" w:rsidR="00A50A8D" w:rsidRDefault="00E168B6">
      <w:pPr>
        <w:numPr>
          <w:ilvl w:val="0"/>
          <w:numId w:val="6"/>
        </w:numPr>
        <w:spacing w:line="200" w:lineRule="exact"/>
        <w:ind w:firstLineChars="200" w:firstLine="301"/>
        <w:rPr>
          <w:rFonts w:ascii="方正黑体_GBK" w:eastAsia="方正黑体_GBK" w:hAnsi="Times New Roman"/>
          <w:b/>
          <w:bCs/>
          <w:spacing w:val="10"/>
          <w:sz w:val="15"/>
          <w:szCs w:val="15"/>
        </w:rPr>
      </w:pPr>
      <w:r>
        <w:rPr>
          <w:rFonts w:ascii="方正黑体_GBK" w:eastAsia="方正黑体_GBK" w:hint="eastAsia"/>
          <w:b/>
          <w:bCs/>
          <w:color w:val="000000"/>
          <w:kern w:val="0"/>
          <w:sz w:val="15"/>
          <w:szCs w:val="11"/>
        </w:rPr>
        <w:t>投资者特此同意并授权</w:t>
      </w:r>
      <w:r>
        <w:rPr>
          <w:rFonts w:ascii="方正黑体_GBK" w:eastAsia="方正黑体_GBK" w:hAnsi="Times New Roman" w:hint="eastAsia"/>
          <w:b/>
          <w:bCs/>
          <w:spacing w:val="10"/>
          <w:sz w:val="15"/>
          <w:szCs w:val="15"/>
        </w:rPr>
        <w:t>甲方及销售机构</w:t>
      </w:r>
      <w:r>
        <w:rPr>
          <w:rFonts w:ascii="方正黑体_GBK" w:eastAsia="方正黑体_GBK" w:hint="eastAsia"/>
          <w:b/>
          <w:bCs/>
          <w:color w:val="000000"/>
          <w:kern w:val="0"/>
          <w:sz w:val="15"/>
          <w:szCs w:val="11"/>
        </w:rPr>
        <w:t>有权按照法律法规规定，遵循正当、必要的原则，收集、使用投资者个人信息，包括但不限于根据法律法规规定、监管或有权机关要求、理财业</w:t>
      </w:r>
      <w:r>
        <w:rPr>
          <w:rFonts w:ascii="方正黑体_GBK" w:eastAsia="方正黑体_GBK" w:hint="eastAsia"/>
          <w:b/>
          <w:bCs/>
          <w:color w:val="000000"/>
          <w:kern w:val="0"/>
          <w:sz w:val="15"/>
          <w:szCs w:val="11"/>
        </w:rPr>
        <w:t>务需要等采集、处理及使用投资者身份、持有理财产品、理财产品交易等信息，以及</w:t>
      </w:r>
      <w:r>
        <w:rPr>
          <w:rFonts w:ascii="方正黑体_GBK" w:eastAsia="方正黑体_GBK" w:hAnsi="Times New Roman" w:hint="eastAsia"/>
          <w:b/>
          <w:bCs/>
          <w:color w:val="000000"/>
          <w:kern w:val="0"/>
          <w:sz w:val="15"/>
          <w:szCs w:val="11"/>
        </w:rPr>
        <w:t>在办理与理财产品相关事项</w:t>
      </w:r>
      <w:r>
        <w:rPr>
          <w:rFonts w:ascii="方正黑体_GBK" w:eastAsia="方正黑体_GBK" w:hint="eastAsia"/>
          <w:b/>
          <w:bCs/>
          <w:color w:val="000000"/>
          <w:kern w:val="0"/>
          <w:sz w:val="15"/>
          <w:szCs w:val="11"/>
        </w:rPr>
        <w:t>需要</w:t>
      </w:r>
      <w:r>
        <w:rPr>
          <w:rFonts w:ascii="方正黑体_GBK" w:eastAsia="方正黑体_GBK" w:hAnsi="Times New Roman" w:hint="eastAsia"/>
          <w:b/>
          <w:bCs/>
          <w:color w:val="000000"/>
          <w:kern w:val="0"/>
          <w:sz w:val="15"/>
          <w:szCs w:val="11"/>
        </w:rPr>
        <w:t>的情况下向服务机构及其他</w:t>
      </w:r>
      <w:r>
        <w:rPr>
          <w:rFonts w:ascii="方正黑体_GBK" w:eastAsia="方正黑体_GBK" w:hint="eastAsia"/>
          <w:b/>
          <w:bCs/>
          <w:color w:val="000000"/>
          <w:kern w:val="0"/>
          <w:sz w:val="15"/>
          <w:szCs w:val="11"/>
        </w:rPr>
        <w:t>管理人或销售机构</w:t>
      </w:r>
      <w:r>
        <w:rPr>
          <w:rFonts w:ascii="方正黑体_GBK" w:eastAsia="方正黑体_GBK" w:hAnsi="Times New Roman" w:hint="eastAsia"/>
          <w:b/>
          <w:bCs/>
          <w:color w:val="000000"/>
          <w:kern w:val="0"/>
          <w:sz w:val="15"/>
          <w:szCs w:val="11"/>
        </w:rPr>
        <w:t>认为必要的业务合作机构提供</w:t>
      </w:r>
      <w:r>
        <w:rPr>
          <w:rFonts w:ascii="方正黑体_GBK" w:eastAsia="方正黑体_GBK" w:hint="eastAsia"/>
          <w:b/>
          <w:bCs/>
          <w:color w:val="000000"/>
          <w:kern w:val="0"/>
          <w:sz w:val="15"/>
          <w:szCs w:val="11"/>
        </w:rPr>
        <w:t>投资者相关</w:t>
      </w:r>
      <w:r>
        <w:rPr>
          <w:rFonts w:ascii="方正黑体_GBK" w:eastAsia="方正黑体_GBK" w:hAnsi="Times New Roman" w:hint="eastAsia"/>
          <w:b/>
          <w:bCs/>
          <w:color w:val="000000"/>
          <w:kern w:val="0"/>
          <w:sz w:val="15"/>
          <w:szCs w:val="11"/>
        </w:rPr>
        <w:t>信息</w:t>
      </w:r>
      <w:r>
        <w:rPr>
          <w:rFonts w:ascii="方正黑体_GBK" w:eastAsia="方正黑体_GBK" w:hint="eastAsia"/>
          <w:b/>
          <w:bCs/>
          <w:color w:val="000000"/>
          <w:kern w:val="0"/>
          <w:sz w:val="15"/>
          <w:szCs w:val="11"/>
        </w:rPr>
        <w:t>。甲方及销售机构保证信息采集、处理及使用的安全性和合法性</w:t>
      </w:r>
      <w:r>
        <w:rPr>
          <w:rFonts w:ascii="方正黑体_GBK" w:eastAsia="方正黑体_GBK" w:hAnsi="Times New Roman" w:hint="eastAsia"/>
          <w:b/>
          <w:bCs/>
          <w:color w:val="000000"/>
          <w:kern w:val="0"/>
          <w:sz w:val="15"/>
          <w:szCs w:val="11"/>
        </w:rPr>
        <w:t>。</w:t>
      </w:r>
    </w:p>
    <w:p w14:paraId="69447281" w14:textId="77777777" w:rsidR="00A50A8D" w:rsidRDefault="00E168B6">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甲方无义务对第三人支付本理财产品清算分配金额及相关权益，法律法规另有规定的除外。</w:t>
      </w:r>
    </w:p>
    <w:p w14:paraId="12027BF1" w14:textId="77777777" w:rsidR="00A50A8D" w:rsidRDefault="00E168B6">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甲方以其固有财产先行垫付因处理本理财产品相关事务所支出的理财产品费用及税费的，对理财产品资金享有优先受偿的权利。</w:t>
      </w:r>
    </w:p>
    <w:p w14:paraId="5B85EB82" w14:textId="77777777" w:rsidR="00A50A8D" w:rsidRDefault="00E168B6">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甲方有权根据本理财产品销售文件的约定提前终止或延长本理财产品的存续期限。</w:t>
      </w:r>
    </w:p>
    <w:p w14:paraId="1591B84C" w14:textId="77777777" w:rsidR="00A50A8D" w:rsidRDefault="00E168B6">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甲方有权调整本理财产品的认购或申购起点、单笔认购或申购上限等要素。</w:t>
      </w:r>
    </w:p>
    <w:p w14:paraId="6611F1EC" w14:textId="77777777" w:rsidR="00A50A8D" w:rsidRDefault="00E168B6">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甲方有权根据相关规定及销售文件的约定，变更销售文件内容。</w:t>
      </w:r>
    </w:p>
    <w:p w14:paraId="0C1E78E4" w14:textId="77777777" w:rsidR="00A50A8D" w:rsidRDefault="00E168B6">
      <w:pPr>
        <w:numPr>
          <w:ilvl w:val="0"/>
          <w:numId w:val="6"/>
        </w:numPr>
        <w:spacing w:line="200" w:lineRule="exact"/>
        <w:ind w:firstLineChars="200" w:firstLine="341"/>
        <w:rPr>
          <w:rFonts w:ascii="方正黑体_GBK" w:eastAsia="方正黑体_GBK" w:hAnsi="Times New Roman"/>
          <w:b/>
          <w:bCs/>
          <w:spacing w:val="10"/>
          <w:sz w:val="15"/>
          <w:szCs w:val="15"/>
        </w:rPr>
      </w:pPr>
      <w:bookmarkStart w:id="3" w:name="_Hlk41902117"/>
      <w:r>
        <w:rPr>
          <w:rFonts w:ascii="方正黑体_GBK" w:eastAsia="方正黑体_GBK" w:hAnsi="Times New Roman" w:hint="eastAsia"/>
          <w:b/>
          <w:bCs/>
          <w:spacing w:val="10"/>
          <w:sz w:val="15"/>
          <w:szCs w:val="15"/>
        </w:rPr>
        <w:t>如由于乙方授权指定账户发生资金余额不足、挂失、换卡、长期不动户等特殊情况或被有权机关采取冻结、扣划等强制措施或出现其他异常情形，导致认购或申购不成功，以及在本理财产品存续期内，有权机关要求甲方或销售机构配合对乙方理财产品份额、理财账户、授权指定账户进行查封、冻结或扣划的，甲方或销售机构有权根据实际情况采取任何措施配合，包括但不限于全部或部分终止理财交易、停止向投资者支付投资本金及投资</w:t>
      </w:r>
      <w:r>
        <w:rPr>
          <w:rFonts w:ascii="方正黑体_GBK" w:eastAsia="方正黑体_GBK" w:hAnsi="Times New Roman" w:hint="eastAsia"/>
          <w:b/>
          <w:bCs/>
          <w:spacing w:val="10"/>
          <w:sz w:val="15"/>
          <w:szCs w:val="15"/>
        </w:rPr>
        <w:t>收益</w:t>
      </w:r>
      <w:r>
        <w:rPr>
          <w:rFonts w:ascii="方正黑体_GBK" w:eastAsia="方正黑体_GBK" w:hAnsi="Times New Roman" w:hint="eastAsia"/>
          <w:b/>
          <w:spacing w:val="10"/>
          <w:sz w:val="15"/>
        </w:rPr>
        <w:t>，由此产生的一切损失及费用将由乙方承担，甲方或销售机构有权将此损失及费用从乙方的授权指定账户、理财本金及收益中扣除</w:t>
      </w:r>
      <w:r>
        <w:rPr>
          <w:rFonts w:ascii="方正黑体_GBK" w:eastAsia="方正黑体_GBK" w:hAnsi="Times New Roman" w:hint="eastAsia"/>
          <w:b/>
          <w:bCs/>
          <w:spacing w:val="10"/>
          <w:sz w:val="15"/>
          <w:szCs w:val="15"/>
        </w:rPr>
        <w:t>。</w:t>
      </w:r>
    </w:p>
    <w:p w14:paraId="6D95C3F3" w14:textId="77777777" w:rsidR="00A50A8D" w:rsidRDefault="00E168B6">
      <w:pPr>
        <w:numPr>
          <w:ilvl w:val="0"/>
          <w:numId w:val="6"/>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销售机构为甲方的情形下，甲方按照理财产品说明书约定向乙方进行理财产品份额的收益分配并将对应资金划入乙方授权指定账户后，即视为甲方已向乙方完成收益分配和资金的清算分配。销售机构非甲方的情形下，甲方按照理财产品说明书约定向乙方进行理财产品份额的收益分配并将对应资金划入销售机构账户后，由销售机构向乙方授权指定账户划付对应资金。销售机构未及时足额划付资金，或销售机构清算账户内资金被依法冻结或扣划</w:t>
      </w:r>
      <w:r>
        <w:rPr>
          <w:rFonts w:ascii="方正黑体_GBK" w:eastAsia="方正黑体_GBK" w:hAnsi="Times New Roman" w:hint="eastAsia"/>
          <w:b/>
          <w:bCs/>
          <w:spacing w:val="10"/>
          <w:sz w:val="15"/>
          <w:szCs w:val="15"/>
        </w:rPr>
        <w:t>，或销售机构清算账户处于被挂失、冻结、注销或其他非正常状态等原因而导致交易失败，由销售机构与投资者依法协商解决。</w:t>
      </w:r>
    </w:p>
    <w:p w14:paraId="2359338A" w14:textId="77777777" w:rsidR="00A50A8D" w:rsidRDefault="00E168B6">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甲方或销售机构发现或有合理理由怀疑乙方或其资金存在洗钱、恐怖融资、逃税等嫌疑，甲方有权提前终止本协议。</w:t>
      </w:r>
    </w:p>
    <w:p w14:paraId="3E5E0315" w14:textId="77777777" w:rsidR="00A50A8D" w:rsidRDefault="00E168B6">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甲方在此特别披露：</w:t>
      </w:r>
      <w:r>
        <w:rPr>
          <w:rFonts w:ascii="方正黑体_GBK" w:eastAsia="方正黑体_GBK" w:hAnsi="Times New Roman" w:hint="eastAsia"/>
          <w:b/>
          <w:bCs/>
          <w:spacing w:val="10"/>
          <w:sz w:val="15"/>
          <w:szCs w:val="15"/>
        </w:rPr>
        <w:t>若产品管理人的关联方担任理财产品的销售机构、托管人、合作机构的，产品管理人将按照法律法规和监管要求履行相应程序，乙方认购或申购理财产品即视为同意该等安排。</w:t>
      </w:r>
    </w:p>
    <w:bookmarkEnd w:id="3"/>
    <w:p w14:paraId="2A9B7E59" w14:textId="77777777" w:rsidR="00A50A8D" w:rsidRDefault="00E168B6">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法律法规规定及</w:t>
      </w:r>
      <w:bookmarkStart w:id="4" w:name="_Hlk41902131"/>
      <w:r>
        <w:rPr>
          <w:rFonts w:ascii="方正黑体_GBK" w:eastAsia="方正黑体_GBK" w:hAnsi="Times New Roman" w:hint="eastAsia"/>
          <w:spacing w:val="10"/>
          <w:sz w:val="15"/>
          <w:szCs w:val="15"/>
        </w:rPr>
        <w:t>理财产品</w:t>
      </w:r>
      <w:bookmarkEnd w:id="4"/>
      <w:r>
        <w:rPr>
          <w:rFonts w:ascii="方正黑体_GBK" w:eastAsia="方正黑体_GBK" w:hAnsi="Times New Roman" w:hint="eastAsia"/>
          <w:spacing w:val="10"/>
          <w:sz w:val="15"/>
          <w:szCs w:val="15"/>
        </w:rPr>
        <w:t>销售文件约定的其他权利与义务。</w:t>
      </w:r>
    </w:p>
    <w:p w14:paraId="6F34A2BD" w14:textId="77777777" w:rsidR="00A50A8D" w:rsidRDefault="00E168B6">
      <w:pPr>
        <w:spacing w:line="200" w:lineRule="exact"/>
        <w:ind w:left="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4.</w:t>
      </w:r>
      <w:r>
        <w:rPr>
          <w:rFonts w:ascii="方正黑体_GBK" w:eastAsia="方正黑体_GBK" w:hAnsi="Times New Roman" w:hint="eastAsia"/>
          <w:b/>
          <w:bCs/>
          <w:spacing w:val="10"/>
          <w:sz w:val="15"/>
          <w:szCs w:val="15"/>
        </w:rPr>
        <w:t>乙方的权利与义务：</w:t>
      </w:r>
    </w:p>
    <w:p w14:paraId="03F61B62" w14:textId="77777777" w:rsidR="00A50A8D" w:rsidRDefault="00E168B6">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乙方应当保证其理财资金为合法拥有的自有资金</w:t>
      </w:r>
      <w:r>
        <w:rPr>
          <w:rFonts w:ascii="方正黑体_GBK" w:eastAsia="方正黑体_GBK" w:hAnsi="Times New Roman" w:hint="eastAsia"/>
          <w:spacing w:val="10"/>
          <w:sz w:val="15"/>
          <w:szCs w:val="15"/>
        </w:rPr>
        <w:t>，不存在涉嫌洗钱、恶意逃避税收征收管理等违法违规行为，保证可提供资金来源合法的证明文件</w:t>
      </w:r>
      <w:bookmarkStart w:id="5" w:name="_Hlk41902537"/>
      <w:r>
        <w:rPr>
          <w:rFonts w:ascii="方正黑体_GBK" w:eastAsia="方正黑体_GBK" w:hAnsi="Times New Roman" w:hint="eastAsia"/>
          <w:spacing w:val="10"/>
          <w:sz w:val="15"/>
          <w:szCs w:val="15"/>
        </w:rPr>
        <w:t>，配合甲方或销售机构为识别合格投资者等目的进行的尽职调查。</w:t>
      </w:r>
    </w:p>
    <w:bookmarkEnd w:id="5"/>
    <w:p w14:paraId="14293B3F" w14:textId="77777777" w:rsidR="00A50A8D" w:rsidRDefault="00E168B6">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乙方不得使用贷款、发行债券等方式筹集的非自有资金购买理财产品。乙方将其自有资金用作本理财产品销售协议书条款项下理财交易并不违反相关法律、法规、规章、规定、法院裁定或命令的要求。</w:t>
      </w:r>
    </w:p>
    <w:p w14:paraId="070F6DBF" w14:textId="77777777" w:rsidR="00A50A8D" w:rsidRDefault="00E168B6">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乙方保证具有完全民事行为能力，有完全适当的资格与能力订立并履行本协议。</w:t>
      </w:r>
    </w:p>
    <w:p w14:paraId="4543F6DF" w14:textId="77777777" w:rsidR="00A50A8D" w:rsidRDefault="00E168B6">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乙方应接受销售机构对其投资风险承受能力进行的测评。（个人投资者适用）</w:t>
      </w:r>
    </w:p>
    <w:p w14:paraId="5E239E92" w14:textId="77777777" w:rsidR="00A50A8D" w:rsidRDefault="00E168B6">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乙方是一家按照中国法律正式注册并有效存续的法人或其他组织，具有拥有和支配其财产以及继续进行其正在进行之业务的全部权力和授权。（机构投资者适用）</w:t>
      </w:r>
    </w:p>
    <w:p w14:paraId="0389F203" w14:textId="77777777" w:rsidR="00A50A8D" w:rsidRDefault="00E168B6">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乙方能够自行识别、判断和承担理财产品的相关风险；不存在法律法规、有权机关或主管机关禁止或限制购买理财产品的各种情形。乙方按其投资金额在本理财协议中享有相应的权利，承担相应的义务和风险。</w:t>
      </w:r>
    </w:p>
    <w:p w14:paraId="122190DC" w14:textId="77777777" w:rsidR="00A50A8D" w:rsidRDefault="00E168B6">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乙方保证，乙方系符合监管规定要求的合格投资者。（私募产品投资者适用）</w:t>
      </w:r>
    </w:p>
    <w:p w14:paraId="4A45036E" w14:textId="77777777" w:rsidR="00A50A8D" w:rsidRDefault="00E168B6">
      <w:pPr>
        <w:numPr>
          <w:ilvl w:val="0"/>
          <w:numId w:val="7"/>
        </w:numPr>
        <w:spacing w:line="200" w:lineRule="exact"/>
        <w:ind w:firstLine="340"/>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乙方保证其已知悉甲方并非乙方的投资顾问或其他顾问，乙方并未依赖于甲方和</w:t>
      </w: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或甲方的雇员、代理人或关联机构对其所作的</w:t>
      </w:r>
      <w:r>
        <w:rPr>
          <w:rFonts w:ascii="方正黑体_GBK" w:eastAsia="方正黑体_GBK" w:hAnsi="Times New Roman" w:hint="eastAsia"/>
          <w:b/>
          <w:bCs/>
          <w:spacing w:val="10"/>
          <w:sz w:val="15"/>
          <w:szCs w:val="15"/>
        </w:rPr>
        <w:t>任何陈述（不论口头或书面）而决定投资于理财产品。</w:t>
      </w:r>
    </w:p>
    <w:p w14:paraId="79998958" w14:textId="77777777" w:rsidR="00A50A8D" w:rsidRDefault="00E168B6">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乙方保证签署和履行理财产品销售文件系其真实意思表示，其有权利签署本协议和履行本协议所述的义务，并已为此采取一切所需的行为。</w:t>
      </w:r>
    </w:p>
    <w:p w14:paraId="49E8187C" w14:textId="77777777" w:rsidR="00A50A8D" w:rsidRDefault="00E168B6">
      <w:pPr>
        <w:numPr>
          <w:ilvl w:val="0"/>
          <w:numId w:val="7"/>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乙方保证执行及交付任何文件或履行本协议项下的义务，均不会违反</w:t>
      </w:r>
      <w:r>
        <w:rPr>
          <w:rFonts w:ascii="方正黑体_GBK" w:eastAsia="方正黑体_GBK" w:hAnsi="Times New Roman" w:hint="eastAsia"/>
          <w:spacing w:val="10"/>
          <w:sz w:val="15"/>
          <w:szCs w:val="15"/>
        </w:rPr>
        <w:t>(i)</w:t>
      </w:r>
      <w:r>
        <w:rPr>
          <w:rFonts w:ascii="方正黑体_GBK" w:eastAsia="方正黑体_GBK" w:hAnsi="Times New Roman" w:hint="eastAsia"/>
          <w:spacing w:val="10"/>
          <w:sz w:val="15"/>
          <w:szCs w:val="15"/>
        </w:rPr>
        <w:t>任何适用法律、法规、法令或法律限制，任何法院或其他政府机关所作出的适用于乙方或乙方任何资产的指令或判决；</w:t>
      </w:r>
      <w:r>
        <w:rPr>
          <w:rFonts w:ascii="方正黑体_GBK" w:eastAsia="方正黑体_GBK" w:hAnsi="Times New Roman" w:hint="eastAsia"/>
          <w:spacing w:val="10"/>
          <w:sz w:val="15"/>
          <w:szCs w:val="15"/>
        </w:rPr>
        <w:t>(ii)</w:t>
      </w:r>
      <w:r>
        <w:rPr>
          <w:rFonts w:ascii="方正黑体_GBK" w:eastAsia="方正黑体_GBK" w:hAnsi="Times New Roman" w:hint="eastAsia"/>
          <w:spacing w:val="10"/>
          <w:sz w:val="15"/>
          <w:szCs w:val="15"/>
        </w:rPr>
        <w:t>对乙方或乙方任何资产有约束力的任何协议条款</w:t>
      </w:r>
      <w:bookmarkStart w:id="6" w:name="_Hlk41902655"/>
      <w:r>
        <w:rPr>
          <w:rFonts w:ascii="方正黑体_GBK" w:eastAsia="方正黑体_GBK" w:hAnsi="Times New Roman" w:hint="eastAsia"/>
          <w:spacing w:val="10"/>
          <w:sz w:val="15"/>
          <w:szCs w:val="15"/>
        </w:rPr>
        <w:t>或其他法律文件</w:t>
      </w:r>
      <w:bookmarkEnd w:id="6"/>
      <w:r>
        <w:rPr>
          <w:rFonts w:ascii="方正黑体_GBK" w:eastAsia="方正黑体_GBK" w:hAnsi="Times New Roman" w:hint="eastAsia"/>
          <w:spacing w:val="10"/>
          <w:sz w:val="15"/>
          <w:szCs w:val="15"/>
        </w:rPr>
        <w:t>。乙方应在签署本协议的同时按照对应期次的《理财产品说明书》的约定在授权指定账户存入足额的资金以确保账户余额大于或等于认购或申购金额。</w:t>
      </w:r>
    </w:p>
    <w:p w14:paraId="33D407D1" w14:textId="77777777" w:rsidR="00A50A8D" w:rsidRDefault="00E168B6">
      <w:pPr>
        <w:numPr>
          <w:ilvl w:val="0"/>
          <w:numId w:val="7"/>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乙方应按要求确定授权指定账户，用于本理财产品的理财资金划转及理财收益、到期清算分配资金的分配。</w:t>
      </w:r>
      <w:r>
        <w:rPr>
          <w:rFonts w:ascii="方正黑体_GBK" w:eastAsia="方正黑体_GBK" w:hAnsi="Times New Roman" w:hint="eastAsia"/>
          <w:b/>
          <w:spacing w:val="10"/>
          <w:sz w:val="15"/>
        </w:rPr>
        <w:t>本协议终止前，乙方不得将授权指定账户销户。若发生因乙方注销授权指定账户造成理财产品无法正常分配的，乙方承担由此产生的损失。</w:t>
      </w:r>
    </w:p>
    <w:p w14:paraId="7CAD71DB" w14:textId="77777777" w:rsidR="00A50A8D" w:rsidRDefault="00E168B6">
      <w:pPr>
        <w:pStyle w:val="a3"/>
        <w:numPr>
          <w:ilvl w:val="0"/>
          <w:numId w:val="8"/>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b/>
          <w:spacing w:val="10"/>
          <w:sz w:val="15"/>
        </w:rPr>
        <w:t>本协议终止前，乙方应保证其授权指定账户处于正常状态，乙方授权指定账户发生资金余额不足、挂失、换卡、长期不动户等特殊情况或被有权机关采取冻结、扣划等强制措施或出现</w:t>
      </w:r>
      <w:r>
        <w:rPr>
          <w:rFonts w:ascii="方正黑体_GBK" w:eastAsia="方正黑体_GBK" w:hAnsi="Times New Roman" w:hint="eastAsia"/>
          <w:b/>
          <w:spacing w:val="10"/>
          <w:sz w:val="15"/>
        </w:rPr>
        <w:t>其他异常情形，导致认购或申购不成功，以及在本理财产品存续期内，有权机关要求甲方或销售机构配合对乙方理财产品份额、理财账户、授权指定账户进行查封、冻结或扣划的，乙方应配合甲方或销售机构根据实际情况采取的任何措施，包括但不限于全部或部分终止理财交易、停止向投资者支付投资本金及投资收益，由此产生的一切损失及费用将由乙方承担，甲方或销售机构有权将此损失及费用从乙方的授权指定账户、理财本金及收益中扣除。乙方无权要求甲方或销售机构对上述后果承担任何责任</w:t>
      </w:r>
      <w:r>
        <w:rPr>
          <w:rFonts w:ascii="方正黑体_GBK" w:eastAsia="方正黑体_GBK" w:hAnsi="Times New Roman" w:hint="eastAsia"/>
          <w:spacing w:val="10"/>
          <w:sz w:val="15"/>
          <w:szCs w:val="15"/>
        </w:rPr>
        <w:t>。</w:t>
      </w:r>
    </w:p>
    <w:p w14:paraId="5D8473EA" w14:textId="77777777" w:rsidR="00A50A8D" w:rsidRDefault="00E168B6">
      <w:pPr>
        <w:numPr>
          <w:ilvl w:val="0"/>
          <w:numId w:val="8"/>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乙方应确保其提供的所有资料真实、完整、合法、有效，如果有任何变更</w:t>
      </w:r>
      <w:r>
        <w:rPr>
          <w:rFonts w:ascii="方正黑体_GBK" w:eastAsia="方正黑体_GBK" w:hAnsi="Times New Roman" w:hint="eastAsia"/>
          <w:b/>
          <w:bCs/>
          <w:spacing w:val="10"/>
          <w:sz w:val="15"/>
          <w:szCs w:val="15"/>
        </w:rPr>
        <w:t>，乙方应及时通知甲方</w:t>
      </w:r>
      <w:bookmarkStart w:id="7" w:name="_Hlk41902715"/>
      <w:r>
        <w:rPr>
          <w:rFonts w:ascii="方正黑体_GBK" w:eastAsia="方正黑体_GBK" w:hAnsi="Times New Roman" w:hint="eastAsia"/>
          <w:b/>
          <w:bCs/>
          <w:spacing w:val="10"/>
          <w:sz w:val="15"/>
          <w:szCs w:val="15"/>
        </w:rPr>
        <w:t>或销售机构</w:t>
      </w:r>
      <w:bookmarkEnd w:id="7"/>
      <w:r>
        <w:rPr>
          <w:rFonts w:ascii="方正黑体_GBK" w:eastAsia="方正黑体_GBK" w:hAnsi="Times New Roman" w:hint="eastAsia"/>
          <w:b/>
          <w:bCs/>
          <w:spacing w:val="10"/>
          <w:sz w:val="15"/>
          <w:szCs w:val="15"/>
        </w:rPr>
        <w:t>并办理变更手续。如因乙方未及时通知甲方或销售机构并办理相应的变更手续，由此导致的一切后果由乙方承担。</w:t>
      </w:r>
    </w:p>
    <w:p w14:paraId="46F2FB25" w14:textId="77777777" w:rsidR="00A50A8D" w:rsidRDefault="00E168B6">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乙方承诺，不利用本理财业务及本理财产品说明书项下理财产品从事违法活动。</w:t>
      </w:r>
    </w:p>
    <w:p w14:paraId="5F8089AF" w14:textId="77777777" w:rsidR="00A50A8D" w:rsidRDefault="00E168B6">
      <w:pPr>
        <w:numPr>
          <w:ilvl w:val="0"/>
          <w:numId w:val="8"/>
        </w:num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乙方承诺，未经产品管理人同意，乙方不以本理财产品说明书或产品说明书项下的任何权利、利益、权益为乙方和任何第三人的债务设定担保或其他权益</w:t>
      </w:r>
      <w:r>
        <w:rPr>
          <w:rFonts w:ascii="方正黑体_GBK" w:eastAsia="方正黑体_GBK" w:hAnsi="Times New Roman" w:hint="eastAsia"/>
          <w:spacing w:val="10"/>
          <w:sz w:val="15"/>
          <w:szCs w:val="15"/>
        </w:rPr>
        <w:t>。</w:t>
      </w:r>
    </w:p>
    <w:p w14:paraId="4297D966" w14:textId="77777777" w:rsidR="00A50A8D" w:rsidRDefault="00E168B6">
      <w:pPr>
        <w:numPr>
          <w:ilvl w:val="0"/>
          <w:numId w:val="8"/>
        </w:num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乙方承诺，未经产品管理人同意，乙方不向任何第三人转让、赠与本理财产品说明书或本理财产品说明书项下的任何权利、义务、利益、权益</w:t>
      </w:r>
      <w:r>
        <w:rPr>
          <w:rFonts w:ascii="方正黑体_GBK" w:eastAsia="方正黑体_GBK" w:hAnsi="Times New Roman" w:hint="eastAsia"/>
          <w:spacing w:val="10"/>
          <w:sz w:val="15"/>
          <w:szCs w:val="15"/>
        </w:rPr>
        <w:t>。</w:t>
      </w:r>
      <w:bookmarkStart w:id="8" w:name="_Hlk41902728"/>
    </w:p>
    <w:p w14:paraId="42A708BA" w14:textId="77777777" w:rsidR="00A50A8D" w:rsidRDefault="00E168B6">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乙方保证遵守国家反洗钱法律、法规及相关政策</w:t>
      </w:r>
      <w:r>
        <w:rPr>
          <w:rFonts w:ascii="方正黑体_GBK" w:eastAsia="方正黑体_GBK" w:hAnsi="Times New Roman" w:hint="eastAsia"/>
          <w:spacing w:val="10"/>
          <w:sz w:val="15"/>
          <w:szCs w:val="15"/>
        </w:rPr>
        <w:t>要求，不从事涉及洗钱、恐怖融资、逃税、逃废债务、套取现金等违法违规活动，积极配合甲方和销售机构开展投资者身份识别、交易记录保存、投资者身份及交易背景尽职调查、大额和可疑交易报告等各项反洗钱、反恐怖融资及非居民金融账户涉税信息尽职调查工作，并按甲方和销售机构要求提供相关证明材料。乙方保证其不属于联合国、欧盟或美国等制裁名单，及中国政府部门或有权机关发布的涉恐及反洗钱相关风险名单；不位于被联合国、欧盟或美国等制裁的国家和地区。</w:t>
      </w:r>
      <w:r>
        <w:rPr>
          <w:rFonts w:ascii="方正黑体_GBK" w:eastAsia="方正黑体_GBK" w:hAnsi="Times New Roman" w:hint="eastAsia"/>
          <w:b/>
          <w:bCs/>
          <w:spacing w:val="10"/>
          <w:sz w:val="15"/>
          <w:szCs w:val="15"/>
        </w:rPr>
        <w:t>甲方或销售机构发现或有合理理由怀疑乙方或其资金存在洗钱、恐怖融资、逃税等嫌疑，甲方有权</w:t>
      </w:r>
      <w:r>
        <w:rPr>
          <w:rFonts w:ascii="方正黑体_GBK" w:eastAsia="方正黑体_GBK" w:hAnsi="Times New Roman" w:hint="eastAsia"/>
          <w:b/>
          <w:bCs/>
          <w:spacing w:val="10"/>
          <w:sz w:val="15"/>
          <w:szCs w:val="15"/>
        </w:rPr>
        <w:t>提前终止本协议，造成乙方损失的，甲方不承担责任。</w:t>
      </w:r>
    </w:p>
    <w:p w14:paraId="12EF8C0B" w14:textId="77777777" w:rsidR="00A50A8D" w:rsidRDefault="00E168B6">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乙方已充分知悉对应期次理财产品风险等级</w:t>
      </w:r>
      <w:r>
        <w:rPr>
          <w:rFonts w:ascii="方正黑体_GBK" w:eastAsia="方正黑体_GBK" w:hAnsi="Times New Roman" w:hint="eastAsia"/>
          <w:b/>
          <w:bCs/>
          <w:spacing w:val="10"/>
          <w:sz w:val="15"/>
          <w:szCs w:val="15"/>
        </w:rPr>
        <w:t>（该产品通过代理销售机构渠道销售的，理财产品评级应当以代理销售机构最终披露的评级结果为准）</w:t>
      </w:r>
      <w:r>
        <w:rPr>
          <w:rFonts w:ascii="方正黑体_GBK" w:eastAsia="方正黑体_GBK" w:hAnsi="Times New Roman" w:hint="eastAsia"/>
          <w:spacing w:val="10"/>
          <w:sz w:val="15"/>
          <w:szCs w:val="15"/>
        </w:rPr>
        <w:t>，自愿购买甲方管理的本理财产品，接受甲方提供的投资理财服务。乙方已仔细阅读本理财产品《风险揭示书》，已充分知悉本理财产品风险等级，并确定以相应理财资金投资本理财产品，乙方承诺由此产生的相关风险由其自身承担。</w:t>
      </w:r>
    </w:p>
    <w:p w14:paraId="5E6EF1C4" w14:textId="77777777" w:rsidR="00A50A8D" w:rsidRDefault="00E168B6">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乙方对因购买、持有本理财产品而知悉的甲方及销售机构保密信息承担保密义务，乙方承诺不以任何方式向任何第三方披露甲方的保密信息，法</w:t>
      </w:r>
      <w:r>
        <w:rPr>
          <w:rFonts w:ascii="方正黑体_GBK" w:eastAsia="方正黑体_GBK" w:hAnsi="Times New Roman" w:hint="eastAsia"/>
          <w:spacing w:val="10"/>
          <w:sz w:val="15"/>
          <w:szCs w:val="15"/>
        </w:rPr>
        <w:t>律法规另有规定的除外。</w:t>
      </w:r>
    </w:p>
    <w:p w14:paraId="2849ED73" w14:textId="77777777" w:rsidR="00A50A8D" w:rsidRDefault="00E168B6">
      <w:pPr>
        <w:numPr>
          <w:ilvl w:val="0"/>
          <w:numId w:val="8"/>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color w:val="3D3D3D"/>
          <w:spacing w:val="10"/>
          <w:sz w:val="15"/>
          <w:szCs w:val="15"/>
        </w:rPr>
        <w:t>乙方承诺及时返还其在理财投资过程中取得的不当得利，乙方在此授权管理人或销售机构可直接从乙方开立在销售机构的任一账户中直接扣收不当得利部分而无需另行征得乙方同意，乙方不提出任何异议。</w:t>
      </w:r>
    </w:p>
    <w:p w14:paraId="6624A490" w14:textId="77777777" w:rsidR="00A50A8D" w:rsidRDefault="00E168B6">
      <w:pPr>
        <w:numPr>
          <w:ilvl w:val="0"/>
          <w:numId w:val="8"/>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乙方通过电子渠道购买理财产品的，在此特别同意理财产品销售机构积极采取有效措施和技术手段完整客观记录营销推介、产品风险和关键信息提示、投资者确认和反馈等重点销售环节，确保能够满足回溯检查和核查取证的需要。</w:t>
      </w:r>
    </w:p>
    <w:p w14:paraId="7ED5E976" w14:textId="77777777" w:rsidR="00A50A8D" w:rsidRDefault="00E168B6">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法律法规规定及理财产品销售文件中约定的其他权利与义务。</w:t>
      </w:r>
      <w:bookmarkEnd w:id="8"/>
    </w:p>
    <w:p w14:paraId="5F9E753D" w14:textId="77777777" w:rsidR="00A50A8D" w:rsidRDefault="00E168B6">
      <w:p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5.</w:t>
      </w:r>
      <w:r>
        <w:rPr>
          <w:rFonts w:ascii="方正黑体_GBK" w:eastAsia="方正黑体_GBK" w:hAnsi="Times New Roman" w:hint="eastAsia"/>
          <w:b/>
          <w:bCs/>
          <w:spacing w:val="10"/>
          <w:sz w:val="15"/>
          <w:szCs w:val="15"/>
        </w:rPr>
        <w:t>产品认购或申购、赎回</w:t>
      </w:r>
    </w:p>
    <w:p w14:paraId="0F285674" w14:textId="77777777" w:rsidR="00A50A8D" w:rsidRDefault="00E168B6">
      <w:pPr>
        <w:numPr>
          <w:ilvl w:val="0"/>
          <w:numId w:val="9"/>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理财产品认购或申购：</w:t>
      </w:r>
      <w:r>
        <w:rPr>
          <w:rFonts w:ascii="方正黑体_GBK" w:eastAsia="方正黑体_GBK" w:hAnsi="Times New Roman" w:hint="eastAsia"/>
          <w:spacing w:val="10"/>
          <w:sz w:val="15"/>
          <w:szCs w:val="15"/>
        </w:rPr>
        <w:t>参照《投资者权益须知》约定。</w:t>
      </w:r>
    </w:p>
    <w:p w14:paraId="1C69EA6A" w14:textId="77777777" w:rsidR="00A50A8D" w:rsidRDefault="00E168B6">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理财产品认购或申购撤销申请：乙方在理财产品募集期或开放期或投资冷静期（私募产品适用）内，可以撤销理财产品相应的认购或申购申请。</w:t>
      </w:r>
    </w:p>
    <w:p w14:paraId="593938DB" w14:textId="77777777" w:rsidR="00A50A8D" w:rsidRDefault="00E168B6">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不成立：若在募集期结束日，本理财产品发行规模未能达到对应期次的《理财产品说明书》规定的要求，甲方有权决定本理财产品不成立，甲方将按对应期次的《理财产品说明书》约定条款向乙方进行信息披露，销售机构及时解除对乙方授权指定账户中认购或申购资金的冻结或返还认购或申购资金。</w:t>
      </w:r>
    </w:p>
    <w:p w14:paraId="101982CA" w14:textId="77777777" w:rsidR="00A50A8D" w:rsidRDefault="00E168B6">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理财产品投资品种、投资起点金额、收益支付方式：参照对应期次的《理财产品说明书》中的约定。</w:t>
      </w:r>
    </w:p>
    <w:p w14:paraId="282AFA96" w14:textId="77777777" w:rsidR="00A50A8D" w:rsidRDefault="00E168B6">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理财产品赎回</w:t>
      </w:r>
      <w:bookmarkStart w:id="9" w:name="_Hlk41902781"/>
      <w:r>
        <w:rPr>
          <w:rFonts w:ascii="方正黑体_GBK" w:eastAsia="方正黑体_GBK" w:hAnsi="Times New Roman" w:hint="eastAsia"/>
          <w:spacing w:val="10"/>
          <w:sz w:val="15"/>
          <w:szCs w:val="15"/>
        </w:rPr>
        <w:t>资金支付</w:t>
      </w:r>
      <w:bookmarkEnd w:id="9"/>
      <w:r>
        <w:rPr>
          <w:rFonts w:ascii="方正黑体_GBK" w:eastAsia="方正黑体_GBK" w:hAnsi="Times New Roman" w:hint="eastAsia"/>
          <w:spacing w:val="10"/>
          <w:sz w:val="15"/>
          <w:szCs w:val="15"/>
        </w:rPr>
        <w:t>：在正常情况下，甲方将按照本协议及对应期次的《理财产品说明书》的相关约定</w:t>
      </w:r>
      <w:bookmarkStart w:id="10" w:name="_Hlk41902803"/>
      <w:r>
        <w:rPr>
          <w:rFonts w:ascii="方正黑体_GBK" w:eastAsia="方正黑体_GBK" w:hAnsi="Times New Roman" w:hint="eastAsia"/>
          <w:spacing w:val="10"/>
          <w:sz w:val="15"/>
          <w:szCs w:val="15"/>
        </w:rPr>
        <w:t>进行赎回资金</w:t>
      </w:r>
      <w:bookmarkEnd w:id="10"/>
      <w:r>
        <w:rPr>
          <w:rFonts w:ascii="方正黑体_GBK" w:eastAsia="方正黑体_GBK" w:hAnsi="Times New Roman" w:hint="eastAsia"/>
          <w:spacing w:val="10"/>
          <w:sz w:val="15"/>
          <w:szCs w:val="15"/>
        </w:rPr>
        <w:t>划付。</w:t>
      </w:r>
      <w:r>
        <w:rPr>
          <w:rFonts w:ascii="方正黑体_GBK" w:eastAsia="方正黑体_GBK" w:hAnsi="Times New Roman" w:hint="eastAsia"/>
          <w:b/>
          <w:bCs/>
          <w:spacing w:val="10"/>
          <w:sz w:val="15"/>
          <w:szCs w:val="15"/>
        </w:rPr>
        <w:t>如果发生特殊情形，造成本理财产品的投资资产无法及时、足额变现，甲方可以根据实际情况选择向乙方提前支付、延迟支付或者分次支付，并及时根据法律法规的要求向乙方披露支付方案。</w:t>
      </w:r>
    </w:p>
    <w:p w14:paraId="46B5EB3F" w14:textId="77777777" w:rsidR="00A50A8D" w:rsidRDefault="00E168B6">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6.</w:t>
      </w:r>
      <w:r>
        <w:rPr>
          <w:rFonts w:ascii="方正黑体_GBK" w:eastAsia="方正黑体_GBK" w:hAnsi="Times New Roman" w:hint="eastAsia"/>
          <w:b/>
          <w:bCs/>
          <w:spacing w:val="10"/>
          <w:sz w:val="15"/>
          <w:szCs w:val="15"/>
        </w:rPr>
        <w:t>产品的终止</w:t>
      </w:r>
    </w:p>
    <w:p w14:paraId="513A158D" w14:textId="77777777" w:rsidR="00A50A8D" w:rsidRDefault="00E168B6">
      <w:pPr>
        <w:spacing w:line="200" w:lineRule="exact"/>
        <w:ind w:firstLineChars="200" w:firstLine="300"/>
        <w:rPr>
          <w:rFonts w:ascii="方正黑体_GBK" w:eastAsia="方正黑体_GBK"/>
          <w:color w:val="3D3D3D"/>
          <w:kern w:val="0"/>
          <w:sz w:val="15"/>
          <w:szCs w:val="15"/>
        </w:rPr>
      </w:pPr>
      <w:r>
        <w:rPr>
          <w:rFonts w:ascii="方正黑体_GBK" w:eastAsia="方正黑体_GBK" w:hint="eastAsia"/>
          <w:color w:val="3D3D3D"/>
          <w:kern w:val="0"/>
          <w:sz w:val="15"/>
          <w:szCs w:val="15"/>
        </w:rPr>
        <w:t>若本理财产品未提前终止或延期终止，则到期日</w:t>
      </w:r>
      <w:r>
        <w:rPr>
          <w:rFonts w:ascii="方正黑体_GBK" w:eastAsia="方正黑体_GBK" w:hint="eastAsia"/>
          <w:color w:val="3D3D3D"/>
          <w:kern w:val="0"/>
          <w:sz w:val="15"/>
          <w:szCs w:val="15"/>
        </w:rPr>
        <w:t>/</w:t>
      </w:r>
      <w:r>
        <w:rPr>
          <w:rFonts w:ascii="方正黑体_GBK" w:eastAsia="方正黑体_GBK" w:hint="eastAsia"/>
          <w:color w:val="3D3D3D"/>
          <w:kern w:val="0"/>
          <w:sz w:val="15"/>
          <w:szCs w:val="15"/>
        </w:rPr>
        <w:t>终止日即为名义到期日；若本理财产品被提前终止，则到期日</w:t>
      </w:r>
      <w:r>
        <w:rPr>
          <w:rFonts w:ascii="方正黑体_GBK" w:eastAsia="方正黑体_GBK" w:hint="eastAsia"/>
          <w:color w:val="3D3D3D"/>
          <w:kern w:val="0"/>
          <w:sz w:val="15"/>
          <w:szCs w:val="15"/>
        </w:rPr>
        <w:t>/</w:t>
      </w:r>
      <w:r>
        <w:rPr>
          <w:rFonts w:ascii="方正黑体_GBK" w:eastAsia="方正黑体_GBK" w:hint="eastAsia"/>
          <w:color w:val="3D3D3D"/>
          <w:kern w:val="0"/>
          <w:sz w:val="15"/>
          <w:szCs w:val="15"/>
        </w:rPr>
        <w:t>终止日为提前终止权行使日；若本理财产品被延期终止，则到期日</w:t>
      </w:r>
      <w:r>
        <w:rPr>
          <w:rFonts w:ascii="方正黑体_GBK" w:eastAsia="方正黑体_GBK" w:hint="eastAsia"/>
          <w:color w:val="3D3D3D"/>
          <w:kern w:val="0"/>
          <w:sz w:val="15"/>
          <w:szCs w:val="15"/>
        </w:rPr>
        <w:t>/</w:t>
      </w:r>
      <w:r>
        <w:rPr>
          <w:rFonts w:ascii="方正黑体_GBK" w:eastAsia="方正黑体_GBK" w:hint="eastAsia"/>
          <w:color w:val="3D3D3D"/>
          <w:kern w:val="0"/>
          <w:sz w:val="15"/>
          <w:szCs w:val="15"/>
        </w:rPr>
        <w:t>终止日为延期终止日。</w:t>
      </w:r>
    </w:p>
    <w:p w14:paraId="6DFD7997" w14:textId="77777777" w:rsidR="00A50A8D" w:rsidRDefault="00E168B6">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1</w:t>
      </w:r>
      <w:r>
        <w:rPr>
          <w:rFonts w:ascii="方正黑体_GBK" w:eastAsia="方正黑体_GBK" w:hAnsi="Times New Roman" w:hint="eastAsia"/>
          <w:b/>
          <w:bCs/>
          <w:spacing w:val="10"/>
          <w:sz w:val="15"/>
          <w:szCs w:val="15"/>
        </w:rPr>
        <w:t>）理财产品提前终止</w:t>
      </w:r>
    </w:p>
    <w:p w14:paraId="1A67A218" w14:textId="77777777" w:rsidR="00A50A8D" w:rsidRDefault="00E168B6">
      <w:pPr>
        <w:spacing w:line="200" w:lineRule="exact"/>
        <w:ind w:firstLineChars="200" w:firstLine="34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在理财产品存续期内，如发生以下事项时，南银理财可对本理财产品行使全部提前终止权：</w:t>
      </w:r>
    </w:p>
    <w:p w14:paraId="01AE6E1B" w14:textId="77777777" w:rsidR="00A50A8D" w:rsidRDefault="00E168B6">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如因本理财产品资产运作模式、投资资产等与法律法规、规章的规定或者监管部门的要求等存在冲突导致理财产品必须提前终止的；</w:t>
      </w:r>
    </w:p>
    <w:p w14:paraId="08A7728F" w14:textId="77777777" w:rsidR="00A50A8D" w:rsidRDefault="00E168B6">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国家有关法律、法规、规章、监管规定、政策的改变、紧急措施的出台、理财市场环境发生重大变化等导致理财产品必须</w:t>
      </w:r>
      <w:r>
        <w:rPr>
          <w:rFonts w:ascii="方正黑体_GBK" w:eastAsia="方正黑体_GBK" w:hAnsi="Times New Roman" w:hint="eastAsia"/>
          <w:bCs/>
          <w:spacing w:val="10"/>
          <w:sz w:val="15"/>
          <w:szCs w:val="15"/>
        </w:rPr>
        <w:t>提前终止的；</w:t>
      </w:r>
    </w:p>
    <w:p w14:paraId="5B8FB7F9" w14:textId="77777777" w:rsidR="00A50A8D" w:rsidRDefault="00E168B6">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因不可抗力因素导致本理财产品必须提前终止的；</w:t>
      </w:r>
    </w:p>
    <w:p w14:paraId="319EF7C9" w14:textId="77777777" w:rsidR="00A50A8D" w:rsidRDefault="00E168B6">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遇有市场出现剧烈波动、异常风险事件等情形导致理财产品收益出现大幅波动或严重影响理财产品的资产安全；</w:t>
      </w:r>
    </w:p>
    <w:p w14:paraId="51B16EF3" w14:textId="77777777" w:rsidR="00A50A8D" w:rsidRDefault="00E168B6">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因投资者理财资金被有权机关扣划等原因导致理财产品剩余资产无法满足相关法律法规规定、所投资市场要求或协议等相关法律文件约定，或者继续存续无法实现投资目标；</w:t>
      </w:r>
    </w:p>
    <w:p w14:paraId="4FEC8BFC" w14:textId="77777777" w:rsidR="00A50A8D" w:rsidRDefault="00E168B6">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因管理人解散、破产、撤销、被取消业务资格等原因无法继续履行相应职责导致产品无法继续运作；</w:t>
      </w:r>
    </w:p>
    <w:p w14:paraId="2F06FB26" w14:textId="77777777" w:rsidR="00A50A8D" w:rsidRDefault="00E168B6">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理财产品所投资资产部分或全部提前偿付；</w:t>
      </w:r>
    </w:p>
    <w:p w14:paraId="257C791E" w14:textId="77777777" w:rsidR="00A50A8D" w:rsidRDefault="00E168B6">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提前终止产品比维持产品运作更有利于保护产品持有人的权益；</w:t>
      </w:r>
    </w:p>
    <w:p w14:paraId="29FBB57D" w14:textId="77777777" w:rsidR="00A50A8D" w:rsidRDefault="00E168B6">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南银理财合</w:t>
      </w:r>
      <w:r>
        <w:rPr>
          <w:rFonts w:ascii="方正黑体_GBK" w:eastAsia="方正黑体_GBK" w:hAnsi="Times New Roman" w:hint="eastAsia"/>
          <w:bCs/>
          <w:spacing w:val="10"/>
          <w:sz w:val="15"/>
          <w:szCs w:val="15"/>
        </w:rPr>
        <w:t>理认为应该提前终止本理财产品的其他情况。</w:t>
      </w:r>
    </w:p>
    <w:p w14:paraId="56DEC817" w14:textId="77777777" w:rsidR="00A50A8D" w:rsidRDefault="00E168B6">
      <w:pPr>
        <w:pStyle w:val="10"/>
        <w:spacing w:line="200" w:lineRule="exact"/>
        <w:ind w:left="340" w:firstLineChars="0" w:firstLine="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南银理财如提前终止本理财产品，应根据本理财产品销售文件约定的方式进行信息披露。</w:t>
      </w:r>
    </w:p>
    <w:p w14:paraId="00D87035" w14:textId="77777777" w:rsidR="00A50A8D" w:rsidRDefault="00E168B6">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2</w:t>
      </w:r>
      <w:r>
        <w:rPr>
          <w:rFonts w:ascii="方正黑体_GBK" w:eastAsia="方正黑体_GBK" w:hAnsi="Times New Roman" w:hint="eastAsia"/>
          <w:b/>
          <w:bCs/>
          <w:spacing w:val="10"/>
          <w:sz w:val="15"/>
          <w:szCs w:val="15"/>
        </w:rPr>
        <w:t>）理财产品的延期终止</w:t>
      </w:r>
    </w:p>
    <w:p w14:paraId="0E5D88FD" w14:textId="77777777" w:rsidR="00A50A8D" w:rsidRDefault="00E168B6">
      <w:pPr>
        <w:spacing w:line="200" w:lineRule="exact"/>
        <w:ind w:left="34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在理财产品存续期内，如发生以下事项时，南银理财有权推迟本理财产品终止日：</w:t>
      </w:r>
    </w:p>
    <w:p w14:paraId="5BAD4DB3" w14:textId="77777777" w:rsidR="00A50A8D" w:rsidRDefault="00E168B6">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产品到期日遇非工作日，产品到期日顺延至下一工作日；</w:t>
      </w:r>
    </w:p>
    <w:p w14:paraId="71E2D3CC" w14:textId="77777777" w:rsidR="00A50A8D" w:rsidRDefault="00E168B6">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因市场成交量不足、资产限制赎回、暂停交易、缺乏意愿交易对手等原因，导致产品所投资的资产无法及时全部变现；</w:t>
      </w:r>
    </w:p>
    <w:p w14:paraId="5A5FD70D" w14:textId="77777777" w:rsidR="00A50A8D" w:rsidRDefault="00E168B6">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因资金在途等原因，导致未能及时收回资金；</w:t>
      </w:r>
    </w:p>
    <w:p w14:paraId="4CAA3D7F" w14:textId="77777777" w:rsidR="00A50A8D" w:rsidRDefault="00E168B6">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因不可抗力等原因，导致管理人无法及时收回资金及</w:t>
      </w:r>
      <w:r>
        <w:rPr>
          <w:rFonts w:ascii="方正黑体_GBK" w:eastAsia="方正黑体_GBK" w:hAnsi="Times New Roman" w:hint="eastAsia"/>
          <w:bCs/>
          <w:spacing w:val="10"/>
          <w:sz w:val="15"/>
          <w:szCs w:val="15"/>
        </w:rPr>
        <w:t>/</w:t>
      </w:r>
      <w:r>
        <w:rPr>
          <w:rFonts w:ascii="方正黑体_GBK" w:eastAsia="方正黑体_GBK" w:hAnsi="Times New Roman" w:hint="eastAsia"/>
          <w:bCs/>
          <w:spacing w:val="10"/>
          <w:sz w:val="15"/>
          <w:szCs w:val="15"/>
        </w:rPr>
        <w:t>或进行理财资金清算分配的；</w:t>
      </w:r>
    </w:p>
    <w:p w14:paraId="2E276812" w14:textId="77777777" w:rsidR="00A50A8D" w:rsidRDefault="00E168B6">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理财产品资产涉及诉讼（或仲裁），且预计诉讼（或仲裁）及执行程序于理财产品名义到期日尚未终结；</w:t>
      </w:r>
    </w:p>
    <w:p w14:paraId="4ECB3A46" w14:textId="77777777" w:rsidR="00A50A8D" w:rsidRDefault="00E168B6">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其他管理人认为需要延期的情形；</w:t>
      </w:r>
    </w:p>
    <w:p w14:paraId="2653E67C" w14:textId="77777777" w:rsidR="00A50A8D" w:rsidRDefault="00E168B6">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法律规定的及本理财产品销售文件约定的其他情形。</w:t>
      </w:r>
    </w:p>
    <w:p w14:paraId="0A4AA8BB" w14:textId="77777777" w:rsidR="00A50A8D" w:rsidRDefault="00E168B6">
      <w:pPr>
        <w:spacing w:line="200" w:lineRule="exact"/>
        <w:ind w:left="340"/>
        <w:rPr>
          <w:rFonts w:ascii="方正黑体_GBK" w:eastAsia="方正黑体_GBK" w:hAnsi="Times New Roman"/>
          <w:bCs/>
          <w:spacing w:val="10"/>
          <w:sz w:val="15"/>
          <w:szCs w:val="15"/>
        </w:rPr>
      </w:pPr>
      <w:r>
        <w:rPr>
          <w:rFonts w:ascii="方正黑体_GBK" w:eastAsia="方正黑体_GBK" w:hAnsi="Times New Roman" w:hint="eastAsia"/>
          <w:spacing w:val="10"/>
          <w:sz w:val="15"/>
          <w:szCs w:val="15"/>
        </w:rPr>
        <w:t>南银理财</w:t>
      </w:r>
      <w:r>
        <w:rPr>
          <w:rFonts w:ascii="方正黑体_GBK" w:eastAsia="方正黑体_GBK" w:hAnsi="Times New Roman" w:hint="eastAsia"/>
          <w:bCs/>
          <w:spacing w:val="10"/>
          <w:sz w:val="15"/>
          <w:szCs w:val="15"/>
        </w:rPr>
        <w:t>如推迟本理财产品到期日，应根据本理财产品销售文件约定的方式进行信息披露。</w:t>
      </w:r>
    </w:p>
    <w:p w14:paraId="0C64A5CD" w14:textId="77777777" w:rsidR="00A50A8D" w:rsidRDefault="00E168B6">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本理财产品不因投资者丧失民事行为能力、死亡、破产、解散等情形而终止。上述情况下，投资者于理财产品销售文件项下的权利以及义务由其法定继承人、承继人、继受人或者指定的受益人以及继任管理人等承担。甲方以及销售机构有权要求或配合投资者的法定继承人、承继人、继受人或者指定受益人以及继任管理人等相关主体办理相关变更手续。</w:t>
      </w:r>
    </w:p>
    <w:p w14:paraId="2D133E19" w14:textId="77777777" w:rsidR="00A50A8D" w:rsidRDefault="00E168B6">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7.</w:t>
      </w:r>
      <w:r>
        <w:rPr>
          <w:rFonts w:ascii="方正黑体_GBK" w:eastAsia="方正黑体_GBK" w:hAnsi="Times New Roman" w:hint="eastAsia"/>
          <w:b/>
          <w:spacing w:val="10"/>
          <w:sz w:val="15"/>
          <w:szCs w:val="15"/>
        </w:rPr>
        <w:t>产品资产的清算</w:t>
      </w:r>
      <w:r>
        <w:rPr>
          <w:rFonts w:ascii="方正黑体_GBK" w:eastAsia="方正黑体_GBK" w:hAnsi="Times New Roman" w:hint="eastAsia"/>
          <w:b/>
          <w:spacing w:val="10"/>
          <w:sz w:val="15"/>
          <w:szCs w:val="15"/>
        </w:rPr>
        <w:t xml:space="preserve"> </w:t>
      </w:r>
    </w:p>
    <w:p w14:paraId="6F5A83EB" w14:textId="77777777" w:rsidR="00A50A8D" w:rsidRDefault="00E168B6">
      <w:pPr>
        <w:spacing w:line="200" w:lineRule="exact"/>
        <w:ind w:firstLineChars="200" w:firstLine="340"/>
        <w:rPr>
          <w:rFonts w:ascii="方正黑体_GBK" w:eastAsia="方正黑体_GBK" w:hAnsi="Times New Roman"/>
          <w:b/>
          <w:spacing w:val="10"/>
          <w:sz w:val="15"/>
          <w:szCs w:val="15"/>
        </w:rPr>
      </w:pPr>
      <w:r>
        <w:rPr>
          <w:rFonts w:ascii="方正黑体_GBK" w:eastAsia="方正黑体_GBK" w:hAnsi="Times New Roman" w:hint="eastAsia"/>
          <w:bCs/>
          <w:spacing w:val="10"/>
          <w:sz w:val="15"/>
          <w:szCs w:val="15"/>
        </w:rPr>
        <w:t>自本理财产品终止日至投资者理财本金及收益到账日之间为本理财产品的清算期，</w:t>
      </w:r>
      <w:r>
        <w:rPr>
          <w:rFonts w:ascii="方正黑体_GBK" w:eastAsia="方正黑体_GBK" w:hAnsi="Times New Roman" w:hint="eastAsia"/>
          <w:b/>
          <w:spacing w:val="10"/>
          <w:sz w:val="15"/>
          <w:szCs w:val="15"/>
        </w:rPr>
        <w:t>清算期不计算利息或投资收益</w:t>
      </w:r>
      <w:r>
        <w:rPr>
          <w:rFonts w:ascii="方正黑体_GBK" w:eastAsia="方正黑体_GBK" w:hAnsi="Times New Roman" w:hint="eastAsia"/>
          <w:bCs/>
          <w:spacing w:val="10"/>
          <w:sz w:val="15"/>
          <w:szCs w:val="15"/>
        </w:rPr>
        <w:t>。</w:t>
      </w:r>
      <w:r>
        <w:rPr>
          <w:rFonts w:ascii="方正黑体_GBK" w:eastAsia="方正黑体_GBK" w:hAnsi="Times New Roman" w:hint="eastAsia"/>
          <w:b/>
          <w:spacing w:val="10"/>
          <w:sz w:val="15"/>
          <w:szCs w:val="15"/>
        </w:rPr>
        <w:t>甲方将根据对应期次《理财产品说明书》的约定将理财产品清算变现，</w:t>
      </w:r>
      <w:r>
        <w:rPr>
          <w:rFonts w:ascii="方正黑体_GBK" w:eastAsia="方正黑体_GBK" w:hAnsi="Times New Roman" w:hint="eastAsia"/>
          <w:b/>
          <w:bCs/>
          <w:spacing w:val="10"/>
          <w:sz w:val="15"/>
          <w:szCs w:val="15"/>
        </w:rPr>
        <w:t>销售机构为甲方的</w:t>
      </w:r>
      <w:r>
        <w:rPr>
          <w:rFonts w:ascii="方正黑体_GBK" w:eastAsia="方正黑体_GBK" w:hAnsi="Times New Roman" w:hint="eastAsia"/>
          <w:b/>
          <w:bCs/>
          <w:spacing w:val="10"/>
          <w:sz w:val="15"/>
          <w:szCs w:val="15"/>
        </w:rPr>
        <w:t>情形下，甲方按照理财产品说明书约定向乙方进行理财产品份额的收益分配并将对应资金划入乙方授权指定账户后，即视为甲方已向乙方完成收益分配和资金的清算分配；销售机构非甲方的情形下，甲方按照理财产品说明书约定向乙方进行理财产品份额的收益分配并将对应资金划入销售机构账户后，由销售机构向乙方授权指定账户划付对应资金。</w:t>
      </w:r>
    </w:p>
    <w:p w14:paraId="5326F650" w14:textId="77777777" w:rsidR="00A50A8D" w:rsidRDefault="00E168B6">
      <w:pPr>
        <w:spacing w:line="200" w:lineRule="exact"/>
        <w:ind w:firstLineChars="200" w:firstLine="34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清算期原则上不得超过</w:t>
      </w:r>
      <w:r>
        <w:rPr>
          <w:rFonts w:ascii="方正黑体_GBK" w:eastAsia="方正黑体_GBK" w:hAnsi="Times New Roman" w:hint="eastAsia"/>
          <w:bCs/>
          <w:spacing w:val="10"/>
          <w:sz w:val="15"/>
          <w:szCs w:val="15"/>
        </w:rPr>
        <w:t>5</w:t>
      </w:r>
      <w:r>
        <w:rPr>
          <w:rFonts w:ascii="方正黑体_GBK" w:eastAsia="方正黑体_GBK" w:hAnsi="Times New Roman" w:hint="eastAsia"/>
          <w:bCs/>
          <w:spacing w:val="10"/>
          <w:sz w:val="15"/>
          <w:szCs w:val="15"/>
        </w:rPr>
        <w:t>个工作日，因清算期超过</w:t>
      </w:r>
      <w:r>
        <w:rPr>
          <w:rFonts w:ascii="方正黑体_GBK" w:eastAsia="方正黑体_GBK" w:hAnsi="Times New Roman" w:hint="eastAsia"/>
          <w:bCs/>
          <w:spacing w:val="10"/>
          <w:sz w:val="15"/>
          <w:szCs w:val="15"/>
        </w:rPr>
        <w:t>5</w:t>
      </w:r>
      <w:r>
        <w:rPr>
          <w:rFonts w:ascii="方正黑体_GBK" w:eastAsia="方正黑体_GBK" w:hAnsi="Times New Roman" w:hint="eastAsia"/>
          <w:bCs/>
          <w:spacing w:val="10"/>
          <w:sz w:val="15"/>
          <w:szCs w:val="15"/>
        </w:rPr>
        <w:t>个工作日的，应当在理财产品终止前，将依约定进行公告。</w:t>
      </w:r>
      <w:r>
        <w:rPr>
          <w:rFonts w:ascii="方正黑体_GBK" w:eastAsia="方正黑体_GBK" w:hAnsi="Times New Roman" w:hint="eastAsia"/>
          <w:b/>
          <w:spacing w:val="10"/>
          <w:sz w:val="15"/>
          <w:szCs w:val="15"/>
        </w:rPr>
        <w:t>因本理财产品的投资资产无法及时、足额变现等原因，南银理财可以根据实际情况选择向投资者提前支付、延迟支付或者</w:t>
      </w:r>
      <w:r>
        <w:rPr>
          <w:rFonts w:ascii="方正黑体_GBK" w:eastAsia="方正黑体_GBK" w:hAnsi="Times New Roman" w:hint="eastAsia"/>
          <w:b/>
          <w:spacing w:val="10"/>
          <w:sz w:val="15"/>
          <w:szCs w:val="15"/>
        </w:rPr>
        <w:t>分次支付，并及时根据法律法规的要求向乙方披露支付方案。</w:t>
      </w:r>
    </w:p>
    <w:p w14:paraId="627F4204" w14:textId="77777777" w:rsidR="00A50A8D" w:rsidRDefault="00E168B6">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8.</w:t>
      </w:r>
      <w:r>
        <w:rPr>
          <w:rFonts w:ascii="方正黑体_GBK" w:eastAsia="方正黑体_GBK" w:hAnsi="Times New Roman" w:hint="eastAsia"/>
          <w:b/>
          <w:bCs/>
          <w:spacing w:val="10"/>
          <w:sz w:val="15"/>
          <w:szCs w:val="15"/>
        </w:rPr>
        <w:t>特别提示</w:t>
      </w:r>
    </w:p>
    <w:p w14:paraId="4BBBF355" w14:textId="77777777" w:rsidR="00A50A8D" w:rsidRDefault="00E168B6">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在本理财产品存续期内：</w:t>
      </w:r>
    </w:p>
    <w:p w14:paraId="712922FB" w14:textId="77777777" w:rsidR="00A50A8D" w:rsidRDefault="00E168B6">
      <w:pPr>
        <w:numPr>
          <w:ilvl w:val="0"/>
          <w:numId w:val="13"/>
        </w:num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2F10EA32" w14:textId="77777777" w:rsidR="00A50A8D" w:rsidRDefault="00E168B6">
      <w:pPr>
        <w:numPr>
          <w:ilvl w:val="0"/>
          <w:numId w:val="13"/>
        </w:num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若因市场情况等发生变化或是出于维护本理财产品正常运营或管理的需要，或基于甲方合理认定的其他情形，且投资者无法发起赎回申请时</w:t>
      </w:r>
      <w:r>
        <w:rPr>
          <w:rFonts w:ascii="方正黑体_GBK" w:eastAsia="方正黑体_GBK" w:hAnsi="Times New Roman" w:hint="eastAsia"/>
          <w:b/>
          <w:spacing w:val="10"/>
          <w:sz w:val="15"/>
          <w:szCs w:val="15"/>
        </w:rPr>
        <w:t>，</w:t>
      </w:r>
      <w:r>
        <w:rPr>
          <w:rFonts w:ascii="方正黑体_GBK" w:eastAsia="方正黑体_GBK" w:hAnsi="Times New Roman" w:hint="eastAsia"/>
          <w:b/>
          <w:spacing w:val="10"/>
          <w:sz w:val="15"/>
          <w:szCs w:val="15"/>
        </w:rPr>
        <w:t>甲方有权单方面对本理财产品的销</w:t>
      </w:r>
      <w:r>
        <w:rPr>
          <w:rFonts w:ascii="方正黑体_GBK" w:eastAsia="方正黑体_GBK" w:hAnsi="Times New Roman" w:hint="eastAsia"/>
          <w:b/>
          <w:spacing w:val="10"/>
          <w:sz w:val="15"/>
          <w:szCs w:val="15"/>
        </w:rPr>
        <w:t>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178DB5C9" w14:textId="77777777" w:rsidR="00A50A8D" w:rsidRDefault="00E168B6">
      <w:pPr>
        <w:numPr>
          <w:ilvl w:val="0"/>
          <w:numId w:val="13"/>
        </w:num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免责条款</w:t>
      </w:r>
    </w:p>
    <w:p w14:paraId="7D5B6893" w14:textId="77777777" w:rsidR="00A50A8D" w:rsidRDefault="00E168B6">
      <w:pPr>
        <w:pStyle w:val="10"/>
        <w:numPr>
          <w:ilvl w:val="0"/>
          <w:numId w:val="14"/>
        </w:numPr>
        <w:spacing w:line="200" w:lineRule="exact"/>
        <w:ind w:firstLineChars="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不合法。如果因遵守任何适用法律、法规、条例、规则、规定、裁决、命令或</w:t>
      </w:r>
      <w:r>
        <w:rPr>
          <w:rFonts w:ascii="方正黑体_GBK" w:eastAsia="方正黑体_GBK" w:hAnsi="Times New Roman" w:hint="eastAsia"/>
          <w:b/>
          <w:spacing w:val="10"/>
          <w:sz w:val="15"/>
          <w:szCs w:val="15"/>
        </w:rPr>
        <w:t>指令（不论是现行或将来实施的）而使得甲方履行协议项下的义务全部或部分成为不合法，甲方有权在任何时间向乙方发出通知提前终止受影响的理财产品，在此情况下甲方无需对乙方因提前终止投资而造成的任何损失承担任何责任。</w:t>
      </w:r>
    </w:p>
    <w:p w14:paraId="4976E6DB" w14:textId="77777777" w:rsidR="00A50A8D" w:rsidRDefault="00E168B6">
      <w:pPr>
        <w:pStyle w:val="10"/>
        <w:numPr>
          <w:ilvl w:val="0"/>
          <w:numId w:val="14"/>
        </w:numPr>
        <w:spacing w:line="200" w:lineRule="exact"/>
        <w:ind w:firstLineChars="0"/>
        <w:rPr>
          <w:rFonts w:ascii="方正黑体_GBK" w:eastAsia="方正黑体_GBK"/>
          <w:b/>
          <w:spacing w:val="10"/>
          <w:sz w:val="15"/>
          <w:szCs w:val="15"/>
        </w:rPr>
      </w:pPr>
      <w:r>
        <w:rPr>
          <w:rFonts w:ascii="方正黑体_GBK" w:eastAsia="方正黑体_GBK" w:hAnsi="Times New Roman" w:hint="eastAsia"/>
          <w:b/>
          <w:spacing w:val="10"/>
          <w:sz w:val="15"/>
          <w:szCs w:val="15"/>
        </w:rPr>
        <w:t>不可抗力。如果甲方认为由于自然灾害、</w:t>
      </w:r>
      <w:bookmarkStart w:id="11" w:name="_Hlk41903042"/>
      <w:r>
        <w:rPr>
          <w:rFonts w:ascii="方正黑体_GBK" w:eastAsia="方正黑体_GBK" w:hAnsi="Times New Roman" w:hint="eastAsia"/>
          <w:b/>
          <w:spacing w:val="10"/>
          <w:sz w:val="15"/>
          <w:szCs w:val="15"/>
        </w:rPr>
        <w:t>地震、台风、海啸、洪水、火灾、停电、突发性公共卫生事件、</w:t>
      </w:r>
      <w:bookmarkStart w:id="12" w:name="_Hlk41862861"/>
      <w:bookmarkEnd w:id="11"/>
      <w:r>
        <w:rPr>
          <w:rFonts w:ascii="方正黑体_GBK" w:eastAsia="方正黑体_GBK" w:hAnsi="Times New Roman" w:hint="eastAsia"/>
          <w:b/>
          <w:spacing w:val="10"/>
          <w:sz w:val="15"/>
          <w:szCs w:val="15"/>
        </w:rPr>
        <w:t>罢工、内战、战争、军事行动、任何种类的恐怖活动、暴动、公众示威或抗议</w:t>
      </w:r>
      <w:bookmarkStart w:id="13" w:name="_Hlk41903076"/>
      <w:bookmarkEnd w:id="12"/>
      <w:r>
        <w:rPr>
          <w:rFonts w:ascii="方正黑体_GBK" w:eastAsia="方正黑体_GBK" w:hAnsi="Times New Roman" w:hint="eastAsia"/>
          <w:b/>
          <w:spacing w:val="10"/>
          <w:sz w:val="15"/>
          <w:szCs w:val="15"/>
        </w:rPr>
        <w:t>；新的适用法律或国家政策的颁布或实施、对原适用法律或国家政策的修改；</w:t>
      </w:r>
      <w:bookmarkStart w:id="14" w:name="_Hlk41862959"/>
      <w:bookmarkEnd w:id="13"/>
      <w:r>
        <w:rPr>
          <w:rFonts w:ascii="方正黑体_GBK" w:eastAsia="方正黑体_GBK" w:hAnsi="Times New Roman" w:hint="eastAsia"/>
          <w:b/>
          <w:spacing w:val="10"/>
          <w:sz w:val="15"/>
          <w:szCs w:val="15"/>
        </w:rPr>
        <w:t>中国內地或全球金融外汇市场发生致使甲方无法进行货币兑换、划转等的异常变化；任</w:t>
      </w:r>
      <w:r>
        <w:rPr>
          <w:rFonts w:ascii="方正黑体_GBK" w:eastAsia="方正黑体_GBK" w:hAnsi="Times New Roman" w:hint="eastAsia"/>
          <w:b/>
          <w:spacing w:val="10"/>
          <w:sz w:val="15"/>
          <w:szCs w:val="15"/>
        </w:rPr>
        <w:t>何政府机关或其他机关的行为（不论是在法律上或是在事实上）、法律、法规、条例、规则、规定、裁决、命令或指令（包括国有化或对外限制、外汇管制）、诉讼或威胁</w:t>
      </w:r>
      <w:bookmarkEnd w:id="14"/>
      <w:r>
        <w:rPr>
          <w:rFonts w:ascii="方正黑体_GBK" w:eastAsia="方正黑体_GBK" w:hAnsi="Times New Roman" w:hint="eastAsia"/>
          <w:b/>
          <w:spacing w:val="10"/>
          <w:sz w:val="15"/>
          <w:szCs w:val="15"/>
        </w:rPr>
        <w:t>；</w:t>
      </w:r>
      <w:bookmarkStart w:id="15" w:name="_Hlk41903087"/>
      <w:r>
        <w:rPr>
          <w:rFonts w:ascii="方正黑体_GBK" w:eastAsia="方正黑体_GBK" w:hAnsi="Times New Roman" w:hint="eastAsia"/>
          <w:b/>
          <w:spacing w:val="10"/>
          <w:sz w:val="15"/>
          <w:szCs w:val="15"/>
        </w:rPr>
        <w:t>因理财产品各方和</w:t>
      </w:r>
      <w:r>
        <w:rPr>
          <w:rFonts w:ascii="方正黑体_GBK" w:eastAsia="方正黑体_GBK" w:hAnsi="Times New Roman" w:hint="eastAsia"/>
          <w:b/>
          <w:spacing w:val="10"/>
          <w:sz w:val="15"/>
          <w:szCs w:val="15"/>
        </w:rPr>
        <w:t>/</w:t>
      </w:r>
      <w:r>
        <w:rPr>
          <w:rFonts w:ascii="方正黑体_GBK" w:eastAsia="方正黑体_GBK" w:hAnsi="Times New Roman" w:hint="eastAsia"/>
          <w:b/>
          <w:spacing w:val="10"/>
          <w:sz w:val="15"/>
          <w:szCs w:val="15"/>
        </w:rPr>
        <w:t>或其关联方运营网络系统遭受黑客攻击、电信部门技术调整或故障等原因而造成的理财产品各方和</w:t>
      </w:r>
      <w:r>
        <w:rPr>
          <w:rFonts w:ascii="方正黑体_GBK" w:eastAsia="方正黑体_GBK" w:hAnsi="Times New Roman" w:hint="eastAsia"/>
          <w:b/>
          <w:spacing w:val="10"/>
          <w:sz w:val="15"/>
          <w:szCs w:val="15"/>
        </w:rPr>
        <w:t>/</w:t>
      </w:r>
      <w:r>
        <w:rPr>
          <w:rFonts w:ascii="方正黑体_GBK" w:eastAsia="方正黑体_GBK" w:hAnsi="Times New Roman" w:hint="eastAsia"/>
          <w:b/>
          <w:spacing w:val="10"/>
          <w:sz w:val="15"/>
          <w:szCs w:val="15"/>
        </w:rPr>
        <w:t>或其关联方之服务、营业的中断或者延迟</w:t>
      </w:r>
      <w:r>
        <w:rPr>
          <w:rFonts w:ascii="方正黑体_GBK" w:eastAsia="方正黑体_GBK" w:hAnsi="Times New Roman" w:hint="eastAsia"/>
          <w:b/>
          <w:spacing w:val="10"/>
          <w:sz w:val="15"/>
          <w:szCs w:val="15"/>
        </w:rPr>
        <w:t>;</w:t>
      </w:r>
      <w:bookmarkEnd w:id="15"/>
      <w:r>
        <w:rPr>
          <w:rFonts w:ascii="方正黑体_GBK" w:eastAsia="方正黑体_GBK" w:hAnsi="Times New Roman" w:hint="eastAsia"/>
          <w:b/>
          <w:spacing w:val="10"/>
          <w:sz w:val="15"/>
          <w:szCs w:val="15"/>
        </w:rPr>
        <w:t>或任何其他非甲方所能控制的情况或原因，导致甲方未能履行或需延迟履行协议项下或与理财产品相关的支付义务，甲方无需对乙方承担任何责任。尤其是，当资金存放在任何销售机构、托管人或代理人处而他们因上述原因被禁止向甲方付款或履</w:t>
      </w:r>
      <w:r>
        <w:rPr>
          <w:rFonts w:ascii="方正黑体_GBK" w:eastAsia="方正黑体_GBK" w:hAnsi="Times New Roman" w:hint="eastAsia"/>
          <w:b/>
          <w:spacing w:val="10"/>
          <w:sz w:val="15"/>
          <w:szCs w:val="15"/>
        </w:rPr>
        <w:t>行义务时，甲方亦无需向乙方负责。如果在一个支付日发生不可抗力（不论该不可抗力是否持续整个当日），与理财产品有关的相关回报或赎回金额（视情形而定）的支付将由甲方按完全自行酌情决定顺延至紧临的下一个不存在不可抗力的工作日。乙方将不会因此而收到额外的收益或者补偿。</w:t>
      </w:r>
    </w:p>
    <w:p w14:paraId="6DC0F79C" w14:textId="77777777" w:rsidR="00A50A8D" w:rsidRDefault="00E168B6">
      <w:pPr>
        <w:pStyle w:val="10"/>
        <w:numPr>
          <w:ilvl w:val="0"/>
          <w:numId w:val="14"/>
        </w:numPr>
        <w:spacing w:line="200" w:lineRule="exact"/>
        <w:ind w:firstLineChars="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如乙方违反本协议的约定或其交易资金被国家有权机关采取强制措施，或甲方发现或有合理理由怀疑乙方或其资金存在洗钱、恐怖融资、逃税等嫌疑，或存在其他违法违规违反本约定行为的，甲方有权提前终止本协议。乙方承担由此给乙方造成的任何损失。</w:t>
      </w:r>
    </w:p>
    <w:p w14:paraId="1A6657EF" w14:textId="77777777" w:rsidR="00A50A8D" w:rsidRDefault="00E168B6">
      <w:pPr>
        <w:pStyle w:val="10"/>
        <w:numPr>
          <w:ilvl w:val="0"/>
          <w:numId w:val="14"/>
        </w:numPr>
        <w:spacing w:line="200" w:lineRule="exact"/>
        <w:ind w:firstLineChars="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本理财产品销售文件项下理</w:t>
      </w:r>
      <w:r>
        <w:rPr>
          <w:rFonts w:ascii="方正黑体_GBK" w:eastAsia="方正黑体_GBK" w:hAnsi="Times New Roman" w:hint="eastAsia"/>
          <w:b/>
          <w:spacing w:val="10"/>
          <w:sz w:val="15"/>
          <w:szCs w:val="15"/>
        </w:rPr>
        <w:t>财业务不受销售机构存款保险机制或其他保障机制保障。</w:t>
      </w:r>
    </w:p>
    <w:p w14:paraId="549431C5" w14:textId="77777777" w:rsidR="00A50A8D" w:rsidRDefault="00E168B6">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Cs/>
          <w:spacing w:val="10"/>
          <w:sz w:val="15"/>
          <w:szCs w:val="15"/>
        </w:rPr>
        <w:t>赔偿</w:t>
      </w:r>
      <w:r>
        <w:rPr>
          <w:rFonts w:ascii="方正黑体_GBK" w:eastAsia="方正黑体_GBK" w:hAnsi="Times New Roman" w:hint="eastAsia"/>
          <w:spacing w:val="10"/>
          <w:sz w:val="15"/>
          <w:szCs w:val="15"/>
        </w:rPr>
        <w:t>及责任限制</w:t>
      </w:r>
    </w:p>
    <w:p w14:paraId="33F81A7D" w14:textId="77777777" w:rsidR="00A50A8D" w:rsidRDefault="00E168B6">
      <w:pPr>
        <w:spacing w:line="200" w:lineRule="exact"/>
        <w:ind w:firstLineChars="200" w:firstLine="340"/>
        <w:rPr>
          <w:rFonts w:ascii="方正黑体_GBK" w:eastAsia="方正黑体_GBK" w:hAnsi="Times New Roman"/>
          <w:spacing w:val="10"/>
          <w:sz w:val="15"/>
          <w:szCs w:val="15"/>
        </w:rPr>
      </w:pPr>
      <w:bookmarkStart w:id="16" w:name="_Hlk50135417"/>
      <w:r>
        <w:rPr>
          <w:rFonts w:ascii="方正黑体_GBK" w:eastAsia="方正黑体_GBK" w:hAnsi="Times New Roman" w:hint="eastAsia"/>
          <w:spacing w:val="10"/>
          <w:sz w:val="15"/>
          <w:szCs w:val="15"/>
        </w:rPr>
        <w:t>由于本协议一方当事人的过错，造成本协议不能履行或不能完全履行的，由有过错的一方承担违约责任；如双方同时负有过错，则应由双方各自按照过错程度承担责任。</w:t>
      </w:r>
      <w:bookmarkEnd w:id="16"/>
    </w:p>
    <w:p w14:paraId="3958D013" w14:textId="77777777" w:rsidR="00A50A8D" w:rsidRDefault="00E168B6">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双方承诺，如果任何一方在协议项下作出错误的陈述、保证或者违反任何陈述、保证或其他协议约定而导致另一方发生任何损失、责任、支出或者被提出主张、诉讼或要求，违约方应向另一方作出赔偿。本条所述的赔偿并不排除违约方依据相关法律或协议约定而应承担的任何其他责任。</w:t>
      </w:r>
      <w:r>
        <w:rPr>
          <w:rFonts w:ascii="方正黑体_GBK" w:eastAsia="方正黑体_GBK" w:hAnsi="Times New Roman" w:hint="eastAsia"/>
          <w:b/>
          <w:bCs/>
          <w:spacing w:val="10"/>
          <w:sz w:val="15"/>
          <w:szCs w:val="15"/>
        </w:rPr>
        <w:t>特别地，尽管乙方可能给予相反的指示，如果甲方因需遵守适用法律、法规或规则（包括但不限于各种支付体系的规则和规定）或遵守与其他银行、金融机构达成的业务交易协议而导致甲方延迟执行乙方指示或者未能执行乙方指示或使乙方产生任何责任、损失或支出，甲方无需负责</w:t>
      </w:r>
      <w:r>
        <w:rPr>
          <w:rFonts w:ascii="方正黑体_GBK" w:eastAsia="方正黑体_GBK" w:hAnsi="Times New Roman" w:hint="eastAsia"/>
          <w:spacing w:val="10"/>
          <w:sz w:val="15"/>
          <w:szCs w:val="15"/>
        </w:rPr>
        <w:t>。</w:t>
      </w:r>
    </w:p>
    <w:p w14:paraId="2B7F0FDC" w14:textId="77777777" w:rsidR="00A50A8D" w:rsidRDefault="00E168B6">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Cs/>
          <w:spacing w:val="10"/>
          <w:sz w:val="15"/>
          <w:szCs w:val="15"/>
        </w:rPr>
        <w:t>抵销</w:t>
      </w:r>
    </w:p>
    <w:p w14:paraId="1BFB5453" w14:textId="77777777" w:rsidR="00A50A8D" w:rsidRDefault="00E168B6">
      <w:pPr>
        <w:pStyle w:val="10"/>
        <w:numPr>
          <w:ilvl w:val="0"/>
          <w:numId w:val="15"/>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
          <w:spacing w:val="10"/>
          <w:sz w:val="15"/>
          <w:szCs w:val="15"/>
        </w:rPr>
        <w:t>除享有法律规定的或其他的抵销权利外，甲方有权（但无义务）将乙方欠付甲方的任何债务（不论是否已经到期、无论是否因协议而导致，也不论债务的结算货币、付款地或登记处）与甲方欠付乙方的任何债务（不论是否已经到期、无论是否因协议而导致，也不论债务的结算货币、付款地</w:t>
      </w:r>
      <w:r>
        <w:rPr>
          <w:rFonts w:ascii="方正黑体_GBK" w:eastAsia="方正黑体_GBK" w:hAnsi="Times New Roman" w:hint="eastAsia"/>
          <w:b/>
          <w:spacing w:val="10"/>
          <w:sz w:val="15"/>
          <w:szCs w:val="15"/>
        </w:rPr>
        <w:t>或登记处）进行抵销，而无须事先书面通知乙方或任何其他人员</w:t>
      </w:r>
      <w:r>
        <w:rPr>
          <w:rFonts w:ascii="方正黑体_GBK" w:eastAsia="方正黑体_GBK" w:hAnsi="Times New Roman" w:hint="eastAsia"/>
          <w:bCs/>
          <w:spacing w:val="10"/>
          <w:sz w:val="15"/>
          <w:szCs w:val="15"/>
        </w:rPr>
        <w:t>。</w:t>
      </w:r>
    </w:p>
    <w:p w14:paraId="1F2CCEF9" w14:textId="77777777" w:rsidR="00A50A8D" w:rsidRDefault="00E168B6">
      <w:pPr>
        <w:pStyle w:val="10"/>
        <w:numPr>
          <w:ilvl w:val="0"/>
          <w:numId w:val="15"/>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为了对不同货币进行抵销，甲方可在有关日期以甲方所选择适用的市场汇率将乙方的债务予以兑换。如果债务尚未确定，则甲方可估计该债务的数额后进行抵销，但甲方须在该债务得以确定时向乙方支付差额。</w:t>
      </w:r>
    </w:p>
    <w:p w14:paraId="5CE76A3B" w14:textId="77777777" w:rsidR="00A50A8D" w:rsidRDefault="00E168B6">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Cs/>
          <w:spacing w:val="10"/>
          <w:sz w:val="15"/>
          <w:szCs w:val="15"/>
        </w:rPr>
        <w:t>弃权</w:t>
      </w:r>
    </w:p>
    <w:p w14:paraId="0AA09F30" w14:textId="77777777" w:rsidR="00A50A8D" w:rsidRDefault="00E168B6">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如乙方违反协议的任何规定，甲方的任何作为或不作为、迟延或弃权，或甲方给予的其他放任或宽限，均不损害和影响甲方按协议可享有的权利、权力或救济的进一步行使或以其他方式行使该等权利、权力或救济。</w:t>
      </w:r>
    </w:p>
    <w:p w14:paraId="05E991D1" w14:textId="77777777" w:rsidR="00A50A8D" w:rsidRDefault="00E168B6">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可分割性</w:t>
      </w:r>
    </w:p>
    <w:p w14:paraId="0B7C7EB1" w14:textId="77777777" w:rsidR="00A50A8D" w:rsidRDefault="00E168B6">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协议的任何条款在任何方面的非法、无效或不可强制执行，不影响协</w:t>
      </w:r>
      <w:r>
        <w:rPr>
          <w:rFonts w:ascii="方正黑体_GBK" w:eastAsia="方正黑体_GBK" w:hAnsi="Times New Roman" w:hint="eastAsia"/>
          <w:spacing w:val="10"/>
          <w:sz w:val="15"/>
          <w:szCs w:val="15"/>
        </w:rPr>
        <w:t>议的其他条款的合法性、有效性或可强制执行。</w:t>
      </w:r>
    </w:p>
    <w:p w14:paraId="6ACD8B57" w14:textId="77777777" w:rsidR="00A50A8D" w:rsidRDefault="00E168B6">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税收条款</w:t>
      </w:r>
    </w:p>
    <w:p w14:paraId="05BDDFC8" w14:textId="77777777" w:rsidR="00A50A8D" w:rsidRDefault="00E168B6">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以对应期次的《理财产品说明书》约定的税务处理方式为准，如遇国家政策调整则相应执行最新政策。</w:t>
      </w:r>
    </w:p>
    <w:p w14:paraId="4B6D61E0" w14:textId="77777777" w:rsidR="00A50A8D" w:rsidRDefault="00E168B6">
      <w:p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9.</w:t>
      </w:r>
      <w:r>
        <w:rPr>
          <w:rFonts w:ascii="方正黑体_GBK" w:eastAsia="方正黑体_GBK" w:hAnsi="Times New Roman" w:hint="eastAsia"/>
          <w:b/>
          <w:bCs/>
          <w:spacing w:val="10"/>
          <w:sz w:val="15"/>
          <w:szCs w:val="15"/>
        </w:rPr>
        <w:t>争议处理</w:t>
      </w:r>
    </w:p>
    <w:p w14:paraId="6E092BE4" w14:textId="77777777" w:rsidR="00A50A8D" w:rsidRDefault="00E168B6">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本协议在履行过程中发生争议，可以通过协商解决；协商不成的，任何一方有权向甲方所在地有管辖权的人民法院提起诉讼。</w:t>
      </w:r>
    </w:p>
    <w:p w14:paraId="464C9B1F" w14:textId="77777777" w:rsidR="00A50A8D" w:rsidRDefault="00E168B6">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10.</w:t>
      </w:r>
      <w:r>
        <w:rPr>
          <w:rFonts w:ascii="方正黑体_GBK" w:eastAsia="方正黑体_GBK" w:hAnsi="Times New Roman" w:hint="eastAsia"/>
          <w:b/>
          <w:bCs/>
          <w:spacing w:val="10"/>
          <w:sz w:val="15"/>
          <w:szCs w:val="15"/>
        </w:rPr>
        <w:t>协议的生效和终止</w:t>
      </w:r>
    </w:p>
    <w:p w14:paraId="5ABFD26F" w14:textId="77777777" w:rsidR="00A50A8D" w:rsidRDefault="00E168B6">
      <w:pPr>
        <w:numPr>
          <w:ilvl w:val="0"/>
          <w:numId w:val="16"/>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书以纸质书面形式订立的情况下，乙方为个人投资者的，本协议自乙方签名、成功缴纳购买资金并经甲方系统确认购买份额后成立并生效；乙方为机构投资者的，本协议自乙方法定代表人或授权代理人签名或盖章并加盖公章或合同专用章、</w:t>
      </w:r>
      <w:r>
        <w:rPr>
          <w:rFonts w:ascii="方正黑体_GBK" w:eastAsia="方正黑体_GBK" w:hAnsi="Times New Roman" w:hint="eastAsia"/>
          <w:spacing w:val="10"/>
          <w:sz w:val="15"/>
          <w:szCs w:val="15"/>
        </w:rPr>
        <w:t>成功缴纳购买资金并经甲方系统确认购买份额后成立并生效。</w:t>
      </w:r>
    </w:p>
    <w:p w14:paraId="4FBB6A65" w14:textId="77777777" w:rsidR="00A50A8D" w:rsidRDefault="00E168B6">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书以数据电文形式订立的，乙方应在电子渠道仔细阅读本协议的所有条款，对本协议条款的含义及相应的法律后果应全部知晓并充分理解，同意接受本协议约束。本协议自乙方成功缴纳购买资金并经甲方系统确认购买份额后成立并生效。</w:t>
      </w:r>
      <w:r>
        <w:rPr>
          <w:rFonts w:ascii="方正黑体_GBK" w:eastAsia="方正黑体_GBK" w:hAnsi="Times New Roman" w:hint="eastAsia"/>
          <w:b/>
          <w:bCs/>
          <w:spacing w:val="10"/>
          <w:sz w:val="15"/>
          <w:szCs w:val="15"/>
        </w:rPr>
        <w:t>电子渠道所生成和保留记载的相关电子数据及交易记录以及销售机构、托管机构、甲方制作或保留的相关电子及纸质单据、凭证、记录等相关资料</w:t>
      </w: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构成有效证明甲乙双方之间权利义务关系的确定证据，乙方无条件认可电子数据的有效性和证据效力。</w:t>
      </w:r>
    </w:p>
    <w:p w14:paraId="153E9F15" w14:textId="77777777" w:rsidR="00A50A8D" w:rsidRDefault="00E168B6">
      <w:pPr>
        <w:numPr>
          <w:ilvl w:val="0"/>
          <w:numId w:val="1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乙方在办理理财产品的</w:t>
      </w:r>
      <w:r>
        <w:rPr>
          <w:rFonts w:ascii="方正黑体_GBK" w:eastAsia="方正黑体_GBK" w:hAnsi="Times New Roman" w:hint="eastAsia"/>
          <w:spacing w:val="10"/>
          <w:sz w:val="15"/>
          <w:szCs w:val="15"/>
        </w:rPr>
        <w:t>购买、赎回等交易后，需通过销售机构提供的渠道查询相关交易的确认情况，最终以甲方确认的产品购买金额、份额或赎回份额等作为《理财产品销售协议书》生效或终止的依据。</w:t>
      </w:r>
    </w:p>
    <w:p w14:paraId="0B424C33" w14:textId="77777777" w:rsidR="00A50A8D" w:rsidRDefault="00E168B6">
      <w:pPr>
        <w:numPr>
          <w:ilvl w:val="0"/>
          <w:numId w:val="1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如乙方购买理财产品后，又变更该笔认</w:t>
      </w:r>
      <w:r>
        <w:rPr>
          <w:rFonts w:ascii="方正黑体_GBK" w:eastAsia="方正黑体_GBK" w:hAnsi="Times New Roman" w:hint="eastAsia"/>
          <w:spacing w:val="10"/>
          <w:sz w:val="15"/>
          <w:szCs w:val="15"/>
        </w:rPr>
        <w:t>/</w:t>
      </w:r>
      <w:r>
        <w:rPr>
          <w:rFonts w:ascii="方正黑体_GBK" w:eastAsia="方正黑体_GBK" w:hAnsi="Times New Roman" w:hint="eastAsia"/>
          <w:spacing w:val="10"/>
          <w:sz w:val="15"/>
          <w:szCs w:val="15"/>
        </w:rPr>
        <w:t>申购的具体内容（包括但不限于交易变更、金额变更、授权指定账户变更、投资者信息变更等），则以双方最近一次交易达成的交易内容为准。</w:t>
      </w:r>
    </w:p>
    <w:p w14:paraId="679608F2" w14:textId="77777777" w:rsidR="00A50A8D" w:rsidRDefault="00E168B6">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11.</w:t>
      </w:r>
      <w:r>
        <w:rPr>
          <w:rFonts w:ascii="方正黑体_GBK" w:eastAsia="方正黑体_GBK" w:hAnsi="Times New Roman" w:hint="eastAsia"/>
          <w:b/>
          <w:bCs/>
          <w:spacing w:val="10"/>
          <w:sz w:val="15"/>
          <w:szCs w:val="15"/>
        </w:rPr>
        <w:t>乙方声明</w:t>
      </w:r>
    </w:p>
    <w:p w14:paraId="3C8F7105" w14:textId="77777777" w:rsidR="00A50A8D" w:rsidRDefault="00E168B6">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在签署本理财产品协议书以前，甲方或销售机构已根据本理财产品协议书及有关交易文件的条款就乙方提出的疑问向乙方进行了详细的说明和解释，乙方已认真阅读本理财产品协议条款及对应期次</w:t>
      </w:r>
      <w:r>
        <w:rPr>
          <w:rFonts w:ascii="方正黑体_GBK" w:eastAsia="方正黑体_GBK" w:hAnsi="Times New Roman" w:hint="eastAsia"/>
          <w:b/>
          <w:spacing w:val="10"/>
          <w:sz w:val="15"/>
          <w:szCs w:val="15"/>
        </w:rPr>
        <w:t>的《理财产品说明书》和《理财产品风险揭示书》</w:t>
      </w:r>
      <w:r>
        <w:rPr>
          <w:rFonts w:ascii="方正黑体_GBK" w:eastAsia="方正黑体_GBK" w:hAnsi="Times New Roman" w:hint="eastAsia"/>
          <w:b/>
          <w:bCs/>
          <w:spacing w:val="10"/>
          <w:sz w:val="15"/>
          <w:szCs w:val="15"/>
        </w:rPr>
        <w:t>《投资者权益须知》</w:t>
      </w:r>
      <w:r>
        <w:rPr>
          <w:rFonts w:ascii="方正黑体_GBK" w:eastAsia="方正黑体_GBK" w:hAnsi="Times New Roman" w:hint="eastAsia"/>
          <w:b/>
          <w:spacing w:val="10"/>
          <w:sz w:val="15"/>
          <w:szCs w:val="15"/>
        </w:rPr>
        <w:t>《理财产品投资协议书》，其愿意承担投资风险，并对协议双方的权利、义务、责任与风险有清楚和准确的认知且对有关条款不存在任何疑问或异议。乙方充分认识到投资本期理财产品可能面临的风险，并自愿承担相关风险，特此确认。</w:t>
      </w:r>
    </w:p>
    <w:p w14:paraId="534B7E07" w14:textId="77777777" w:rsidR="00A50A8D" w:rsidRDefault="00E168B6">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乙方授权甲方、销售机构于募集期或开放期或投资冷静期（私募产品适用）结束后从乙方授权指定账户扣划相应的认购或申购资金。对此甲方、销售机构无需另行征得乙方同意或给予通知，无需在划款时以电话等方式与乙方进行最后确认。对于风险较高或投资者单笔购买金额较大的理财产品，同样适用上述划款操作规则。</w:t>
      </w:r>
    </w:p>
    <w:p w14:paraId="75DEF3FE" w14:textId="77777777" w:rsidR="00A50A8D" w:rsidRDefault="00E168B6">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12.</w:t>
      </w:r>
      <w:r>
        <w:rPr>
          <w:rFonts w:ascii="方正黑体_GBK" w:eastAsia="方正黑体_GBK" w:hAnsi="Times New Roman" w:hint="eastAsia"/>
          <w:b/>
          <w:bCs/>
          <w:spacing w:val="10"/>
          <w:sz w:val="15"/>
          <w:szCs w:val="15"/>
        </w:rPr>
        <w:t>本协议为理财产品销售文件不可分割之组成部分，乙方签署本协议视为同时同意并确认了对应期次的《理财产品说明书》《理财产品风险揭示书》《投资者权益须知》《理财产品投资协议书》等理财产品销售文件的相关条款。</w:t>
      </w:r>
    </w:p>
    <w:p w14:paraId="512E8B52" w14:textId="77777777" w:rsidR="00A50A8D" w:rsidRDefault="00A50A8D">
      <w:pPr>
        <w:spacing w:line="200" w:lineRule="exact"/>
        <w:ind w:firstLineChars="200" w:firstLine="340"/>
        <w:rPr>
          <w:rFonts w:ascii="方正黑体_GBK" w:eastAsia="方正黑体_GBK" w:hAnsi="Times New Roman"/>
          <w:spacing w:val="10"/>
          <w:sz w:val="15"/>
          <w:szCs w:val="15"/>
        </w:rPr>
      </w:pPr>
    </w:p>
    <w:p w14:paraId="72D6137A" w14:textId="77777777" w:rsidR="00A50A8D" w:rsidRDefault="00A50A8D">
      <w:pPr>
        <w:spacing w:line="200" w:lineRule="exact"/>
        <w:ind w:firstLineChars="200" w:firstLine="340"/>
        <w:rPr>
          <w:rFonts w:ascii="方正黑体_GBK" w:eastAsia="方正黑体_GBK" w:hAnsi="Times New Roman"/>
          <w:spacing w:val="10"/>
          <w:sz w:val="15"/>
          <w:szCs w:val="15"/>
        </w:rPr>
      </w:pPr>
    </w:p>
    <w:tbl>
      <w:tblPr>
        <w:tblW w:w="0" w:type="auto"/>
        <w:tblLayout w:type="fixed"/>
        <w:tblLook w:val="04A0" w:firstRow="1" w:lastRow="0" w:firstColumn="1" w:lastColumn="0" w:noHBand="0" w:noVBand="1"/>
      </w:tblPr>
      <w:tblGrid>
        <w:gridCol w:w="5341"/>
        <w:gridCol w:w="5341"/>
      </w:tblGrid>
      <w:tr w:rsidR="00A50A8D" w14:paraId="28BEBCE2" w14:textId="77777777">
        <w:tc>
          <w:tcPr>
            <w:tcW w:w="5341" w:type="dxa"/>
          </w:tcPr>
          <w:p w14:paraId="202685A6" w14:textId="77777777" w:rsidR="00A50A8D" w:rsidRDefault="00E168B6">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个人投资者（如适用）：</w:t>
            </w:r>
          </w:p>
        </w:tc>
        <w:tc>
          <w:tcPr>
            <w:tcW w:w="5341" w:type="dxa"/>
          </w:tcPr>
          <w:p w14:paraId="08737034" w14:textId="77777777" w:rsidR="00A50A8D" w:rsidRDefault="00E168B6">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机构投资者（如适用）：</w:t>
            </w:r>
          </w:p>
        </w:tc>
      </w:tr>
      <w:tr w:rsidR="00A50A8D" w14:paraId="11BAC085" w14:textId="77777777">
        <w:tc>
          <w:tcPr>
            <w:tcW w:w="5341" w:type="dxa"/>
          </w:tcPr>
          <w:p w14:paraId="005D0FFC" w14:textId="77777777" w:rsidR="00A50A8D" w:rsidRDefault="00A50A8D">
            <w:pPr>
              <w:spacing w:line="200" w:lineRule="exact"/>
              <w:ind w:firstLineChars="200" w:firstLine="340"/>
              <w:rPr>
                <w:rFonts w:ascii="方正黑体_GBK" w:eastAsia="方正黑体_GBK" w:hAnsi="Times New Roman"/>
                <w:spacing w:val="10"/>
                <w:sz w:val="15"/>
                <w:szCs w:val="15"/>
              </w:rPr>
            </w:pPr>
          </w:p>
          <w:p w14:paraId="3CB850D6" w14:textId="77777777" w:rsidR="00A50A8D" w:rsidRDefault="00E168B6">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投资者：（签名）</w:t>
            </w:r>
          </w:p>
          <w:p w14:paraId="5C001A9A" w14:textId="77777777" w:rsidR="00A50A8D" w:rsidRDefault="00A50A8D">
            <w:pPr>
              <w:spacing w:line="200" w:lineRule="exact"/>
              <w:ind w:firstLineChars="400" w:firstLine="680"/>
              <w:rPr>
                <w:rFonts w:ascii="方正黑体_GBK" w:eastAsia="方正黑体_GBK" w:hAnsi="Times New Roman"/>
                <w:spacing w:val="10"/>
                <w:sz w:val="15"/>
                <w:szCs w:val="15"/>
              </w:rPr>
            </w:pPr>
          </w:p>
          <w:p w14:paraId="65CFB337" w14:textId="77777777" w:rsidR="00A50A8D" w:rsidRDefault="00A50A8D">
            <w:pPr>
              <w:spacing w:line="200" w:lineRule="exact"/>
              <w:ind w:firstLineChars="500" w:firstLine="850"/>
              <w:rPr>
                <w:rFonts w:ascii="方正黑体_GBK" w:eastAsia="方正黑体_GBK" w:hAnsi="Times New Roman"/>
                <w:spacing w:val="10"/>
                <w:sz w:val="15"/>
                <w:szCs w:val="15"/>
              </w:rPr>
            </w:pPr>
          </w:p>
          <w:p w14:paraId="2E1A87D7" w14:textId="77777777" w:rsidR="00A50A8D" w:rsidRDefault="00E168B6">
            <w:pPr>
              <w:spacing w:line="200" w:lineRule="exact"/>
              <w:ind w:firstLineChars="500" w:firstLine="85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年</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月</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日</w:t>
            </w:r>
          </w:p>
        </w:tc>
        <w:tc>
          <w:tcPr>
            <w:tcW w:w="5341" w:type="dxa"/>
          </w:tcPr>
          <w:p w14:paraId="1B9F8420" w14:textId="77777777" w:rsidR="00A50A8D" w:rsidRDefault="00A50A8D">
            <w:pPr>
              <w:spacing w:line="200" w:lineRule="exact"/>
              <w:ind w:firstLineChars="200" w:firstLine="340"/>
              <w:rPr>
                <w:rFonts w:ascii="方正黑体_GBK" w:eastAsia="方正黑体_GBK" w:hAnsi="Times New Roman"/>
                <w:spacing w:val="10"/>
                <w:sz w:val="15"/>
                <w:szCs w:val="15"/>
              </w:rPr>
            </w:pPr>
          </w:p>
          <w:p w14:paraId="5B40D42D" w14:textId="77777777" w:rsidR="00A50A8D" w:rsidRDefault="00E168B6">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投资者：（公章或合同专用章）</w:t>
            </w:r>
          </w:p>
          <w:p w14:paraId="20B7D969" w14:textId="77777777" w:rsidR="00A50A8D" w:rsidRDefault="00A50A8D">
            <w:pPr>
              <w:spacing w:line="200" w:lineRule="exact"/>
              <w:rPr>
                <w:rFonts w:ascii="方正黑体_GBK" w:eastAsia="方正黑体_GBK" w:hAnsi="Times New Roman"/>
                <w:spacing w:val="10"/>
                <w:sz w:val="15"/>
                <w:szCs w:val="15"/>
              </w:rPr>
            </w:pPr>
          </w:p>
          <w:p w14:paraId="01DB583E" w14:textId="77777777" w:rsidR="00A50A8D" w:rsidRDefault="00A50A8D">
            <w:pPr>
              <w:spacing w:line="200" w:lineRule="exact"/>
              <w:rPr>
                <w:rFonts w:ascii="方正黑体_GBK" w:eastAsia="方正黑体_GBK" w:hAnsi="Times New Roman"/>
                <w:spacing w:val="10"/>
                <w:sz w:val="15"/>
                <w:szCs w:val="15"/>
              </w:rPr>
            </w:pPr>
          </w:p>
          <w:p w14:paraId="11464764" w14:textId="77777777" w:rsidR="00A50A8D" w:rsidRDefault="00E168B6">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法定代表人或授权代理人：（签名或盖章）</w:t>
            </w:r>
          </w:p>
          <w:p w14:paraId="6A428ADF" w14:textId="77777777" w:rsidR="00A50A8D" w:rsidRDefault="00A50A8D">
            <w:pPr>
              <w:spacing w:line="200" w:lineRule="exact"/>
              <w:ind w:firstLineChars="400" w:firstLine="680"/>
              <w:rPr>
                <w:rFonts w:ascii="方正黑体_GBK" w:eastAsia="方正黑体_GBK" w:hAnsi="Times New Roman"/>
                <w:spacing w:val="10"/>
                <w:sz w:val="15"/>
                <w:szCs w:val="15"/>
              </w:rPr>
            </w:pPr>
          </w:p>
          <w:p w14:paraId="5AA285EC" w14:textId="77777777" w:rsidR="00A50A8D" w:rsidRDefault="00E168B6">
            <w:pPr>
              <w:spacing w:line="200" w:lineRule="exact"/>
              <w:ind w:firstLineChars="400" w:firstLine="68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年</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月</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日</w:t>
            </w:r>
          </w:p>
        </w:tc>
      </w:tr>
    </w:tbl>
    <w:p w14:paraId="73A308E7" w14:textId="77777777" w:rsidR="00A50A8D" w:rsidRDefault="00A50A8D">
      <w:pPr>
        <w:spacing w:line="200" w:lineRule="exact"/>
        <w:rPr>
          <w:rFonts w:ascii="方正黑体_GBK" w:eastAsia="方正黑体_GBK" w:hAnsi="Times New Roman"/>
          <w:spacing w:val="10"/>
          <w:sz w:val="15"/>
          <w:szCs w:val="15"/>
        </w:rPr>
        <w:sectPr w:rsidR="00A50A8D">
          <w:pgSz w:w="11906" w:h="16838"/>
          <w:pgMar w:top="720" w:right="720" w:bottom="720" w:left="720" w:header="510" w:footer="624" w:gutter="0"/>
          <w:cols w:space="720"/>
          <w:docGrid w:type="lines" w:linePitch="312"/>
        </w:sectPr>
      </w:pPr>
    </w:p>
    <w:p w14:paraId="62DCE29A" w14:textId="77777777" w:rsidR="00A50A8D" w:rsidRDefault="00E168B6">
      <w:pPr>
        <w:jc w:val="center"/>
        <w:rPr>
          <w:rFonts w:ascii="黑体" w:eastAsia="黑体" w:hAnsi="宋体"/>
          <w:b/>
          <w:bCs/>
          <w:sz w:val="24"/>
          <w:szCs w:val="15"/>
        </w:rPr>
      </w:pPr>
      <w:r>
        <w:rPr>
          <w:rFonts w:ascii="黑体" w:eastAsia="黑体" w:hAnsi="宋体" w:hint="eastAsia"/>
          <w:b/>
          <w:bCs/>
          <w:sz w:val="24"/>
          <w:szCs w:val="15"/>
        </w:rPr>
        <w:t>投资者权益须知</w:t>
      </w:r>
    </w:p>
    <w:p w14:paraId="02144989" w14:textId="77777777" w:rsidR="00A50A8D" w:rsidRDefault="00A50A8D">
      <w:pPr>
        <w:ind w:firstLineChars="200" w:firstLine="321"/>
        <w:jc w:val="center"/>
        <w:rPr>
          <w:rFonts w:ascii="宋体" w:hAnsi="宋体"/>
          <w:b/>
          <w:i/>
          <w:sz w:val="16"/>
          <w:szCs w:val="15"/>
          <w:u w:val="single"/>
        </w:rPr>
      </w:pPr>
    </w:p>
    <w:p w14:paraId="39528DC6" w14:textId="77777777" w:rsidR="00A50A8D" w:rsidRDefault="00E168B6">
      <w:pPr>
        <w:ind w:firstLineChars="200" w:firstLine="321"/>
        <w:jc w:val="center"/>
        <w:rPr>
          <w:rFonts w:ascii="宋体" w:hAnsi="宋体"/>
          <w:b/>
          <w:i/>
          <w:sz w:val="16"/>
          <w:szCs w:val="15"/>
          <w:u w:val="single"/>
        </w:rPr>
      </w:pPr>
      <w:r>
        <w:rPr>
          <w:rFonts w:ascii="宋体" w:hAnsi="宋体" w:hint="eastAsia"/>
          <w:b/>
          <w:i/>
          <w:sz w:val="16"/>
          <w:szCs w:val="15"/>
          <w:u w:val="single"/>
        </w:rPr>
        <w:t>“理财非存款、产品有风险、理财产品过往业绩不代表其未来表现，不等于理财产品实际收益，投资须谨慎！”</w:t>
      </w:r>
      <w:r>
        <w:rPr>
          <w:rFonts w:ascii="宋体" w:hAnsi="宋体" w:hint="eastAsia"/>
          <w:b/>
          <w:i/>
          <w:sz w:val="16"/>
          <w:szCs w:val="15"/>
          <w:u w:val="single"/>
        </w:rPr>
        <w:t xml:space="preserve"> </w:t>
      </w:r>
    </w:p>
    <w:p w14:paraId="5FC39FDF" w14:textId="77777777" w:rsidR="00A50A8D" w:rsidRDefault="00E168B6">
      <w:pPr>
        <w:pStyle w:val="a5"/>
        <w:spacing w:before="0" w:after="0" w:line="240" w:lineRule="auto"/>
        <w:ind w:firstLine="0"/>
        <w:rPr>
          <w:color w:val="auto"/>
          <w:spacing w:val="10"/>
          <w:kern w:val="2"/>
          <w:sz w:val="15"/>
          <w:szCs w:val="15"/>
        </w:rPr>
      </w:pPr>
      <w:r>
        <w:rPr>
          <w:rFonts w:hint="eastAsia"/>
          <w:color w:val="auto"/>
          <w:spacing w:val="10"/>
          <w:kern w:val="2"/>
          <w:sz w:val="15"/>
          <w:szCs w:val="15"/>
        </w:rPr>
        <w:t>尊敬的投资者：</w:t>
      </w:r>
    </w:p>
    <w:p w14:paraId="73F24B54" w14:textId="77777777" w:rsidR="00A50A8D" w:rsidRDefault="00E168B6">
      <w:pPr>
        <w:pStyle w:val="a5"/>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理财产品在投资并获取收益的同时也存在投资风险。为了方便您办理南银理财有限责任公司（以下简称“南银理财”或“管理人”）理财业务，保护投资者（以下简称“投资者”）的合法权益，请在投资本理财产品前认真阅读以下内容：</w:t>
      </w:r>
    </w:p>
    <w:p w14:paraId="13112D63" w14:textId="77777777" w:rsidR="00A50A8D" w:rsidRDefault="00E168B6">
      <w:pPr>
        <w:pStyle w:val="a5"/>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本理财产品指由南银理财作为管理人发行，并由</w:t>
      </w:r>
      <w:permStart w:id="48959521" w:edGrp="everyone"/>
      <w:r>
        <w:rPr>
          <w:rFonts w:hint="eastAsia"/>
          <w:spacing w:val="10"/>
          <w:sz w:val="15"/>
          <w:szCs w:val="15"/>
        </w:rPr>
        <w:t>张家港</w:t>
      </w:r>
      <w:r>
        <w:rPr>
          <w:rFonts w:hint="eastAsia"/>
          <w:spacing w:val="10"/>
          <w:sz w:val="15"/>
          <w:szCs w:val="15"/>
        </w:rPr>
        <w:t>农村商业银行股份有限公司</w:t>
      </w:r>
      <w:permEnd w:id="48959521"/>
      <w:r>
        <w:rPr>
          <w:rFonts w:hint="eastAsia"/>
          <w:color w:val="auto"/>
          <w:spacing w:val="10"/>
          <w:kern w:val="2"/>
          <w:sz w:val="15"/>
          <w:szCs w:val="15"/>
        </w:rPr>
        <w:t>（以下简称“销售机构”）销售的理财产品。</w:t>
      </w:r>
    </w:p>
    <w:p w14:paraId="3E16C885" w14:textId="77777777" w:rsidR="00A50A8D" w:rsidRDefault="00E168B6">
      <w:pPr>
        <w:pStyle w:val="a5"/>
        <w:spacing w:line="240" w:lineRule="auto"/>
        <w:ind w:left="341" w:firstLine="0"/>
        <w:jc w:val="both"/>
        <w:rPr>
          <w:b/>
          <w:color w:val="auto"/>
          <w:spacing w:val="10"/>
          <w:kern w:val="2"/>
          <w:sz w:val="15"/>
          <w:szCs w:val="15"/>
        </w:rPr>
      </w:pPr>
      <w:r>
        <w:rPr>
          <w:rFonts w:hint="eastAsia"/>
          <w:b/>
          <w:color w:val="auto"/>
          <w:spacing w:val="10"/>
          <w:kern w:val="2"/>
          <w:sz w:val="15"/>
          <w:szCs w:val="15"/>
        </w:rPr>
        <w:t>第一条</w:t>
      </w:r>
      <w:r>
        <w:rPr>
          <w:rFonts w:hint="eastAsia"/>
          <w:b/>
          <w:color w:val="auto"/>
          <w:spacing w:val="10"/>
          <w:kern w:val="2"/>
          <w:sz w:val="15"/>
          <w:szCs w:val="15"/>
        </w:rPr>
        <w:t xml:space="preserve"> </w:t>
      </w:r>
      <w:r>
        <w:rPr>
          <w:rFonts w:hint="eastAsia"/>
          <w:b/>
          <w:color w:val="auto"/>
          <w:spacing w:val="10"/>
          <w:kern w:val="2"/>
          <w:sz w:val="15"/>
          <w:szCs w:val="15"/>
        </w:rPr>
        <w:t>理财产品购买流程说明</w:t>
      </w:r>
    </w:p>
    <w:p w14:paraId="32AC01F8" w14:textId="77777777" w:rsidR="00A50A8D" w:rsidRDefault="00E168B6">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（一）首次在销售机构购买理财产品的投资者应按销售机构的要求明确授权指定账户，用于本理财产品的理财资金划转及理财收益、到期清算分配资金的分配，提供并确认正确的联</w:t>
      </w:r>
      <w:r>
        <w:rPr>
          <w:rFonts w:hint="eastAsia"/>
          <w:bCs/>
          <w:color w:val="auto"/>
          <w:spacing w:val="10"/>
          <w:kern w:val="2"/>
          <w:sz w:val="15"/>
          <w:szCs w:val="15"/>
        </w:rPr>
        <w:t>系方式。</w:t>
      </w:r>
    </w:p>
    <w:p w14:paraId="54AA199E" w14:textId="77777777" w:rsidR="00A50A8D" w:rsidRDefault="00E168B6">
      <w:pPr>
        <w:pStyle w:val="a5"/>
        <w:spacing w:before="0" w:after="0" w:line="240" w:lineRule="auto"/>
        <w:ind w:firstLineChars="199" w:firstLine="338"/>
        <w:jc w:val="both"/>
        <w:rPr>
          <w:bCs/>
          <w:color w:val="auto"/>
          <w:spacing w:val="10"/>
          <w:kern w:val="2"/>
          <w:sz w:val="15"/>
          <w:szCs w:val="15"/>
        </w:rPr>
      </w:pPr>
      <w:r>
        <w:rPr>
          <w:rFonts w:hint="eastAsia"/>
          <w:bCs/>
          <w:color w:val="auto"/>
          <w:spacing w:val="10"/>
          <w:kern w:val="2"/>
          <w:sz w:val="15"/>
          <w:szCs w:val="15"/>
        </w:rPr>
        <w:t>（二）在销售机构购买理财产品的个人投资者应按销售机构的要求进行投资者风险承受能力评估，并确认风险承受能力等级不低于本理财产品风险等级。</w:t>
      </w:r>
    </w:p>
    <w:p w14:paraId="737F2D0B" w14:textId="77777777" w:rsidR="00A50A8D" w:rsidRDefault="00E168B6">
      <w:pPr>
        <w:pStyle w:val="a5"/>
        <w:spacing w:before="0" w:after="0" w:line="240" w:lineRule="auto"/>
        <w:ind w:firstLineChars="199" w:firstLine="338"/>
        <w:jc w:val="both"/>
        <w:rPr>
          <w:bCs/>
          <w:color w:val="auto"/>
          <w:spacing w:val="10"/>
          <w:kern w:val="2"/>
          <w:sz w:val="15"/>
          <w:szCs w:val="15"/>
        </w:rPr>
      </w:pPr>
      <w:r>
        <w:rPr>
          <w:rFonts w:hint="eastAsia"/>
          <w:bCs/>
          <w:color w:val="auto"/>
          <w:spacing w:val="10"/>
          <w:kern w:val="2"/>
          <w:sz w:val="15"/>
          <w:szCs w:val="15"/>
        </w:rPr>
        <w:t>（三）投资者应仔细阅读拟购买理财产品销售文件（以下简称“销售文件”），包括但不限于理财产品对应的：《理财产品销售协议书》《理财产品说明书》《理财产品风险揭示书》《投资者权益须知》</w:t>
      </w:r>
      <w:r>
        <w:rPr>
          <w:bCs/>
          <w:spacing w:val="10"/>
          <w:sz w:val="15"/>
          <w:szCs w:val="15"/>
        </w:rPr>
        <w:t>《</w:t>
      </w:r>
      <w:r>
        <w:rPr>
          <w:bCs/>
          <w:spacing w:val="10"/>
          <w:kern w:val="2"/>
          <w:sz w:val="15"/>
          <w:szCs w:val="15"/>
        </w:rPr>
        <w:t>理财产品投资协议书》</w:t>
      </w:r>
      <w:r>
        <w:rPr>
          <w:rFonts w:hint="eastAsia"/>
          <w:bCs/>
          <w:color w:val="auto"/>
          <w:spacing w:val="10"/>
          <w:kern w:val="2"/>
          <w:sz w:val="15"/>
          <w:szCs w:val="15"/>
        </w:rPr>
        <w:t>等，理解并确认理财产品条款及产品风险。</w:t>
      </w:r>
    </w:p>
    <w:p w14:paraId="285D3791" w14:textId="77777777" w:rsidR="00A50A8D" w:rsidRDefault="00E168B6">
      <w:pPr>
        <w:pStyle w:val="a5"/>
        <w:spacing w:before="0" w:after="0" w:line="240" w:lineRule="auto"/>
        <w:ind w:firstLine="480"/>
        <w:jc w:val="both"/>
        <w:rPr>
          <w:bCs/>
          <w:color w:val="auto"/>
          <w:spacing w:val="10"/>
          <w:kern w:val="2"/>
          <w:sz w:val="15"/>
          <w:szCs w:val="15"/>
        </w:rPr>
      </w:pPr>
      <w:r>
        <w:rPr>
          <w:rFonts w:hint="eastAsia"/>
          <w:bCs/>
          <w:color w:val="auto"/>
          <w:spacing w:val="10"/>
          <w:kern w:val="2"/>
          <w:sz w:val="15"/>
          <w:szCs w:val="15"/>
        </w:rPr>
        <w:t>投资者在销售机构提供的渠道自主决定是否购买理财产品，确定购买金额，完成交易申请，并在确认份额后进行查询。</w:t>
      </w:r>
    </w:p>
    <w:p w14:paraId="30314A44" w14:textId="77777777" w:rsidR="00A50A8D" w:rsidRDefault="00E168B6">
      <w:pPr>
        <w:pStyle w:val="a5"/>
        <w:spacing w:before="0" w:after="0" w:line="240" w:lineRule="auto"/>
        <w:ind w:firstLineChars="204" w:firstLine="347"/>
        <w:jc w:val="both"/>
        <w:rPr>
          <w:bCs/>
          <w:color w:val="auto"/>
          <w:spacing w:val="10"/>
          <w:kern w:val="2"/>
          <w:sz w:val="15"/>
          <w:szCs w:val="15"/>
        </w:rPr>
      </w:pPr>
      <w:r>
        <w:rPr>
          <w:bCs/>
          <w:color w:val="auto"/>
          <w:spacing w:val="10"/>
          <w:kern w:val="2"/>
          <w:sz w:val="15"/>
          <w:szCs w:val="15"/>
        </w:rPr>
        <w:t>1</w:t>
      </w:r>
      <w:r>
        <w:rPr>
          <w:rFonts w:hint="eastAsia"/>
          <w:bCs/>
          <w:color w:val="auto"/>
          <w:spacing w:val="10"/>
          <w:kern w:val="2"/>
          <w:sz w:val="15"/>
          <w:szCs w:val="15"/>
        </w:rPr>
        <w:t>、理财签约</w:t>
      </w:r>
    </w:p>
    <w:p w14:paraId="0902F99A" w14:textId="77777777" w:rsidR="00A50A8D" w:rsidRDefault="00E168B6">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首次购买理财的个人投资者须进行风险承受能力评估（详见第二条）和理财签约。</w:t>
      </w:r>
    </w:p>
    <w:p w14:paraId="6F2F3DBC" w14:textId="77777777" w:rsidR="00A50A8D" w:rsidRDefault="00E168B6">
      <w:pPr>
        <w:pStyle w:val="a5"/>
        <w:spacing w:before="0" w:after="0" w:line="240" w:lineRule="auto"/>
        <w:ind w:firstLineChars="200" w:firstLine="340"/>
        <w:jc w:val="both"/>
        <w:rPr>
          <w:bCs/>
          <w:color w:val="auto"/>
          <w:spacing w:val="10"/>
          <w:kern w:val="2"/>
          <w:sz w:val="15"/>
          <w:szCs w:val="15"/>
        </w:rPr>
      </w:pPr>
      <w:r>
        <w:rPr>
          <w:bCs/>
          <w:color w:val="auto"/>
          <w:spacing w:val="10"/>
          <w:kern w:val="2"/>
          <w:sz w:val="15"/>
          <w:szCs w:val="15"/>
        </w:rPr>
        <w:t>2</w:t>
      </w:r>
      <w:r>
        <w:rPr>
          <w:rFonts w:hint="eastAsia"/>
          <w:bCs/>
          <w:color w:val="auto"/>
          <w:spacing w:val="10"/>
          <w:kern w:val="2"/>
          <w:sz w:val="15"/>
          <w:szCs w:val="15"/>
        </w:rPr>
        <w:t>、理财产品认</w:t>
      </w:r>
      <w:r>
        <w:rPr>
          <w:bCs/>
          <w:color w:val="auto"/>
          <w:spacing w:val="10"/>
          <w:kern w:val="2"/>
          <w:sz w:val="15"/>
          <w:szCs w:val="15"/>
        </w:rPr>
        <w:t>/</w:t>
      </w:r>
      <w:r>
        <w:rPr>
          <w:rFonts w:hint="eastAsia"/>
          <w:bCs/>
          <w:color w:val="auto"/>
          <w:spacing w:val="10"/>
          <w:kern w:val="2"/>
          <w:sz w:val="15"/>
          <w:szCs w:val="15"/>
        </w:rPr>
        <w:t>申购申请</w:t>
      </w:r>
    </w:p>
    <w:p w14:paraId="2A725ADC" w14:textId="77777777" w:rsidR="00A50A8D" w:rsidRDefault="00E168B6">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个人投资者自主决定是否购买理财产品。在理财产品募集期</w:t>
      </w:r>
      <w:r>
        <w:rPr>
          <w:bCs/>
          <w:color w:val="auto"/>
          <w:spacing w:val="10"/>
          <w:kern w:val="2"/>
          <w:sz w:val="15"/>
          <w:szCs w:val="15"/>
        </w:rPr>
        <w:t>/</w:t>
      </w:r>
      <w:r>
        <w:rPr>
          <w:rFonts w:hint="eastAsia"/>
          <w:bCs/>
          <w:color w:val="auto"/>
          <w:spacing w:val="10"/>
          <w:kern w:val="2"/>
          <w:sz w:val="15"/>
          <w:szCs w:val="15"/>
        </w:rPr>
        <w:t>开放期销售时段内，个人投资者需通过相关电子渠道仔细阅读理财产品销售文件，根据认购</w:t>
      </w:r>
      <w:r>
        <w:rPr>
          <w:bCs/>
          <w:color w:val="auto"/>
          <w:spacing w:val="10"/>
          <w:kern w:val="2"/>
          <w:sz w:val="15"/>
          <w:szCs w:val="15"/>
        </w:rPr>
        <w:t>/</w:t>
      </w:r>
      <w:r>
        <w:rPr>
          <w:rFonts w:hint="eastAsia"/>
          <w:bCs/>
          <w:color w:val="auto"/>
          <w:spacing w:val="10"/>
          <w:kern w:val="2"/>
          <w:sz w:val="15"/>
          <w:szCs w:val="15"/>
        </w:rPr>
        <w:t>申购流程逐项点击确认进行购买，认</w:t>
      </w:r>
      <w:r>
        <w:rPr>
          <w:bCs/>
          <w:color w:val="auto"/>
          <w:spacing w:val="10"/>
          <w:kern w:val="2"/>
          <w:sz w:val="15"/>
          <w:szCs w:val="15"/>
        </w:rPr>
        <w:t>/</w:t>
      </w:r>
      <w:r>
        <w:rPr>
          <w:rFonts w:hint="eastAsia"/>
          <w:bCs/>
          <w:color w:val="auto"/>
          <w:spacing w:val="10"/>
          <w:kern w:val="2"/>
          <w:sz w:val="15"/>
          <w:szCs w:val="15"/>
        </w:rPr>
        <w:t>申购结果以在该等电子渠道的查询结果为准。</w:t>
      </w:r>
    </w:p>
    <w:p w14:paraId="0FB205D0" w14:textId="77777777" w:rsidR="00A50A8D" w:rsidRDefault="00E168B6">
      <w:pPr>
        <w:pStyle w:val="a5"/>
        <w:spacing w:before="0" w:after="0" w:line="240" w:lineRule="auto"/>
        <w:ind w:firstLineChars="200" w:firstLine="340"/>
        <w:jc w:val="both"/>
        <w:rPr>
          <w:bCs/>
          <w:color w:val="auto"/>
          <w:spacing w:val="10"/>
          <w:kern w:val="2"/>
          <w:sz w:val="15"/>
          <w:szCs w:val="15"/>
        </w:rPr>
      </w:pPr>
      <w:r>
        <w:rPr>
          <w:bCs/>
          <w:color w:val="auto"/>
          <w:spacing w:val="10"/>
          <w:kern w:val="2"/>
          <w:sz w:val="15"/>
          <w:szCs w:val="15"/>
        </w:rPr>
        <w:t>3</w:t>
      </w:r>
      <w:r>
        <w:rPr>
          <w:rFonts w:hint="eastAsia"/>
          <w:bCs/>
          <w:color w:val="auto"/>
          <w:spacing w:val="10"/>
          <w:kern w:val="2"/>
          <w:sz w:val="15"/>
          <w:szCs w:val="15"/>
        </w:rPr>
        <w:t>、理财产品认</w:t>
      </w:r>
      <w:r>
        <w:rPr>
          <w:bCs/>
          <w:color w:val="auto"/>
          <w:spacing w:val="10"/>
          <w:kern w:val="2"/>
          <w:sz w:val="15"/>
          <w:szCs w:val="15"/>
        </w:rPr>
        <w:t>/</w:t>
      </w:r>
      <w:r>
        <w:rPr>
          <w:rFonts w:hint="eastAsia"/>
          <w:bCs/>
          <w:color w:val="auto"/>
          <w:spacing w:val="10"/>
          <w:kern w:val="2"/>
          <w:sz w:val="15"/>
          <w:szCs w:val="15"/>
        </w:rPr>
        <w:t>申购申请撤销。个人投资者在理财产品认购期</w:t>
      </w:r>
      <w:r>
        <w:rPr>
          <w:bCs/>
          <w:color w:val="auto"/>
          <w:spacing w:val="10"/>
          <w:kern w:val="2"/>
          <w:sz w:val="15"/>
          <w:szCs w:val="15"/>
        </w:rPr>
        <w:t>/</w:t>
      </w:r>
      <w:r>
        <w:rPr>
          <w:rFonts w:hint="eastAsia"/>
          <w:bCs/>
          <w:color w:val="auto"/>
          <w:spacing w:val="10"/>
          <w:kern w:val="2"/>
          <w:sz w:val="15"/>
          <w:szCs w:val="15"/>
        </w:rPr>
        <w:t>募集期</w:t>
      </w:r>
      <w:r>
        <w:rPr>
          <w:bCs/>
          <w:color w:val="auto"/>
          <w:spacing w:val="10"/>
          <w:kern w:val="2"/>
          <w:sz w:val="15"/>
          <w:szCs w:val="15"/>
        </w:rPr>
        <w:t>/</w:t>
      </w:r>
      <w:r>
        <w:rPr>
          <w:rFonts w:hint="eastAsia"/>
          <w:bCs/>
          <w:color w:val="auto"/>
          <w:spacing w:val="10"/>
          <w:kern w:val="2"/>
          <w:sz w:val="15"/>
          <w:szCs w:val="15"/>
        </w:rPr>
        <w:t>开放期</w:t>
      </w:r>
      <w:r>
        <w:rPr>
          <w:bCs/>
          <w:color w:val="auto"/>
          <w:spacing w:val="10"/>
          <w:kern w:val="2"/>
          <w:sz w:val="15"/>
          <w:szCs w:val="15"/>
        </w:rPr>
        <w:t>/</w:t>
      </w:r>
      <w:r>
        <w:rPr>
          <w:rFonts w:hint="eastAsia"/>
          <w:bCs/>
          <w:color w:val="auto"/>
          <w:spacing w:val="10"/>
          <w:kern w:val="2"/>
          <w:sz w:val="15"/>
          <w:szCs w:val="15"/>
        </w:rPr>
        <w:t>投资冷静期（私募产品适用）内，可以撤销理财产品相应的认</w:t>
      </w:r>
      <w:r>
        <w:rPr>
          <w:bCs/>
          <w:color w:val="auto"/>
          <w:spacing w:val="10"/>
          <w:kern w:val="2"/>
          <w:sz w:val="15"/>
          <w:szCs w:val="15"/>
        </w:rPr>
        <w:t>/</w:t>
      </w:r>
      <w:r>
        <w:rPr>
          <w:rFonts w:hint="eastAsia"/>
          <w:bCs/>
          <w:color w:val="auto"/>
          <w:spacing w:val="10"/>
          <w:kern w:val="2"/>
          <w:sz w:val="15"/>
          <w:szCs w:val="15"/>
        </w:rPr>
        <w:t>申购申请。</w:t>
      </w:r>
    </w:p>
    <w:p w14:paraId="20EC89B3" w14:textId="77777777" w:rsidR="00A50A8D" w:rsidRDefault="00E168B6">
      <w:pPr>
        <w:pStyle w:val="a5"/>
        <w:spacing w:before="0" w:after="0" w:line="240" w:lineRule="auto"/>
        <w:ind w:firstLineChars="200" w:firstLine="340"/>
        <w:jc w:val="both"/>
        <w:rPr>
          <w:bCs/>
          <w:color w:val="auto"/>
          <w:spacing w:val="10"/>
          <w:kern w:val="2"/>
          <w:sz w:val="15"/>
          <w:szCs w:val="15"/>
        </w:rPr>
      </w:pPr>
      <w:r>
        <w:rPr>
          <w:bCs/>
          <w:color w:val="auto"/>
          <w:spacing w:val="10"/>
          <w:kern w:val="2"/>
          <w:sz w:val="15"/>
          <w:szCs w:val="15"/>
        </w:rPr>
        <w:t>4</w:t>
      </w:r>
      <w:r>
        <w:rPr>
          <w:rFonts w:hint="eastAsia"/>
          <w:bCs/>
          <w:color w:val="auto"/>
          <w:spacing w:val="10"/>
          <w:kern w:val="2"/>
          <w:sz w:val="15"/>
          <w:szCs w:val="15"/>
        </w:rPr>
        <w:t>、理财产品提前终止、赎回</w:t>
      </w:r>
      <w:r>
        <w:rPr>
          <w:bCs/>
          <w:color w:val="auto"/>
          <w:spacing w:val="10"/>
          <w:kern w:val="2"/>
          <w:sz w:val="15"/>
          <w:szCs w:val="15"/>
        </w:rPr>
        <w:t>/</w:t>
      </w:r>
      <w:r>
        <w:rPr>
          <w:rFonts w:hint="eastAsia"/>
          <w:bCs/>
          <w:color w:val="auto"/>
          <w:spacing w:val="10"/>
          <w:kern w:val="2"/>
          <w:sz w:val="15"/>
          <w:szCs w:val="15"/>
        </w:rPr>
        <w:t>到期兑付和税收。</w:t>
      </w:r>
    </w:p>
    <w:p w14:paraId="67B6D2E6" w14:textId="77777777" w:rsidR="00A50A8D" w:rsidRDefault="00E168B6">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提前终止—当</w:t>
      </w:r>
      <w:r>
        <w:rPr>
          <w:rFonts w:hint="eastAsia"/>
          <w:bCs/>
          <w:color w:val="auto"/>
          <w:spacing w:val="10"/>
          <w:kern w:val="2"/>
          <w:sz w:val="15"/>
          <w:szCs w:val="15"/>
        </w:rPr>
        <w:t>理财产品发生全部提前终止时，南银理财和代销机构应当按照对应期次理财产品销售文件约定的方式向个人投资者告知相应理财产品的提前终止事宜。</w:t>
      </w:r>
    </w:p>
    <w:p w14:paraId="7F51181F" w14:textId="77777777" w:rsidR="00A50A8D" w:rsidRDefault="00E168B6">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赎回</w:t>
      </w:r>
      <w:r>
        <w:rPr>
          <w:bCs/>
          <w:color w:val="auto"/>
          <w:spacing w:val="10"/>
          <w:kern w:val="2"/>
          <w:sz w:val="15"/>
          <w:szCs w:val="15"/>
        </w:rPr>
        <w:t>/</w:t>
      </w:r>
      <w:r>
        <w:rPr>
          <w:rFonts w:hint="eastAsia"/>
          <w:bCs/>
          <w:color w:val="auto"/>
          <w:spacing w:val="10"/>
          <w:kern w:val="2"/>
          <w:sz w:val="15"/>
          <w:szCs w:val="15"/>
        </w:rPr>
        <w:t>到期兑付—南银理财和代销机构应当按照对应期次的理财产品销售文件的相关约定，将赎回兑付款项划入销售文件约定的个人投资者授权指定账户。如果发生特殊情形，造成本理财产品的投资资产无法及时、足额变现，南银理财可以根据实际情况选择向个人投资者提前兑付、延迟兑付或者分次兑付，并及时根据法律法规的要求向个人投资者披露兑付方案。</w:t>
      </w:r>
    </w:p>
    <w:p w14:paraId="454D1C3B" w14:textId="77777777" w:rsidR="00A50A8D" w:rsidRDefault="00E168B6">
      <w:pPr>
        <w:pStyle w:val="a5"/>
        <w:spacing w:before="0" w:after="0" w:line="240" w:lineRule="auto"/>
        <w:ind w:firstLineChars="200" w:firstLine="340"/>
        <w:jc w:val="both"/>
        <w:rPr>
          <w:b/>
          <w:color w:val="auto"/>
          <w:spacing w:val="10"/>
          <w:kern w:val="2"/>
          <w:sz w:val="15"/>
          <w:szCs w:val="15"/>
        </w:rPr>
      </w:pPr>
      <w:r>
        <w:rPr>
          <w:rFonts w:hint="eastAsia"/>
          <w:bCs/>
          <w:color w:val="auto"/>
          <w:spacing w:val="10"/>
          <w:kern w:val="2"/>
          <w:sz w:val="15"/>
          <w:szCs w:val="15"/>
        </w:rPr>
        <w:t>税收—以对应期次的《理财产品说明书》约定的税务处理方式为</w:t>
      </w:r>
      <w:r>
        <w:rPr>
          <w:rFonts w:hint="eastAsia"/>
          <w:bCs/>
          <w:color w:val="auto"/>
          <w:spacing w:val="10"/>
          <w:kern w:val="2"/>
          <w:sz w:val="15"/>
          <w:szCs w:val="15"/>
        </w:rPr>
        <w:t>准，如遇国家政策调整则相应执行最新政策。</w:t>
      </w:r>
    </w:p>
    <w:p w14:paraId="7DA6F35E" w14:textId="77777777" w:rsidR="00A50A8D" w:rsidRDefault="00E168B6">
      <w:pPr>
        <w:pStyle w:val="a5"/>
        <w:spacing w:before="0" w:after="0" w:line="240" w:lineRule="auto"/>
        <w:ind w:firstLineChars="200" w:firstLine="341"/>
        <w:jc w:val="both"/>
        <w:rPr>
          <w:bCs/>
          <w:color w:val="auto"/>
          <w:spacing w:val="10"/>
          <w:kern w:val="2"/>
          <w:sz w:val="15"/>
          <w:szCs w:val="15"/>
        </w:rPr>
      </w:pPr>
      <w:r>
        <w:rPr>
          <w:rFonts w:hint="eastAsia"/>
          <w:b/>
          <w:color w:val="auto"/>
          <w:spacing w:val="10"/>
          <w:kern w:val="2"/>
          <w:sz w:val="15"/>
          <w:szCs w:val="15"/>
        </w:rPr>
        <w:t>第二条</w:t>
      </w:r>
      <w:r>
        <w:rPr>
          <w:b/>
          <w:color w:val="auto"/>
          <w:spacing w:val="10"/>
          <w:kern w:val="2"/>
          <w:sz w:val="15"/>
          <w:szCs w:val="15"/>
        </w:rPr>
        <w:t xml:space="preserve"> </w:t>
      </w:r>
      <w:r>
        <w:rPr>
          <w:rFonts w:hint="eastAsia"/>
          <w:b/>
          <w:color w:val="auto"/>
          <w:spacing w:val="10"/>
          <w:kern w:val="2"/>
          <w:sz w:val="15"/>
          <w:szCs w:val="15"/>
        </w:rPr>
        <w:t>投资者风险承受能力评估流程说明</w:t>
      </w:r>
    </w:p>
    <w:p w14:paraId="033A7AD9" w14:textId="77777777" w:rsidR="00A50A8D" w:rsidRDefault="00E168B6">
      <w:pPr>
        <w:pStyle w:val="a5"/>
        <w:spacing w:before="0" w:after="0" w:line="240" w:lineRule="auto"/>
        <w:ind w:firstLine="478"/>
        <w:jc w:val="both"/>
        <w:rPr>
          <w:b/>
          <w:color w:val="auto"/>
          <w:spacing w:val="10"/>
          <w:kern w:val="2"/>
          <w:sz w:val="15"/>
          <w:szCs w:val="15"/>
        </w:rPr>
      </w:pPr>
      <w:r>
        <w:rPr>
          <w:rFonts w:hint="eastAsia"/>
          <w:b/>
          <w:color w:val="auto"/>
          <w:spacing w:val="10"/>
          <w:kern w:val="2"/>
          <w:sz w:val="15"/>
          <w:szCs w:val="15"/>
        </w:rPr>
        <w:t>（一）个人投资者风险承受能力评估流程说明</w:t>
      </w:r>
    </w:p>
    <w:p w14:paraId="176F84AE" w14:textId="77777777" w:rsidR="00A50A8D" w:rsidRDefault="00E168B6">
      <w:pPr>
        <w:pStyle w:val="a5"/>
        <w:spacing w:before="0" w:after="0" w:line="240" w:lineRule="auto"/>
        <w:ind w:firstLine="338"/>
        <w:jc w:val="both"/>
        <w:rPr>
          <w:bCs/>
          <w:color w:val="auto"/>
          <w:spacing w:val="10"/>
          <w:kern w:val="2"/>
          <w:sz w:val="15"/>
          <w:szCs w:val="15"/>
        </w:rPr>
      </w:pPr>
      <w:r>
        <w:rPr>
          <w:bCs/>
          <w:color w:val="auto"/>
          <w:spacing w:val="10"/>
          <w:kern w:val="2"/>
          <w:sz w:val="15"/>
          <w:szCs w:val="15"/>
        </w:rPr>
        <w:t>1</w:t>
      </w:r>
      <w:r>
        <w:rPr>
          <w:rFonts w:hint="eastAsia"/>
          <w:bCs/>
          <w:color w:val="auto"/>
          <w:spacing w:val="10"/>
          <w:kern w:val="2"/>
          <w:sz w:val="15"/>
          <w:szCs w:val="15"/>
        </w:rPr>
        <w:t>.</w:t>
      </w:r>
      <w:r>
        <w:rPr>
          <w:rFonts w:hint="eastAsia"/>
          <w:bCs/>
          <w:color w:val="auto"/>
          <w:spacing w:val="10"/>
          <w:kern w:val="2"/>
          <w:sz w:val="15"/>
          <w:szCs w:val="15"/>
        </w:rPr>
        <w:t>个人投资者首次通过销售机构购买理财产品时应根据销售机构的要求进行风险承受能力评估。</w:t>
      </w:r>
    </w:p>
    <w:p w14:paraId="2E895014" w14:textId="77777777" w:rsidR="00A50A8D" w:rsidRDefault="00E168B6">
      <w:pPr>
        <w:pStyle w:val="a5"/>
        <w:spacing w:before="0" w:after="0" w:line="240" w:lineRule="auto"/>
        <w:ind w:firstLine="338"/>
        <w:jc w:val="both"/>
        <w:rPr>
          <w:bCs/>
          <w:color w:val="auto"/>
          <w:spacing w:val="10"/>
          <w:kern w:val="2"/>
          <w:sz w:val="15"/>
          <w:szCs w:val="15"/>
        </w:rPr>
      </w:pPr>
      <w:r>
        <w:rPr>
          <w:bCs/>
          <w:color w:val="auto"/>
          <w:spacing w:val="10"/>
          <w:kern w:val="2"/>
          <w:sz w:val="15"/>
          <w:szCs w:val="15"/>
        </w:rPr>
        <w:t>2</w:t>
      </w:r>
      <w:r>
        <w:rPr>
          <w:rFonts w:hint="eastAsia"/>
          <w:bCs/>
          <w:color w:val="auto"/>
          <w:spacing w:val="10"/>
          <w:kern w:val="2"/>
          <w:sz w:val="15"/>
          <w:szCs w:val="15"/>
        </w:rPr>
        <w:t>.</w:t>
      </w:r>
      <w:r>
        <w:rPr>
          <w:rFonts w:hint="eastAsia"/>
          <w:bCs/>
          <w:color w:val="auto"/>
          <w:spacing w:val="10"/>
          <w:kern w:val="2"/>
          <w:sz w:val="15"/>
          <w:szCs w:val="15"/>
        </w:rPr>
        <w:t>个人投资者超过一年未进行风险承受能力评估或发生可能影响自身风险承受能力情况的，再次购买理财产品时，应根据销售机构的要求及时完成风险承受能力的重新评估；未进行持续风险评估的投资者不能再次购买理财产品。</w:t>
      </w:r>
    </w:p>
    <w:p w14:paraId="4084DC22" w14:textId="77777777" w:rsidR="00A50A8D" w:rsidRDefault="00E168B6">
      <w:pPr>
        <w:pStyle w:val="a5"/>
        <w:spacing w:before="0" w:after="0" w:line="240" w:lineRule="auto"/>
        <w:ind w:firstLine="338"/>
        <w:jc w:val="both"/>
        <w:rPr>
          <w:bCs/>
          <w:color w:val="auto"/>
          <w:spacing w:val="10"/>
          <w:kern w:val="2"/>
          <w:sz w:val="15"/>
          <w:szCs w:val="15"/>
        </w:rPr>
      </w:pPr>
      <w:r>
        <w:rPr>
          <w:bCs/>
          <w:color w:val="auto"/>
          <w:spacing w:val="10"/>
          <w:kern w:val="2"/>
          <w:sz w:val="15"/>
          <w:szCs w:val="15"/>
        </w:rPr>
        <w:t>3</w:t>
      </w:r>
      <w:r>
        <w:rPr>
          <w:rFonts w:hint="eastAsia"/>
          <w:bCs/>
          <w:color w:val="auto"/>
          <w:spacing w:val="10"/>
          <w:kern w:val="2"/>
          <w:sz w:val="15"/>
          <w:szCs w:val="15"/>
        </w:rPr>
        <w:t>.</w:t>
      </w:r>
      <w:r>
        <w:rPr>
          <w:rFonts w:hint="eastAsia"/>
          <w:bCs/>
          <w:color w:val="auto"/>
          <w:spacing w:val="10"/>
          <w:kern w:val="2"/>
          <w:sz w:val="15"/>
          <w:szCs w:val="15"/>
        </w:rPr>
        <w:t>个人投资者风险承受能力评估流程</w:t>
      </w:r>
    </w:p>
    <w:p w14:paraId="27700DA2" w14:textId="77777777" w:rsidR="00A50A8D" w:rsidRDefault="00E168B6">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1</w:t>
      </w:r>
      <w:r>
        <w:rPr>
          <w:rFonts w:hint="eastAsia"/>
          <w:bCs/>
          <w:color w:val="auto"/>
          <w:spacing w:val="10"/>
          <w:kern w:val="2"/>
          <w:sz w:val="15"/>
          <w:szCs w:val="15"/>
        </w:rPr>
        <w:t>）个人投资者在销售机构进行风险承受能力评估；</w:t>
      </w:r>
    </w:p>
    <w:p w14:paraId="663DC71A" w14:textId="77777777" w:rsidR="00A50A8D" w:rsidRDefault="00E168B6">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2</w:t>
      </w:r>
      <w:r>
        <w:rPr>
          <w:rFonts w:hint="eastAsia"/>
          <w:bCs/>
          <w:color w:val="auto"/>
          <w:spacing w:val="10"/>
          <w:kern w:val="2"/>
          <w:sz w:val="15"/>
          <w:szCs w:val="15"/>
        </w:rPr>
        <w:t>）填写销售机构个人投资者风险承受能力测试问卷；</w:t>
      </w:r>
    </w:p>
    <w:p w14:paraId="27AA62F0" w14:textId="77777777" w:rsidR="00A50A8D" w:rsidRDefault="00E168B6">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3</w:t>
      </w:r>
      <w:r>
        <w:rPr>
          <w:rFonts w:hint="eastAsia"/>
          <w:bCs/>
          <w:color w:val="auto"/>
          <w:spacing w:val="10"/>
          <w:kern w:val="2"/>
          <w:sz w:val="15"/>
          <w:szCs w:val="15"/>
        </w:rPr>
        <w:t>）生成相应的个人投资者风险承受能力评估结果；</w:t>
      </w:r>
    </w:p>
    <w:p w14:paraId="60D99AA8" w14:textId="77777777" w:rsidR="00A50A8D" w:rsidRDefault="00E168B6">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4</w:t>
      </w:r>
      <w:r>
        <w:rPr>
          <w:rFonts w:hint="eastAsia"/>
          <w:bCs/>
          <w:color w:val="auto"/>
          <w:spacing w:val="10"/>
          <w:kern w:val="2"/>
          <w:sz w:val="15"/>
          <w:szCs w:val="15"/>
        </w:rPr>
        <w:t>）投资者对评估结果进行确认。</w:t>
      </w:r>
    </w:p>
    <w:p w14:paraId="2679C516" w14:textId="77777777" w:rsidR="00A50A8D" w:rsidRDefault="00E168B6">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●特别提示：如个人投资者发生可能影响其自身风险承受能力的情况，再次购买理财产品时应当主动要求销售机构对其进行风险承受能力评估。</w:t>
      </w:r>
    </w:p>
    <w:p w14:paraId="70839664" w14:textId="77777777" w:rsidR="00A50A8D" w:rsidRDefault="00E168B6">
      <w:pPr>
        <w:pStyle w:val="a5"/>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评级具体含义说明。投资者风险承受能力评估结果的含义如下：</w:t>
      </w:r>
    </w:p>
    <w:p w14:paraId="773E3203" w14:textId="77777777" w:rsidR="00A50A8D" w:rsidRDefault="00E168B6">
      <w:pPr>
        <w:pStyle w:val="a5"/>
        <w:spacing w:before="0" w:after="0" w:line="240" w:lineRule="auto"/>
        <w:ind w:firstLine="478"/>
        <w:jc w:val="both"/>
        <w:rPr>
          <w:bCs/>
          <w:color w:val="auto"/>
          <w:spacing w:val="10"/>
          <w:kern w:val="2"/>
          <w:sz w:val="15"/>
          <w:szCs w:val="15"/>
        </w:rPr>
      </w:pPr>
      <w:permStart w:id="1169437046" w:edGrp="everyone"/>
      <w:r>
        <w:rPr>
          <w:rFonts w:hint="eastAsia"/>
          <w:bCs/>
          <w:color w:val="auto"/>
          <w:spacing w:val="10"/>
          <w:kern w:val="2"/>
          <w:sz w:val="15"/>
          <w:szCs w:val="15"/>
        </w:rPr>
        <w:t xml:space="preserve"> </w:t>
      </w:r>
      <w:r>
        <w:rPr>
          <w:rFonts w:hint="eastAsia"/>
          <w:bCs/>
          <w:color w:val="auto"/>
          <w:spacing w:val="10"/>
          <w:kern w:val="2"/>
          <w:sz w:val="15"/>
          <w:szCs w:val="15"/>
        </w:rPr>
        <w:t>保守型投资者</w:t>
      </w:r>
      <w:r>
        <w:rPr>
          <w:rFonts w:hint="eastAsia"/>
          <w:bCs/>
          <w:color w:val="auto"/>
          <w:spacing w:val="10"/>
          <w:kern w:val="2"/>
          <w:sz w:val="15"/>
          <w:szCs w:val="15"/>
        </w:rPr>
        <w:t>：</w:t>
      </w:r>
      <w:r>
        <w:rPr>
          <w:rFonts w:hint="eastAsia"/>
          <w:bCs/>
          <w:color w:val="auto"/>
          <w:spacing w:val="10"/>
          <w:kern w:val="2"/>
          <w:sz w:val="15"/>
          <w:szCs w:val="15"/>
        </w:rPr>
        <w:t>您的</w:t>
      </w:r>
      <w:r>
        <w:rPr>
          <w:rFonts w:hint="eastAsia"/>
          <w:bCs/>
          <w:color w:val="auto"/>
          <w:spacing w:val="10"/>
          <w:kern w:val="2"/>
          <w:sz w:val="15"/>
          <w:szCs w:val="15"/>
        </w:rPr>
        <w:t>总体风险程度低，</w:t>
      </w:r>
      <w:r>
        <w:rPr>
          <w:rFonts w:hint="eastAsia"/>
          <w:bCs/>
          <w:color w:val="auto"/>
          <w:spacing w:val="10"/>
          <w:kern w:val="2"/>
          <w:sz w:val="15"/>
          <w:szCs w:val="15"/>
        </w:rPr>
        <w:t>投资风格谨慎，</w:t>
      </w:r>
      <w:r>
        <w:rPr>
          <w:rFonts w:hint="eastAsia"/>
          <w:bCs/>
          <w:color w:val="auto"/>
          <w:spacing w:val="10"/>
          <w:kern w:val="2"/>
          <w:sz w:val="15"/>
          <w:szCs w:val="15"/>
        </w:rPr>
        <w:t>您适合投资的</w:t>
      </w:r>
      <w:r>
        <w:rPr>
          <w:rFonts w:hint="eastAsia"/>
          <w:bCs/>
          <w:color w:val="auto"/>
          <w:spacing w:val="10"/>
          <w:kern w:val="2"/>
          <w:sz w:val="15"/>
          <w:szCs w:val="15"/>
        </w:rPr>
        <w:t>产品本金和收益受市场、政策等因素变化的影响极低。净值型产品发生净值回撤的概率极低，无法实现业绩基准的可能性极低。</w:t>
      </w:r>
    </w:p>
    <w:p w14:paraId="6284BAA5" w14:textId="77777777" w:rsidR="00A50A8D" w:rsidRDefault="00E168B6">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稳健型投资者</w:t>
      </w:r>
      <w:r>
        <w:rPr>
          <w:rFonts w:hint="eastAsia"/>
          <w:bCs/>
          <w:color w:val="auto"/>
          <w:spacing w:val="10"/>
          <w:kern w:val="2"/>
          <w:sz w:val="15"/>
          <w:szCs w:val="15"/>
        </w:rPr>
        <w:t>：</w:t>
      </w:r>
      <w:r>
        <w:rPr>
          <w:rFonts w:hint="eastAsia"/>
          <w:bCs/>
          <w:color w:val="auto"/>
          <w:spacing w:val="10"/>
          <w:kern w:val="2"/>
          <w:sz w:val="15"/>
          <w:szCs w:val="15"/>
        </w:rPr>
        <w:t>您的</w:t>
      </w:r>
      <w:r>
        <w:rPr>
          <w:rFonts w:hint="eastAsia"/>
          <w:bCs/>
          <w:color w:val="auto"/>
          <w:spacing w:val="10"/>
          <w:kern w:val="2"/>
          <w:sz w:val="15"/>
          <w:szCs w:val="15"/>
        </w:rPr>
        <w:t>总体风险程度较低，投资风格</w:t>
      </w:r>
      <w:r>
        <w:rPr>
          <w:rFonts w:hint="eastAsia"/>
          <w:bCs/>
          <w:color w:val="auto"/>
          <w:spacing w:val="10"/>
          <w:kern w:val="2"/>
          <w:sz w:val="15"/>
          <w:szCs w:val="15"/>
        </w:rPr>
        <w:t>稳健</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可能</w:t>
      </w:r>
      <w:r>
        <w:rPr>
          <w:rFonts w:hint="eastAsia"/>
          <w:bCs/>
          <w:color w:val="auto"/>
          <w:spacing w:val="10"/>
          <w:kern w:val="2"/>
          <w:sz w:val="15"/>
          <w:szCs w:val="15"/>
        </w:rPr>
        <w:t>发生</w:t>
      </w:r>
      <w:r>
        <w:rPr>
          <w:rFonts w:hint="eastAsia"/>
          <w:bCs/>
          <w:color w:val="auto"/>
          <w:spacing w:val="10"/>
          <w:kern w:val="2"/>
          <w:sz w:val="15"/>
          <w:szCs w:val="15"/>
        </w:rPr>
        <w:t>小幅</w:t>
      </w:r>
      <w:r>
        <w:rPr>
          <w:rFonts w:hint="eastAsia"/>
          <w:bCs/>
          <w:color w:val="auto"/>
          <w:spacing w:val="10"/>
          <w:kern w:val="2"/>
          <w:sz w:val="15"/>
          <w:szCs w:val="15"/>
        </w:rPr>
        <w:t>回撤</w:t>
      </w:r>
      <w:r>
        <w:rPr>
          <w:rFonts w:hint="eastAsia"/>
          <w:bCs/>
          <w:color w:val="auto"/>
          <w:spacing w:val="10"/>
          <w:kern w:val="2"/>
          <w:sz w:val="15"/>
          <w:szCs w:val="15"/>
        </w:rPr>
        <w:t>，本金出现损失的可能性较低，</w:t>
      </w:r>
      <w:r>
        <w:rPr>
          <w:rFonts w:hint="eastAsia"/>
          <w:bCs/>
          <w:color w:val="auto"/>
          <w:spacing w:val="10"/>
          <w:kern w:val="2"/>
          <w:sz w:val="15"/>
          <w:szCs w:val="15"/>
        </w:rPr>
        <w:t>业绩基准</w:t>
      </w:r>
      <w:r>
        <w:rPr>
          <w:rFonts w:hint="eastAsia"/>
          <w:bCs/>
          <w:color w:val="auto"/>
          <w:spacing w:val="10"/>
          <w:kern w:val="2"/>
          <w:sz w:val="15"/>
          <w:szCs w:val="15"/>
        </w:rPr>
        <w:t>存在</w:t>
      </w:r>
      <w:r>
        <w:rPr>
          <w:rFonts w:hint="eastAsia"/>
          <w:bCs/>
          <w:color w:val="auto"/>
          <w:spacing w:val="10"/>
          <w:kern w:val="2"/>
          <w:sz w:val="15"/>
          <w:szCs w:val="15"/>
        </w:rPr>
        <w:t>无法实现</w:t>
      </w:r>
      <w:r>
        <w:rPr>
          <w:rFonts w:hint="eastAsia"/>
          <w:bCs/>
          <w:color w:val="auto"/>
          <w:spacing w:val="10"/>
          <w:kern w:val="2"/>
          <w:sz w:val="15"/>
          <w:szCs w:val="15"/>
        </w:rPr>
        <w:t>的</w:t>
      </w:r>
      <w:r>
        <w:rPr>
          <w:rFonts w:hint="eastAsia"/>
          <w:bCs/>
          <w:color w:val="auto"/>
          <w:spacing w:val="10"/>
          <w:kern w:val="2"/>
          <w:sz w:val="15"/>
          <w:szCs w:val="15"/>
        </w:rPr>
        <w:t>可能性。</w:t>
      </w:r>
    </w:p>
    <w:p w14:paraId="2DB73CB0" w14:textId="77777777" w:rsidR="00A50A8D" w:rsidRDefault="00E168B6">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平衡型投资者：</w:t>
      </w:r>
      <w:r>
        <w:rPr>
          <w:rFonts w:hint="eastAsia"/>
          <w:bCs/>
          <w:color w:val="auto"/>
          <w:spacing w:val="10"/>
          <w:kern w:val="2"/>
          <w:sz w:val="15"/>
          <w:szCs w:val="15"/>
        </w:rPr>
        <w:t>您的</w:t>
      </w:r>
      <w:r>
        <w:rPr>
          <w:rFonts w:hint="eastAsia"/>
          <w:bCs/>
          <w:color w:val="auto"/>
          <w:spacing w:val="10"/>
          <w:kern w:val="2"/>
          <w:sz w:val="15"/>
          <w:szCs w:val="15"/>
        </w:rPr>
        <w:t>总体风险程度适中，投资风格</w:t>
      </w:r>
      <w:r>
        <w:rPr>
          <w:rFonts w:hint="eastAsia"/>
          <w:bCs/>
          <w:color w:val="auto"/>
          <w:spacing w:val="10"/>
          <w:kern w:val="2"/>
          <w:sz w:val="15"/>
          <w:szCs w:val="15"/>
        </w:rPr>
        <w:t>中性</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跟随市场情况和投资策略有所波动，</w:t>
      </w:r>
      <w:r>
        <w:rPr>
          <w:rFonts w:hint="eastAsia"/>
          <w:bCs/>
          <w:color w:val="auto"/>
          <w:spacing w:val="10"/>
          <w:kern w:val="2"/>
          <w:sz w:val="15"/>
          <w:szCs w:val="15"/>
        </w:rPr>
        <w:t>业绩基准</w:t>
      </w:r>
      <w:r>
        <w:rPr>
          <w:rFonts w:hint="eastAsia"/>
          <w:bCs/>
          <w:color w:val="auto"/>
          <w:spacing w:val="10"/>
          <w:kern w:val="2"/>
          <w:sz w:val="15"/>
          <w:szCs w:val="15"/>
        </w:rPr>
        <w:t>存在</w:t>
      </w:r>
      <w:r>
        <w:rPr>
          <w:rFonts w:hint="eastAsia"/>
          <w:bCs/>
          <w:color w:val="auto"/>
          <w:spacing w:val="10"/>
          <w:kern w:val="2"/>
          <w:sz w:val="15"/>
          <w:szCs w:val="15"/>
        </w:rPr>
        <w:t>无法实现</w:t>
      </w:r>
      <w:r>
        <w:rPr>
          <w:rFonts w:hint="eastAsia"/>
          <w:bCs/>
          <w:color w:val="auto"/>
          <w:spacing w:val="10"/>
          <w:kern w:val="2"/>
          <w:sz w:val="15"/>
          <w:szCs w:val="15"/>
        </w:rPr>
        <w:t>的</w:t>
      </w:r>
      <w:r>
        <w:rPr>
          <w:rFonts w:hint="eastAsia"/>
          <w:bCs/>
          <w:color w:val="auto"/>
          <w:spacing w:val="10"/>
          <w:kern w:val="2"/>
          <w:sz w:val="15"/>
          <w:szCs w:val="15"/>
        </w:rPr>
        <w:t>可能性</w:t>
      </w:r>
      <w:r>
        <w:rPr>
          <w:rFonts w:hint="eastAsia"/>
          <w:bCs/>
          <w:color w:val="auto"/>
          <w:spacing w:val="10"/>
          <w:kern w:val="2"/>
          <w:sz w:val="15"/>
          <w:szCs w:val="15"/>
        </w:rPr>
        <w:t>，也面临一定程度的本金风险</w:t>
      </w:r>
      <w:r>
        <w:rPr>
          <w:rFonts w:hint="eastAsia"/>
          <w:bCs/>
          <w:color w:val="auto"/>
          <w:spacing w:val="10"/>
          <w:kern w:val="2"/>
          <w:sz w:val="15"/>
          <w:szCs w:val="15"/>
        </w:rPr>
        <w:t>。</w:t>
      </w:r>
    </w:p>
    <w:p w14:paraId="2A0236ED" w14:textId="77777777" w:rsidR="00A50A8D" w:rsidRDefault="00E168B6">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积极型投资者：您的</w:t>
      </w:r>
      <w:r>
        <w:rPr>
          <w:rFonts w:hint="eastAsia"/>
          <w:bCs/>
          <w:color w:val="auto"/>
          <w:spacing w:val="10"/>
          <w:kern w:val="2"/>
          <w:sz w:val="15"/>
          <w:szCs w:val="15"/>
        </w:rPr>
        <w:t>总体风险程度较高，投资风格</w:t>
      </w:r>
      <w:r>
        <w:rPr>
          <w:rFonts w:hint="eastAsia"/>
          <w:bCs/>
          <w:color w:val="auto"/>
          <w:spacing w:val="10"/>
          <w:kern w:val="2"/>
          <w:sz w:val="15"/>
          <w:szCs w:val="15"/>
        </w:rPr>
        <w:t>积极</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跟随市场情况和投资策略有明显波动，</w:t>
      </w:r>
      <w:r>
        <w:rPr>
          <w:rFonts w:hint="eastAsia"/>
          <w:bCs/>
          <w:color w:val="auto"/>
          <w:spacing w:val="10"/>
          <w:kern w:val="2"/>
          <w:sz w:val="15"/>
          <w:szCs w:val="15"/>
        </w:rPr>
        <w:t>业绩基准无法实现</w:t>
      </w:r>
      <w:r>
        <w:rPr>
          <w:rFonts w:hint="eastAsia"/>
          <w:bCs/>
          <w:color w:val="auto"/>
          <w:spacing w:val="10"/>
          <w:kern w:val="2"/>
          <w:sz w:val="15"/>
          <w:szCs w:val="15"/>
        </w:rPr>
        <w:t>的</w:t>
      </w:r>
      <w:r>
        <w:rPr>
          <w:rFonts w:hint="eastAsia"/>
          <w:bCs/>
          <w:color w:val="auto"/>
          <w:spacing w:val="10"/>
          <w:kern w:val="2"/>
          <w:sz w:val="15"/>
          <w:szCs w:val="15"/>
        </w:rPr>
        <w:t>可能性</w:t>
      </w:r>
      <w:r>
        <w:rPr>
          <w:rFonts w:hint="eastAsia"/>
          <w:bCs/>
          <w:color w:val="auto"/>
          <w:spacing w:val="10"/>
          <w:kern w:val="2"/>
          <w:sz w:val="15"/>
          <w:szCs w:val="15"/>
        </w:rPr>
        <w:t>较大，</w:t>
      </w:r>
      <w:r>
        <w:rPr>
          <w:rFonts w:hint="eastAsia"/>
          <w:bCs/>
          <w:color w:val="auto"/>
          <w:spacing w:val="10"/>
          <w:kern w:val="2"/>
          <w:sz w:val="15"/>
          <w:szCs w:val="15"/>
        </w:rPr>
        <w:t>产品本金风险不容忽视</w:t>
      </w:r>
      <w:r>
        <w:rPr>
          <w:rFonts w:hint="eastAsia"/>
          <w:bCs/>
          <w:color w:val="auto"/>
          <w:spacing w:val="10"/>
          <w:kern w:val="2"/>
          <w:sz w:val="15"/>
          <w:szCs w:val="15"/>
        </w:rPr>
        <w:t>。</w:t>
      </w:r>
    </w:p>
    <w:p w14:paraId="4B269C8D" w14:textId="77777777" w:rsidR="00A50A8D" w:rsidRDefault="00E168B6">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 xml:space="preserve"> </w:t>
      </w:r>
      <w:r>
        <w:rPr>
          <w:rFonts w:hint="eastAsia"/>
          <w:bCs/>
          <w:color w:val="auto"/>
          <w:spacing w:val="10"/>
          <w:kern w:val="2"/>
          <w:sz w:val="15"/>
          <w:szCs w:val="15"/>
        </w:rPr>
        <w:t>激进型投资者：您的</w:t>
      </w:r>
      <w:r>
        <w:rPr>
          <w:rFonts w:hint="eastAsia"/>
          <w:bCs/>
          <w:color w:val="auto"/>
          <w:spacing w:val="10"/>
          <w:kern w:val="2"/>
          <w:sz w:val="15"/>
          <w:szCs w:val="15"/>
        </w:rPr>
        <w:t>总体风险程度高，投资风格</w:t>
      </w:r>
      <w:r>
        <w:rPr>
          <w:rFonts w:hint="eastAsia"/>
          <w:bCs/>
          <w:color w:val="auto"/>
          <w:spacing w:val="10"/>
          <w:kern w:val="2"/>
          <w:sz w:val="15"/>
          <w:szCs w:val="15"/>
        </w:rPr>
        <w:t>激进</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跟随市场情况和投资策略有大幅波动，产品净值有极大可能出现大幅回撤，</w:t>
      </w:r>
      <w:r>
        <w:rPr>
          <w:rFonts w:hint="eastAsia"/>
          <w:bCs/>
          <w:color w:val="auto"/>
          <w:spacing w:val="10"/>
          <w:kern w:val="2"/>
          <w:sz w:val="15"/>
          <w:szCs w:val="15"/>
        </w:rPr>
        <w:t>业绩基准无法实现</w:t>
      </w:r>
      <w:r>
        <w:rPr>
          <w:rFonts w:hint="eastAsia"/>
          <w:bCs/>
          <w:color w:val="auto"/>
          <w:spacing w:val="10"/>
          <w:kern w:val="2"/>
          <w:sz w:val="15"/>
          <w:szCs w:val="15"/>
        </w:rPr>
        <w:t>的</w:t>
      </w:r>
      <w:r>
        <w:rPr>
          <w:rFonts w:hint="eastAsia"/>
          <w:bCs/>
          <w:color w:val="auto"/>
          <w:spacing w:val="10"/>
          <w:kern w:val="2"/>
          <w:sz w:val="15"/>
          <w:szCs w:val="15"/>
        </w:rPr>
        <w:t>可能性</w:t>
      </w:r>
      <w:r>
        <w:rPr>
          <w:rFonts w:hint="eastAsia"/>
          <w:bCs/>
          <w:color w:val="auto"/>
          <w:spacing w:val="10"/>
          <w:kern w:val="2"/>
          <w:sz w:val="15"/>
          <w:szCs w:val="15"/>
        </w:rPr>
        <w:t>极高，本金大幅损失的可能性极高</w:t>
      </w:r>
      <w:r>
        <w:rPr>
          <w:rFonts w:hint="eastAsia"/>
          <w:bCs/>
          <w:color w:val="auto"/>
          <w:spacing w:val="10"/>
          <w:kern w:val="2"/>
          <w:sz w:val="15"/>
          <w:szCs w:val="15"/>
        </w:rPr>
        <w:t>。</w:t>
      </w:r>
    </w:p>
    <w:permEnd w:id="1169437046"/>
    <w:p w14:paraId="3AEE1BF1" w14:textId="77777777" w:rsidR="00A50A8D" w:rsidRDefault="00E168B6">
      <w:pPr>
        <w:pStyle w:val="a5"/>
        <w:spacing w:before="0" w:after="0" w:line="240" w:lineRule="auto"/>
        <w:ind w:firstLine="478"/>
        <w:jc w:val="both"/>
        <w:rPr>
          <w:b/>
          <w:color w:val="auto"/>
          <w:spacing w:val="10"/>
          <w:kern w:val="2"/>
          <w:sz w:val="15"/>
          <w:szCs w:val="15"/>
        </w:rPr>
      </w:pPr>
      <w:r>
        <w:rPr>
          <w:rFonts w:hint="eastAsia"/>
          <w:b/>
          <w:color w:val="auto"/>
          <w:spacing w:val="10"/>
          <w:kern w:val="2"/>
          <w:sz w:val="15"/>
          <w:szCs w:val="15"/>
        </w:rPr>
        <w:t>（二）机构投资者风险承受能力评估流程说明</w:t>
      </w:r>
    </w:p>
    <w:p w14:paraId="2BF37C63" w14:textId="77777777" w:rsidR="00A50A8D" w:rsidRDefault="00E168B6">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机构投资者请根据自身的财务状况、投资经验、投资目标、风险认知、风险判断及其他因素综合考量理财产品的投资风险及自身的风险承受能力。</w:t>
      </w:r>
    </w:p>
    <w:p w14:paraId="19F18D2C" w14:textId="77777777" w:rsidR="00A50A8D" w:rsidRDefault="00E168B6">
      <w:pPr>
        <w:pStyle w:val="a5"/>
        <w:spacing w:before="0" w:after="0" w:line="240" w:lineRule="auto"/>
        <w:ind w:firstLine="478"/>
        <w:jc w:val="both"/>
        <w:rPr>
          <w:bCs/>
          <w:color w:val="auto"/>
          <w:spacing w:val="10"/>
          <w:kern w:val="2"/>
          <w:sz w:val="15"/>
          <w:szCs w:val="15"/>
        </w:rPr>
      </w:pPr>
      <w:r>
        <w:rPr>
          <w:rFonts w:hint="eastAsia"/>
          <w:b/>
          <w:color w:val="auto"/>
          <w:spacing w:val="10"/>
          <w:kern w:val="2"/>
          <w:sz w:val="15"/>
          <w:szCs w:val="15"/>
        </w:rPr>
        <w:t>第三条</w:t>
      </w:r>
      <w:r>
        <w:rPr>
          <w:b/>
          <w:color w:val="auto"/>
          <w:spacing w:val="10"/>
          <w:kern w:val="2"/>
          <w:sz w:val="15"/>
          <w:szCs w:val="15"/>
        </w:rPr>
        <w:t xml:space="preserve"> </w:t>
      </w:r>
      <w:r>
        <w:rPr>
          <w:rFonts w:hint="eastAsia"/>
          <w:b/>
          <w:color w:val="auto"/>
          <w:spacing w:val="10"/>
          <w:kern w:val="2"/>
          <w:sz w:val="15"/>
          <w:szCs w:val="15"/>
        </w:rPr>
        <w:t>理财产品风险等级说明</w:t>
      </w:r>
    </w:p>
    <w:p w14:paraId="7802B5DD" w14:textId="77777777" w:rsidR="00A50A8D" w:rsidRDefault="00E168B6">
      <w:pPr>
        <w:pStyle w:val="a5"/>
        <w:spacing w:before="0" w:after="0" w:line="240" w:lineRule="auto"/>
        <w:ind w:firstLineChars="199" w:firstLine="338"/>
        <w:jc w:val="both"/>
        <w:rPr>
          <w:color w:val="auto"/>
          <w:spacing w:val="10"/>
          <w:kern w:val="2"/>
          <w:sz w:val="15"/>
          <w:szCs w:val="15"/>
        </w:rPr>
      </w:pPr>
      <w:r>
        <w:rPr>
          <w:rFonts w:hint="eastAsia"/>
          <w:color w:val="auto"/>
          <w:spacing w:val="10"/>
          <w:kern w:val="2"/>
          <w:sz w:val="15"/>
          <w:szCs w:val="15"/>
        </w:rPr>
        <w:t>由于理财产品的运行方式和投资范围等不同，其承担的风险程度各有不同，南银理财将其风险等级分为五级，分别为：</w:t>
      </w:r>
      <w:r>
        <w:rPr>
          <w:rFonts w:hint="eastAsia"/>
          <w:color w:val="auto"/>
          <w:spacing w:val="10"/>
          <w:kern w:val="2"/>
          <w:sz w:val="15"/>
          <w:szCs w:val="15"/>
        </w:rPr>
        <w:t>PR1</w:t>
      </w:r>
      <w:r>
        <w:rPr>
          <w:rFonts w:hint="eastAsia"/>
          <w:color w:val="auto"/>
          <w:spacing w:val="10"/>
          <w:kern w:val="2"/>
          <w:sz w:val="15"/>
          <w:szCs w:val="15"/>
        </w:rPr>
        <w:t>级（低风险）、</w:t>
      </w:r>
      <w:r>
        <w:rPr>
          <w:rFonts w:hint="eastAsia"/>
          <w:color w:val="auto"/>
          <w:spacing w:val="10"/>
          <w:kern w:val="2"/>
          <w:sz w:val="15"/>
          <w:szCs w:val="15"/>
        </w:rPr>
        <w:t>PR2</w:t>
      </w:r>
      <w:r>
        <w:rPr>
          <w:rFonts w:hint="eastAsia"/>
          <w:color w:val="auto"/>
          <w:spacing w:val="10"/>
          <w:kern w:val="2"/>
          <w:sz w:val="15"/>
          <w:szCs w:val="15"/>
        </w:rPr>
        <w:t>级（中低风险）、</w:t>
      </w:r>
      <w:r>
        <w:rPr>
          <w:rFonts w:hint="eastAsia"/>
          <w:color w:val="auto"/>
          <w:spacing w:val="10"/>
          <w:kern w:val="2"/>
          <w:sz w:val="15"/>
          <w:szCs w:val="15"/>
        </w:rPr>
        <w:t>PR3</w:t>
      </w:r>
      <w:r>
        <w:rPr>
          <w:rFonts w:hint="eastAsia"/>
          <w:color w:val="auto"/>
          <w:spacing w:val="10"/>
          <w:kern w:val="2"/>
          <w:sz w:val="15"/>
          <w:szCs w:val="15"/>
        </w:rPr>
        <w:t>级（中等风险）、</w:t>
      </w:r>
      <w:r>
        <w:rPr>
          <w:color w:val="auto"/>
          <w:spacing w:val="10"/>
          <w:kern w:val="2"/>
          <w:sz w:val="15"/>
          <w:szCs w:val="15"/>
        </w:rPr>
        <w:t>PR4</w:t>
      </w:r>
      <w:r>
        <w:rPr>
          <w:rFonts w:hint="eastAsia"/>
          <w:color w:val="auto"/>
          <w:spacing w:val="10"/>
          <w:kern w:val="2"/>
          <w:sz w:val="15"/>
          <w:szCs w:val="15"/>
        </w:rPr>
        <w:t>级（中高风险）、</w:t>
      </w:r>
      <w:r>
        <w:rPr>
          <w:color w:val="auto"/>
          <w:spacing w:val="10"/>
          <w:kern w:val="2"/>
          <w:sz w:val="15"/>
          <w:szCs w:val="15"/>
        </w:rPr>
        <w:t>PR5</w:t>
      </w:r>
      <w:r>
        <w:rPr>
          <w:rFonts w:hint="eastAsia"/>
          <w:color w:val="auto"/>
          <w:spacing w:val="10"/>
          <w:kern w:val="2"/>
          <w:sz w:val="15"/>
          <w:szCs w:val="15"/>
        </w:rPr>
        <w:t>级（高风险）。</w:t>
      </w:r>
    </w:p>
    <w:p w14:paraId="17E88B99" w14:textId="77777777" w:rsidR="00A50A8D" w:rsidRDefault="00E168B6">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PR1</w:t>
      </w:r>
      <w:r>
        <w:rPr>
          <w:rFonts w:hint="eastAsia"/>
          <w:color w:val="auto"/>
          <w:spacing w:val="10"/>
          <w:kern w:val="2"/>
          <w:sz w:val="15"/>
          <w:szCs w:val="15"/>
        </w:rPr>
        <w:t>级（低风险）：管理人不承诺本金保障，产品收益随投资表现变动，产品存在极低的本金损失风险。</w:t>
      </w:r>
    </w:p>
    <w:p w14:paraId="177D35D4" w14:textId="77777777" w:rsidR="00A50A8D" w:rsidRDefault="00E168B6">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PR2</w:t>
      </w:r>
      <w:r>
        <w:rPr>
          <w:rFonts w:hint="eastAsia"/>
          <w:color w:val="auto"/>
          <w:spacing w:val="10"/>
          <w:kern w:val="2"/>
          <w:sz w:val="15"/>
          <w:szCs w:val="15"/>
        </w:rPr>
        <w:t>级（中低风险）：管理人不承诺本金保障，产品收益随投资表现变动，产品存在较低的本金损失风险。</w:t>
      </w:r>
    </w:p>
    <w:p w14:paraId="2AEBC596" w14:textId="77777777" w:rsidR="00A50A8D" w:rsidRDefault="00E168B6">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PR3</w:t>
      </w:r>
      <w:r>
        <w:rPr>
          <w:rFonts w:hint="eastAsia"/>
          <w:color w:val="auto"/>
          <w:spacing w:val="10"/>
          <w:kern w:val="2"/>
          <w:sz w:val="15"/>
          <w:szCs w:val="15"/>
        </w:rPr>
        <w:t>级（中等风险）：管理人不承诺本金保障，产品收益随投资表现变动，产品存在一定的本金损失风险。</w:t>
      </w:r>
    </w:p>
    <w:p w14:paraId="45B7427B" w14:textId="77777777" w:rsidR="00A50A8D" w:rsidRDefault="00E168B6">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PR4</w:t>
      </w:r>
      <w:r>
        <w:rPr>
          <w:rFonts w:hint="eastAsia"/>
          <w:color w:val="auto"/>
          <w:spacing w:val="10"/>
          <w:kern w:val="2"/>
          <w:sz w:val="15"/>
          <w:szCs w:val="15"/>
        </w:rPr>
        <w:t>级（中高风险）：管理人不承诺本金保障，产品收益随投资表现变动，产品存在较高的本金损失风险。</w:t>
      </w:r>
    </w:p>
    <w:p w14:paraId="3628E029" w14:textId="77777777" w:rsidR="00A50A8D" w:rsidRDefault="00E168B6">
      <w:pPr>
        <w:pStyle w:val="a5"/>
        <w:spacing w:before="0" w:after="0" w:line="240" w:lineRule="auto"/>
        <w:ind w:firstLineChars="198" w:firstLine="337"/>
        <w:jc w:val="both"/>
      </w:pPr>
      <w:r>
        <w:rPr>
          <w:color w:val="auto"/>
          <w:spacing w:val="10"/>
          <w:kern w:val="2"/>
          <w:sz w:val="15"/>
          <w:szCs w:val="15"/>
        </w:rPr>
        <w:t>PR5</w:t>
      </w:r>
      <w:r>
        <w:rPr>
          <w:rFonts w:hint="eastAsia"/>
          <w:color w:val="auto"/>
          <w:spacing w:val="10"/>
          <w:kern w:val="2"/>
          <w:sz w:val="15"/>
          <w:szCs w:val="15"/>
        </w:rPr>
        <w:t>级（高风险）：管理人不承诺本金保障，产品收益随投资表现变动，产品存在极高的本金损失风险，产品本金蒙受全部损失的可能性不容忽视。</w:t>
      </w:r>
    </w:p>
    <w:p w14:paraId="5191C421" w14:textId="77777777" w:rsidR="00A50A8D" w:rsidRDefault="00E168B6">
      <w:pPr>
        <w:pStyle w:val="a5"/>
        <w:spacing w:before="0" w:after="0" w:line="240" w:lineRule="auto"/>
        <w:ind w:firstLineChars="199" w:firstLine="338"/>
        <w:jc w:val="both"/>
        <w:rPr>
          <w:color w:val="auto"/>
          <w:spacing w:val="10"/>
          <w:kern w:val="2"/>
          <w:sz w:val="15"/>
          <w:szCs w:val="15"/>
        </w:rPr>
      </w:pPr>
      <w:r>
        <w:rPr>
          <w:rFonts w:hint="eastAsia"/>
          <w:color w:val="auto"/>
          <w:spacing w:val="10"/>
          <w:kern w:val="2"/>
          <w:sz w:val="15"/>
          <w:szCs w:val="15"/>
        </w:rPr>
        <w:t>本风险等级为南银理财风险评级结果，该产品通过代理销售机构渠道销售的，理财产品评级应当以代理销售机构最终披露的评级结果为准。您需充分认识投资风险，谨慎投资。</w:t>
      </w:r>
    </w:p>
    <w:p w14:paraId="2CA9552E" w14:textId="77777777" w:rsidR="00A50A8D" w:rsidRDefault="00E168B6">
      <w:pPr>
        <w:pStyle w:val="a5"/>
        <w:spacing w:before="0" w:after="0" w:line="240" w:lineRule="auto"/>
        <w:ind w:firstLineChars="200" w:firstLine="341"/>
        <w:jc w:val="both"/>
      </w:pPr>
      <w:r>
        <w:rPr>
          <w:rFonts w:hint="eastAsia"/>
          <w:b/>
          <w:color w:val="auto"/>
          <w:spacing w:val="10"/>
          <w:kern w:val="2"/>
          <w:sz w:val="15"/>
          <w:szCs w:val="15"/>
        </w:rPr>
        <w:t>【代理</w:t>
      </w:r>
      <w:r>
        <w:rPr>
          <w:rFonts w:hint="eastAsia"/>
          <w:b/>
          <w:color w:val="auto"/>
          <w:spacing w:val="10"/>
          <w:kern w:val="2"/>
          <w:sz w:val="15"/>
          <w:szCs w:val="15"/>
        </w:rPr>
        <w:t>销售机构在开展代理销售业务前应对理财产品进行尽职调查并根据理财产品的投资范围、投资资产、投资比例和风险状况等因素对理财产品进行风险等级评估，当南银理财对理财产品的风险等级评估结果与</w:t>
      </w:r>
      <w:r>
        <w:rPr>
          <w:rFonts w:hint="eastAsia"/>
          <w:b/>
          <w:color w:val="auto"/>
          <w:spacing w:val="10"/>
          <w:kern w:val="2"/>
          <w:sz w:val="15"/>
          <w:szCs w:val="15"/>
        </w:rPr>
        <w:t>代理</w:t>
      </w:r>
      <w:r>
        <w:rPr>
          <w:rFonts w:hint="eastAsia"/>
          <w:b/>
          <w:color w:val="auto"/>
          <w:spacing w:val="10"/>
          <w:kern w:val="2"/>
          <w:sz w:val="15"/>
          <w:szCs w:val="15"/>
        </w:rPr>
        <w:t>销售机构不一致时，</w:t>
      </w:r>
      <w:r>
        <w:rPr>
          <w:rFonts w:hint="eastAsia"/>
          <w:b/>
          <w:color w:val="auto"/>
          <w:spacing w:val="10"/>
          <w:kern w:val="2"/>
          <w:sz w:val="15"/>
          <w:szCs w:val="15"/>
        </w:rPr>
        <w:t>代理</w:t>
      </w:r>
      <w:r>
        <w:rPr>
          <w:rFonts w:hint="eastAsia"/>
          <w:b/>
          <w:color w:val="auto"/>
          <w:spacing w:val="10"/>
          <w:kern w:val="2"/>
          <w:sz w:val="15"/>
          <w:szCs w:val="15"/>
        </w:rPr>
        <w:t>销售机构应当采用较高风险等级评估结果，按较高的风险等级评估结果向投资者进行充分的风险提示并推介理财产品，确保个人投资者的风险承受能力等级不低于本理财产品风险等级。</w:t>
      </w:r>
      <w:r>
        <w:rPr>
          <w:rFonts w:hint="eastAsia"/>
          <w:b/>
          <w:color w:val="auto"/>
          <w:spacing w:val="10"/>
          <w:kern w:val="2"/>
          <w:sz w:val="15"/>
          <w:szCs w:val="15"/>
        </w:rPr>
        <w:t>】</w:t>
      </w:r>
    </w:p>
    <w:p w14:paraId="24515B70" w14:textId="77777777" w:rsidR="00A50A8D" w:rsidRDefault="00E168B6">
      <w:pPr>
        <w:pStyle w:val="a5"/>
        <w:spacing w:before="0" w:after="0" w:line="240" w:lineRule="auto"/>
        <w:ind w:firstLineChars="198" w:firstLine="338"/>
        <w:jc w:val="both"/>
        <w:rPr>
          <w:b/>
          <w:bCs/>
          <w:color w:val="auto"/>
          <w:spacing w:val="10"/>
          <w:kern w:val="2"/>
          <w:sz w:val="15"/>
          <w:szCs w:val="15"/>
        </w:rPr>
      </w:pPr>
      <w:r>
        <w:rPr>
          <w:rFonts w:hint="eastAsia"/>
          <w:b/>
          <w:bCs/>
          <w:color w:val="auto"/>
          <w:spacing w:val="10"/>
          <w:kern w:val="2"/>
          <w:sz w:val="15"/>
          <w:szCs w:val="15"/>
        </w:rPr>
        <w:t>第四条</w:t>
      </w:r>
      <w:r>
        <w:rPr>
          <w:b/>
          <w:bCs/>
          <w:color w:val="auto"/>
          <w:spacing w:val="10"/>
          <w:kern w:val="2"/>
          <w:sz w:val="15"/>
          <w:szCs w:val="15"/>
        </w:rPr>
        <w:t xml:space="preserve"> </w:t>
      </w:r>
      <w:r>
        <w:rPr>
          <w:rFonts w:hint="eastAsia"/>
          <w:b/>
          <w:bCs/>
          <w:color w:val="auto"/>
          <w:spacing w:val="10"/>
          <w:kern w:val="2"/>
          <w:sz w:val="15"/>
          <w:szCs w:val="15"/>
        </w:rPr>
        <w:t>个人投资者风险承受能力等级与适合购买的理财产品说明</w:t>
      </w:r>
    </w:p>
    <w:p w14:paraId="30028D62" w14:textId="77777777" w:rsidR="00A50A8D" w:rsidRDefault="00A50A8D">
      <w:pPr>
        <w:pStyle w:val="a5"/>
        <w:spacing w:before="0" w:after="0" w:line="240" w:lineRule="auto"/>
        <w:ind w:firstLineChars="200" w:firstLine="341"/>
        <w:jc w:val="center"/>
        <w:rPr>
          <w:b/>
          <w:color w:val="auto"/>
          <w:spacing w:val="10"/>
          <w:kern w:val="2"/>
          <w:sz w:val="15"/>
          <w:szCs w:val="15"/>
        </w:rPr>
      </w:pPr>
    </w:p>
    <w:tbl>
      <w:tblPr>
        <w:tblW w:w="5796" w:type="dxa"/>
        <w:jc w:val="center"/>
        <w:tblLayout w:type="fixed"/>
        <w:tblLook w:val="04A0" w:firstRow="1" w:lastRow="0" w:firstColumn="1" w:lastColumn="0" w:noHBand="0" w:noVBand="1"/>
      </w:tblPr>
      <w:tblGrid>
        <w:gridCol w:w="1866"/>
        <w:gridCol w:w="741"/>
        <w:gridCol w:w="816"/>
        <w:gridCol w:w="816"/>
        <w:gridCol w:w="816"/>
        <w:gridCol w:w="741"/>
      </w:tblGrid>
      <w:tr w:rsidR="00A50A8D" w14:paraId="0D0D3C44" w14:textId="77777777">
        <w:trPr>
          <w:trHeight w:val="178"/>
          <w:jc w:val="center"/>
        </w:trPr>
        <w:tc>
          <w:tcPr>
            <w:tcW w:w="1866" w:type="dxa"/>
            <w:vMerge w:val="restart"/>
            <w:tcBorders>
              <w:top w:val="single" w:sz="4" w:space="0" w:color="auto"/>
              <w:left w:val="single" w:sz="4" w:space="0" w:color="auto"/>
              <w:right w:val="single" w:sz="4" w:space="0" w:color="auto"/>
            </w:tcBorders>
            <w:vAlign w:val="center"/>
          </w:tcPr>
          <w:p w14:paraId="3E3DC4B6" w14:textId="77777777" w:rsidR="00A50A8D" w:rsidRDefault="00E168B6">
            <w:pPr>
              <w:widowControl/>
              <w:snapToGrid w:val="0"/>
              <w:jc w:val="center"/>
              <w:rPr>
                <w:rFonts w:ascii="宋体" w:hAnsi="宋体" w:cs="宋体"/>
                <w:kern w:val="0"/>
                <w:sz w:val="15"/>
                <w:szCs w:val="15"/>
              </w:rPr>
            </w:pPr>
            <w:r>
              <w:rPr>
                <w:rFonts w:ascii="宋体" w:hAnsi="宋体" w:cs="宋体" w:hint="eastAsia"/>
                <w:kern w:val="0"/>
                <w:sz w:val="15"/>
                <w:szCs w:val="15"/>
              </w:rPr>
              <w:t>个人投资者风险承受能力</w:t>
            </w:r>
          </w:p>
          <w:p w14:paraId="53C3ADEC" w14:textId="77777777" w:rsidR="00A50A8D" w:rsidRDefault="00E168B6">
            <w:pPr>
              <w:widowControl/>
              <w:snapToGrid w:val="0"/>
              <w:jc w:val="center"/>
              <w:rPr>
                <w:rFonts w:ascii="宋体" w:hAnsi="宋体" w:cs="宋体"/>
                <w:kern w:val="0"/>
                <w:sz w:val="15"/>
                <w:szCs w:val="15"/>
              </w:rPr>
            </w:pPr>
            <w:r>
              <w:rPr>
                <w:rFonts w:ascii="宋体" w:hAnsi="宋体" w:cs="宋体" w:hint="eastAsia"/>
                <w:kern w:val="0"/>
                <w:sz w:val="15"/>
                <w:szCs w:val="15"/>
              </w:rPr>
              <w:t>等级</w:t>
            </w:r>
          </w:p>
        </w:tc>
        <w:tc>
          <w:tcPr>
            <w:tcW w:w="3930" w:type="dxa"/>
            <w:gridSpan w:val="5"/>
            <w:tcBorders>
              <w:top w:val="single" w:sz="4" w:space="0" w:color="auto"/>
              <w:left w:val="nil"/>
              <w:bottom w:val="single" w:sz="4" w:space="0" w:color="auto"/>
              <w:right w:val="single" w:sz="4" w:space="0" w:color="auto"/>
            </w:tcBorders>
            <w:vAlign w:val="center"/>
          </w:tcPr>
          <w:p w14:paraId="5A13783D" w14:textId="77777777" w:rsidR="00A50A8D" w:rsidRDefault="00E168B6">
            <w:pPr>
              <w:widowControl/>
              <w:snapToGrid w:val="0"/>
              <w:jc w:val="center"/>
              <w:rPr>
                <w:rFonts w:ascii="宋体" w:hAnsi="宋体" w:cs="宋体"/>
                <w:kern w:val="0"/>
                <w:sz w:val="15"/>
                <w:szCs w:val="15"/>
              </w:rPr>
            </w:pPr>
            <w:r>
              <w:rPr>
                <w:rFonts w:ascii="宋体" w:hAnsi="宋体" w:cs="宋体" w:hint="eastAsia"/>
                <w:kern w:val="0"/>
                <w:sz w:val="15"/>
                <w:szCs w:val="15"/>
              </w:rPr>
              <w:t>南银理财理财产品风险等级</w:t>
            </w:r>
          </w:p>
        </w:tc>
      </w:tr>
      <w:tr w:rsidR="00A50A8D" w14:paraId="53697183" w14:textId="77777777">
        <w:trPr>
          <w:trHeight w:val="735"/>
          <w:jc w:val="center"/>
        </w:trPr>
        <w:tc>
          <w:tcPr>
            <w:tcW w:w="1866" w:type="dxa"/>
            <w:vMerge/>
            <w:tcBorders>
              <w:left w:val="single" w:sz="4" w:space="0" w:color="auto"/>
              <w:bottom w:val="single" w:sz="4" w:space="0" w:color="auto"/>
              <w:right w:val="single" w:sz="4" w:space="0" w:color="auto"/>
            </w:tcBorders>
            <w:vAlign w:val="center"/>
          </w:tcPr>
          <w:p w14:paraId="6217D953" w14:textId="77777777" w:rsidR="00A50A8D" w:rsidRDefault="00A50A8D">
            <w:pPr>
              <w:widowControl/>
              <w:snapToGrid w:val="0"/>
              <w:jc w:val="center"/>
              <w:rPr>
                <w:rFonts w:ascii="宋体" w:hAnsi="宋体" w:cs="宋体"/>
                <w:kern w:val="0"/>
                <w:sz w:val="15"/>
                <w:szCs w:val="15"/>
              </w:rPr>
            </w:pPr>
          </w:p>
        </w:tc>
        <w:tc>
          <w:tcPr>
            <w:tcW w:w="741" w:type="dxa"/>
            <w:tcBorders>
              <w:top w:val="single" w:sz="4" w:space="0" w:color="auto"/>
              <w:left w:val="nil"/>
              <w:bottom w:val="single" w:sz="4" w:space="0" w:color="auto"/>
              <w:right w:val="single" w:sz="4" w:space="0" w:color="auto"/>
            </w:tcBorders>
            <w:vAlign w:val="center"/>
          </w:tcPr>
          <w:p w14:paraId="604F1DA2" w14:textId="77777777" w:rsidR="00A50A8D" w:rsidRDefault="00E168B6">
            <w:pPr>
              <w:widowControl/>
              <w:snapToGrid w:val="0"/>
              <w:jc w:val="center"/>
              <w:rPr>
                <w:rFonts w:ascii="宋体" w:hAnsi="宋体" w:cs="宋体"/>
                <w:kern w:val="0"/>
                <w:sz w:val="15"/>
                <w:szCs w:val="15"/>
              </w:rPr>
            </w:pPr>
            <w:r>
              <w:rPr>
                <w:rFonts w:ascii="宋体" w:hAnsi="宋体" w:cs="宋体" w:hint="eastAsia"/>
                <w:kern w:val="0"/>
                <w:sz w:val="15"/>
                <w:szCs w:val="15"/>
              </w:rPr>
              <w:t>低风险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PR1</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14:paraId="3B5CC6A7" w14:textId="77777777" w:rsidR="00A50A8D" w:rsidRDefault="00E168B6">
            <w:pPr>
              <w:widowControl/>
              <w:snapToGrid w:val="0"/>
              <w:jc w:val="center"/>
              <w:rPr>
                <w:rFonts w:ascii="宋体" w:hAnsi="宋体" w:cs="宋体"/>
                <w:kern w:val="0"/>
                <w:sz w:val="15"/>
                <w:szCs w:val="15"/>
              </w:rPr>
            </w:pPr>
            <w:r>
              <w:rPr>
                <w:rFonts w:ascii="宋体" w:hAnsi="宋体" w:cs="宋体" w:hint="eastAsia"/>
                <w:kern w:val="0"/>
                <w:sz w:val="15"/>
                <w:szCs w:val="15"/>
              </w:rPr>
              <w:t>中低风险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PR2</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14:paraId="50F113EE" w14:textId="77777777" w:rsidR="00A50A8D" w:rsidRDefault="00E168B6">
            <w:pPr>
              <w:widowControl/>
              <w:snapToGrid w:val="0"/>
              <w:jc w:val="center"/>
              <w:rPr>
                <w:rFonts w:ascii="宋体" w:hAnsi="宋体" w:cs="宋体"/>
                <w:kern w:val="0"/>
                <w:sz w:val="15"/>
                <w:szCs w:val="15"/>
              </w:rPr>
            </w:pPr>
            <w:r>
              <w:rPr>
                <w:rFonts w:ascii="宋体" w:hAnsi="宋体" w:cs="宋体" w:hint="eastAsia"/>
                <w:kern w:val="0"/>
                <w:sz w:val="15"/>
                <w:szCs w:val="15"/>
              </w:rPr>
              <w:t>中等风险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PR3</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14:paraId="23BFB487" w14:textId="77777777" w:rsidR="00A50A8D" w:rsidRDefault="00E168B6">
            <w:pPr>
              <w:widowControl/>
              <w:snapToGrid w:val="0"/>
              <w:jc w:val="center"/>
              <w:rPr>
                <w:rFonts w:ascii="宋体" w:hAnsi="宋体" w:cs="宋体"/>
                <w:kern w:val="0"/>
                <w:sz w:val="15"/>
                <w:szCs w:val="15"/>
              </w:rPr>
            </w:pPr>
            <w:r>
              <w:rPr>
                <w:rFonts w:ascii="宋体" w:hAnsi="宋体" w:cs="宋体" w:hint="eastAsia"/>
                <w:kern w:val="0"/>
                <w:sz w:val="15"/>
                <w:szCs w:val="15"/>
              </w:rPr>
              <w:t>中高风险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PR4</w:t>
            </w:r>
            <w:r>
              <w:rPr>
                <w:rFonts w:ascii="宋体" w:hAnsi="宋体" w:cs="宋体" w:hint="eastAsia"/>
                <w:kern w:val="0"/>
                <w:sz w:val="15"/>
                <w:szCs w:val="15"/>
              </w:rPr>
              <w:t>）</w:t>
            </w:r>
          </w:p>
        </w:tc>
        <w:tc>
          <w:tcPr>
            <w:tcW w:w="741" w:type="dxa"/>
            <w:tcBorders>
              <w:top w:val="single" w:sz="4" w:space="0" w:color="auto"/>
              <w:left w:val="nil"/>
              <w:bottom w:val="single" w:sz="4" w:space="0" w:color="auto"/>
              <w:right w:val="single" w:sz="4" w:space="0" w:color="auto"/>
            </w:tcBorders>
            <w:vAlign w:val="center"/>
          </w:tcPr>
          <w:p w14:paraId="0A44FA81" w14:textId="77777777" w:rsidR="00A50A8D" w:rsidRDefault="00E168B6">
            <w:pPr>
              <w:widowControl/>
              <w:snapToGrid w:val="0"/>
              <w:jc w:val="center"/>
              <w:rPr>
                <w:rFonts w:ascii="宋体" w:hAnsi="宋体" w:cs="宋体"/>
                <w:kern w:val="0"/>
                <w:sz w:val="15"/>
                <w:szCs w:val="15"/>
              </w:rPr>
            </w:pPr>
            <w:r>
              <w:rPr>
                <w:rFonts w:ascii="宋体" w:hAnsi="宋体" w:cs="宋体" w:hint="eastAsia"/>
                <w:kern w:val="0"/>
                <w:sz w:val="15"/>
                <w:szCs w:val="15"/>
              </w:rPr>
              <w:t>高风险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PR5</w:t>
            </w:r>
            <w:r>
              <w:rPr>
                <w:rFonts w:ascii="宋体" w:hAnsi="宋体" w:cs="宋体" w:hint="eastAsia"/>
                <w:kern w:val="0"/>
                <w:sz w:val="15"/>
                <w:szCs w:val="15"/>
              </w:rPr>
              <w:t>）</w:t>
            </w:r>
          </w:p>
        </w:tc>
      </w:tr>
      <w:tr w:rsidR="00A50A8D" w14:paraId="73CF37F7" w14:textId="77777777">
        <w:trPr>
          <w:trHeight w:val="270"/>
          <w:jc w:val="center"/>
        </w:trPr>
        <w:tc>
          <w:tcPr>
            <w:tcW w:w="1866" w:type="dxa"/>
            <w:tcBorders>
              <w:top w:val="nil"/>
              <w:left w:val="single" w:sz="4" w:space="0" w:color="auto"/>
              <w:bottom w:val="single" w:sz="4" w:space="0" w:color="auto"/>
              <w:right w:val="single" w:sz="4" w:space="0" w:color="auto"/>
            </w:tcBorders>
            <w:vAlign w:val="center"/>
          </w:tcPr>
          <w:p w14:paraId="2793FB4F" w14:textId="77777777" w:rsidR="00A50A8D" w:rsidRDefault="00E168B6">
            <w:pPr>
              <w:widowControl/>
              <w:snapToGrid w:val="0"/>
              <w:jc w:val="center"/>
              <w:rPr>
                <w:rFonts w:ascii="宋体" w:hAnsi="宋体" w:cs="宋体"/>
                <w:kern w:val="0"/>
                <w:sz w:val="15"/>
                <w:szCs w:val="15"/>
              </w:rPr>
            </w:pPr>
            <w:permStart w:id="1959091916" w:edGrp="everyone"/>
            <w:r>
              <w:rPr>
                <w:rFonts w:ascii="宋体" w:hAnsi="宋体" w:cs="宋体" w:hint="eastAsia"/>
                <w:kern w:val="0"/>
                <w:sz w:val="15"/>
                <w:szCs w:val="15"/>
              </w:rPr>
              <w:t>一级（保守型投资者）</w:t>
            </w:r>
            <w:permEnd w:id="1959091916"/>
          </w:p>
        </w:tc>
        <w:tc>
          <w:tcPr>
            <w:tcW w:w="741" w:type="dxa"/>
            <w:tcBorders>
              <w:top w:val="nil"/>
              <w:left w:val="nil"/>
              <w:bottom w:val="single" w:sz="4" w:space="0" w:color="auto"/>
              <w:right w:val="single" w:sz="4" w:space="0" w:color="auto"/>
            </w:tcBorders>
          </w:tcPr>
          <w:p w14:paraId="5C1CD9B9" w14:textId="77777777" w:rsidR="00A50A8D" w:rsidRDefault="00E168B6">
            <w:pPr>
              <w:widowControl/>
              <w:snapToGrid w:val="0"/>
              <w:jc w:val="center"/>
              <w:rPr>
                <w:rFonts w:ascii="宋体" w:hAnsi="宋体" w:cs="宋体"/>
                <w:kern w:val="0"/>
                <w:sz w:val="15"/>
                <w:szCs w:val="15"/>
              </w:rPr>
            </w:pPr>
            <w:permStart w:id="1229324419" w:edGrp="everyone"/>
            <w:r>
              <w:rPr>
                <w:rFonts w:ascii="宋体" w:hAnsi="宋体" w:cs="宋体" w:hint="eastAsia"/>
                <w:kern w:val="0"/>
                <w:sz w:val="15"/>
                <w:szCs w:val="15"/>
              </w:rPr>
              <w:t>√</w:t>
            </w:r>
            <w:permEnd w:id="1229324419"/>
          </w:p>
        </w:tc>
        <w:tc>
          <w:tcPr>
            <w:tcW w:w="816" w:type="dxa"/>
            <w:tcBorders>
              <w:top w:val="nil"/>
              <w:left w:val="nil"/>
              <w:bottom w:val="single" w:sz="4" w:space="0" w:color="auto"/>
              <w:right w:val="single" w:sz="4" w:space="0" w:color="auto"/>
            </w:tcBorders>
          </w:tcPr>
          <w:p w14:paraId="1DA39897" w14:textId="77777777" w:rsidR="00A50A8D" w:rsidRDefault="00E168B6">
            <w:pPr>
              <w:widowControl/>
              <w:snapToGrid w:val="0"/>
              <w:jc w:val="center"/>
              <w:rPr>
                <w:rFonts w:ascii="宋体" w:hAnsi="宋体" w:cs="宋体"/>
                <w:kern w:val="0"/>
                <w:sz w:val="15"/>
                <w:szCs w:val="15"/>
              </w:rPr>
            </w:pPr>
            <w:permStart w:id="1265127831" w:edGrp="everyone"/>
            <w:r>
              <w:rPr>
                <w:rFonts w:ascii="宋体" w:hAnsi="宋体" w:cs="宋体" w:hint="eastAsia"/>
                <w:kern w:val="0"/>
                <w:sz w:val="15"/>
                <w:szCs w:val="15"/>
              </w:rPr>
              <w:t>×</w:t>
            </w:r>
            <w:permEnd w:id="1265127831"/>
          </w:p>
        </w:tc>
        <w:tc>
          <w:tcPr>
            <w:tcW w:w="816" w:type="dxa"/>
            <w:tcBorders>
              <w:top w:val="nil"/>
              <w:left w:val="nil"/>
              <w:bottom w:val="single" w:sz="4" w:space="0" w:color="auto"/>
              <w:right w:val="single" w:sz="4" w:space="0" w:color="auto"/>
            </w:tcBorders>
          </w:tcPr>
          <w:p w14:paraId="69EE996D" w14:textId="77777777" w:rsidR="00A50A8D" w:rsidRDefault="00E168B6">
            <w:pPr>
              <w:widowControl/>
              <w:snapToGrid w:val="0"/>
              <w:jc w:val="center"/>
              <w:rPr>
                <w:rFonts w:ascii="宋体" w:hAnsi="宋体" w:cs="宋体"/>
                <w:kern w:val="0"/>
                <w:sz w:val="15"/>
                <w:szCs w:val="15"/>
              </w:rPr>
            </w:pPr>
            <w:permStart w:id="1670326159" w:edGrp="everyone"/>
            <w:r>
              <w:rPr>
                <w:rFonts w:ascii="宋体" w:hAnsi="宋体" w:cs="宋体" w:hint="eastAsia"/>
                <w:kern w:val="0"/>
                <w:sz w:val="15"/>
                <w:szCs w:val="15"/>
              </w:rPr>
              <w:t>×</w:t>
            </w:r>
            <w:permEnd w:id="1670326159"/>
          </w:p>
        </w:tc>
        <w:tc>
          <w:tcPr>
            <w:tcW w:w="816" w:type="dxa"/>
            <w:tcBorders>
              <w:top w:val="nil"/>
              <w:left w:val="nil"/>
              <w:bottom w:val="single" w:sz="4" w:space="0" w:color="auto"/>
              <w:right w:val="single" w:sz="4" w:space="0" w:color="auto"/>
            </w:tcBorders>
          </w:tcPr>
          <w:p w14:paraId="4E16FCCE" w14:textId="77777777" w:rsidR="00A50A8D" w:rsidRDefault="00E168B6">
            <w:pPr>
              <w:widowControl/>
              <w:snapToGrid w:val="0"/>
              <w:jc w:val="center"/>
              <w:rPr>
                <w:rFonts w:ascii="宋体" w:hAnsi="宋体" w:cs="宋体"/>
                <w:kern w:val="0"/>
                <w:sz w:val="15"/>
                <w:szCs w:val="15"/>
              </w:rPr>
            </w:pPr>
            <w:permStart w:id="1670201397" w:edGrp="everyone"/>
            <w:r>
              <w:rPr>
                <w:rFonts w:ascii="宋体" w:hAnsi="宋体" w:cs="宋体" w:hint="eastAsia"/>
                <w:kern w:val="0"/>
                <w:sz w:val="15"/>
                <w:szCs w:val="15"/>
              </w:rPr>
              <w:t>×</w:t>
            </w:r>
            <w:permEnd w:id="1670201397"/>
          </w:p>
        </w:tc>
        <w:tc>
          <w:tcPr>
            <w:tcW w:w="741" w:type="dxa"/>
            <w:tcBorders>
              <w:top w:val="nil"/>
              <w:left w:val="nil"/>
              <w:bottom w:val="single" w:sz="4" w:space="0" w:color="auto"/>
              <w:right w:val="single" w:sz="4" w:space="0" w:color="auto"/>
            </w:tcBorders>
            <w:vAlign w:val="center"/>
          </w:tcPr>
          <w:p w14:paraId="55FD22C6" w14:textId="77777777" w:rsidR="00A50A8D" w:rsidRDefault="00E168B6">
            <w:pPr>
              <w:widowControl/>
              <w:snapToGrid w:val="0"/>
              <w:jc w:val="center"/>
              <w:rPr>
                <w:rFonts w:ascii="宋体" w:hAnsi="宋体" w:cs="宋体"/>
                <w:kern w:val="0"/>
                <w:sz w:val="15"/>
                <w:szCs w:val="15"/>
              </w:rPr>
            </w:pPr>
            <w:permStart w:id="1051158599" w:edGrp="everyone"/>
            <w:r>
              <w:rPr>
                <w:rFonts w:ascii="宋体" w:hAnsi="宋体" w:cs="宋体" w:hint="eastAsia"/>
                <w:kern w:val="0"/>
                <w:sz w:val="15"/>
                <w:szCs w:val="15"/>
              </w:rPr>
              <w:t>×</w:t>
            </w:r>
            <w:permEnd w:id="1051158599"/>
          </w:p>
        </w:tc>
      </w:tr>
      <w:tr w:rsidR="00A50A8D" w14:paraId="7796C426" w14:textId="77777777">
        <w:trPr>
          <w:trHeight w:val="270"/>
          <w:jc w:val="center"/>
        </w:trPr>
        <w:tc>
          <w:tcPr>
            <w:tcW w:w="1866" w:type="dxa"/>
            <w:tcBorders>
              <w:top w:val="nil"/>
              <w:left w:val="single" w:sz="4" w:space="0" w:color="auto"/>
              <w:bottom w:val="single" w:sz="4" w:space="0" w:color="auto"/>
              <w:right w:val="single" w:sz="4" w:space="0" w:color="auto"/>
            </w:tcBorders>
            <w:vAlign w:val="center"/>
          </w:tcPr>
          <w:p w14:paraId="47F51D3E" w14:textId="77777777" w:rsidR="00A50A8D" w:rsidRDefault="00E168B6">
            <w:pPr>
              <w:widowControl/>
              <w:snapToGrid w:val="0"/>
              <w:jc w:val="center"/>
              <w:rPr>
                <w:rFonts w:ascii="宋体" w:hAnsi="宋体" w:cs="宋体"/>
                <w:kern w:val="0"/>
                <w:sz w:val="15"/>
                <w:szCs w:val="15"/>
              </w:rPr>
            </w:pPr>
            <w:permStart w:id="1208502074" w:edGrp="everyone"/>
            <w:r>
              <w:rPr>
                <w:rFonts w:ascii="宋体" w:hAnsi="宋体" w:cs="宋体" w:hint="eastAsia"/>
                <w:kern w:val="0"/>
                <w:sz w:val="15"/>
                <w:szCs w:val="15"/>
              </w:rPr>
              <w:t>二级（稳健型投资者）</w:t>
            </w:r>
            <w:permEnd w:id="1208502074"/>
          </w:p>
        </w:tc>
        <w:tc>
          <w:tcPr>
            <w:tcW w:w="741" w:type="dxa"/>
            <w:tcBorders>
              <w:top w:val="nil"/>
              <w:left w:val="nil"/>
              <w:bottom w:val="single" w:sz="4" w:space="0" w:color="auto"/>
              <w:right w:val="single" w:sz="4" w:space="0" w:color="auto"/>
            </w:tcBorders>
          </w:tcPr>
          <w:p w14:paraId="06DA1F5C" w14:textId="77777777" w:rsidR="00A50A8D" w:rsidRDefault="00E168B6">
            <w:pPr>
              <w:widowControl/>
              <w:snapToGrid w:val="0"/>
              <w:jc w:val="center"/>
              <w:rPr>
                <w:rFonts w:ascii="宋体" w:hAnsi="宋体" w:cs="宋体"/>
                <w:kern w:val="0"/>
                <w:sz w:val="15"/>
                <w:szCs w:val="15"/>
              </w:rPr>
            </w:pPr>
            <w:permStart w:id="355540383" w:edGrp="everyone"/>
            <w:r>
              <w:rPr>
                <w:rFonts w:ascii="宋体" w:hAnsi="宋体" w:cs="宋体" w:hint="eastAsia"/>
                <w:kern w:val="0"/>
                <w:sz w:val="15"/>
                <w:szCs w:val="15"/>
              </w:rPr>
              <w:t>√</w:t>
            </w:r>
            <w:permEnd w:id="355540383"/>
          </w:p>
        </w:tc>
        <w:tc>
          <w:tcPr>
            <w:tcW w:w="816" w:type="dxa"/>
            <w:tcBorders>
              <w:top w:val="nil"/>
              <w:left w:val="nil"/>
              <w:bottom w:val="single" w:sz="4" w:space="0" w:color="auto"/>
              <w:right w:val="single" w:sz="4" w:space="0" w:color="auto"/>
            </w:tcBorders>
          </w:tcPr>
          <w:p w14:paraId="6C9F5E6F" w14:textId="77777777" w:rsidR="00A50A8D" w:rsidRDefault="00E168B6">
            <w:pPr>
              <w:widowControl/>
              <w:snapToGrid w:val="0"/>
              <w:jc w:val="center"/>
              <w:rPr>
                <w:rFonts w:ascii="宋体" w:hAnsi="宋体" w:cs="宋体"/>
                <w:kern w:val="0"/>
                <w:sz w:val="15"/>
                <w:szCs w:val="15"/>
              </w:rPr>
            </w:pPr>
            <w:permStart w:id="1331638770" w:edGrp="everyone"/>
            <w:r>
              <w:rPr>
                <w:rFonts w:ascii="宋体" w:hAnsi="宋体" w:cs="宋体" w:hint="eastAsia"/>
                <w:kern w:val="0"/>
                <w:sz w:val="15"/>
                <w:szCs w:val="15"/>
              </w:rPr>
              <w:t>√</w:t>
            </w:r>
            <w:permEnd w:id="1331638770"/>
          </w:p>
        </w:tc>
        <w:tc>
          <w:tcPr>
            <w:tcW w:w="816" w:type="dxa"/>
            <w:tcBorders>
              <w:top w:val="nil"/>
              <w:left w:val="nil"/>
              <w:bottom w:val="single" w:sz="4" w:space="0" w:color="auto"/>
              <w:right w:val="single" w:sz="4" w:space="0" w:color="auto"/>
            </w:tcBorders>
          </w:tcPr>
          <w:p w14:paraId="41AECCBA" w14:textId="77777777" w:rsidR="00A50A8D" w:rsidRDefault="00E168B6">
            <w:pPr>
              <w:widowControl/>
              <w:snapToGrid w:val="0"/>
              <w:jc w:val="center"/>
              <w:rPr>
                <w:rFonts w:ascii="宋体" w:hAnsi="宋体" w:cs="宋体"/>
                <w:kern w:val="0"/>
                <w:sz w:val="15"/>
                <w:szCs w:val="15"/>
              </w:rPr>
            </w:pPr>
            <w:permStart w:id="871902995" w:edGrp="everyone"/>
            <w:r>
              <w:rPr>
                <w:rFonts w:ascii="宋体" w:hAnsi="宋体" w:cs="宋体" w:hint="eastAsia"/>
                <w:kern w:val="0"/>
                <w:sz w:val="15"/>
                <w:szCs w:val="15"/>
              </w:rPr>
              <w:t>×</w:t>
            </w:r>
            <w:permEnd w:id="871902995"/>
          </w:p>
        </w:tc>
        <w:tc>
          <w:tcPr>
            <w:tcW w:w="816" w:type="dxa"/>
            <w:tcBorders>
              <w:top w:val="nil"/>
              <w:left w:val="nil"/>
              <w:bottom w:val="single" w:sz="4" w:space="0" w:color="auto"/>
              <w:right w:val="single" w:sz="4" w:space="0" w:color="auto"/>
            </w:tcBorders>
          </w:tcPr>
          <w:p w14:paraId="24050A80" w14:textId="77777777" w:rsidR="00A50A8D" w:rsidRDefault="00E168B6">
            <w:pPr>
              <w:widowControl/>
              <w:snapToGrid w:val="0"/>
              <w:jc w:val="center"/>
              <w:rPr>
                <w:rFonts w:ascii="宋体" w:hAnsi="宋体" w:cs="宋体"/>
                <w:kern w:val="0"/>
                <w:sz w:val="15"/>
                <w:szCs w:val="15"/>
              </w:rPr>
            </w:pPr>
            <w:permStart w:id="1015700931" w:edGrp="everyone"/>
            <w:r>
              <w:rPr>
                <w:rFonts w:ascii="宋体" w:hAnsi="宋体" w:cs="宋体" w:hint="eastAsia"/>
                <w:kern w:val="0"/>
                <w:sz w:val="15"/>
                <w:szCs w:val="15"/>
              </w:rPr>
              <w:t>×</w:t>
            </w:r>
            <w:permEnd w:id="1015700931"/>
          </w:p>
        </w:tc>
        <w:tc>
          <w:tcPr>
            <w:tcW w:w="741" w:type="dxa"/>
            <w:tcBorders>
              <w:top w:val="nil"/>
              <w:left w:val="nil"/>
              <w:bottom w:val="single" w:sz="4" w:space="0" w:color="auto"/>
              <w:right w:val="single" w:sz="4" w:space="0" w:color="auto"/>
            </w:tcBorders>
            <w:vAlign w:val="center"/>
          </w:tcPr>
          <w:p w14:paraId="706EB3BA" w14:textId="77777777" w:rsidR="00A50A8D" w:rsidRDefault="00E168B6">
            <w:pPr>
              <w:widowControl/>
              <w:snapToGrid w:val="0"/>
              <w:jc w:val="center"/>
              <w:rPr>
                <w:rFonts w:ascii="宋体" w:hAnsi="宋体" w:cs="宋体"/>
                <w:kern w:val="0"/>
                <w:sz w:val="15"/>
                <w:szCs w:val="15"/>
              </w:rPr>
            </w:pPr>
            <w:permStart w:id="509627597" w:edGrp="everyone"/>
            <w:r>
              <w:rPr>
                <w:rFonts w:ascii="宋体" w:hAnsi="宋体" w:cs="宋体" w:hint="eastAsia"/>
                <w:kern w:val="0"/>
                <w:sz w:val="15"/>
                <w:szCs w:val="15"/>
              </w:rPr>
              <w:t>×</w:t>
            </w:r>
            <w:permEnd w:id="509627597"/>
          </w:p>
        </w:tc>
      </w:tr>
      <w:tr w:rsidR="00A50A8D" w14:paraId="71AED225" w14:textId="77777777">
        <w:trPr>
          <w:trHeight w:val="270"/>
          <w:jc w:val="center"/>
        </w:trPr>
        <w:tc>
          <w:tcPr>
            <w:tcW w:w="1866" w:type="dxa"/>
            <w:tcBorders>
              <w:top w:val="nil"/>
              <w:left w:val="single" w:sz="4" w:space="0" w:color="auto"/>
              <w:bottom w:val="single" w:sz="4" w:space="0" w:color="auto"/>
              <w:right w:val="single" w:sz="4" w:space="0" w:color="auto"/>
            </w:tcBorders>
            <w:vAlign w:val="center"/>
          </w:tcPr>
          <w:p w14:paraId="76B9CB55" w14:textId="77777777" w:rsidR="00A50A8D" w:rsidRDefault="00E168B6">
            <w:pPr>
              <w:widowControl/>
              <w:snapToGrid w:val="0"/>
              <w:jc w:val="center"/>
              <w:rPr>
                <w:rFonts w:ascii="宋体" w:hAnsi="宋体" w:cs="宋体"/>
                <w:kern w:val="0"/>
                <w:sz w:val="15"/>
                <w:szCs w:val="15"/>
              </w:rPr>
            </w:pPr>
            <w:permStart w:id="636029843" w:edGrp="everyone"/>
            <w:r>
              <w:rPr>
                <w:rFonts w:ascii="宋体" w:hAnsi="宋体" w:cs="宋体" w:hint="eastAsia"/>
                <w:kern w:val="0"/>
                <w:sz w:val="15"/>
                <w:szCs w:val="15"/>
              </w:rPr>
              <w:t>三级（平衡型投资者）</w:t>
            </w:r>
            <w:permEnd w:id="636029843"/>
          </w:p>
        </w:tc>
        <w:tc>
          <w:tcPr>
            <w:tcW w:w="741" w:type="dxa"/>
            <w:tcBorders>
              <w:top w:val="nil"/>
              <w:left w:val="nil"/>
              <w:bottom w:val="single" w:sz="4" w:space="0" w:color="auto"/>
              <w:right w:val="single" w:sz="4" w:space="0" w:color="auto"/>
            </w:tcBorders>
          </w:tcPr>
          <w:p w14:paraId="1D127434" w14:textId="77777777" w:rsidR="00A50A8D" w:rsidRDefault="00E168B6">
            <w:pPr>
              <w:widowControl/>
              <w:snapToGrid w:val="0"/>
              <w:jc w:val="center"/>
              <w:rPr>
                <w:rFonts w:ascii="宋体" w:hAnsi="宋体" w:cs="宋体"/>
                <w:kern w:val="0"/>
                <w:sz w:val="15"/>
                <w:szCs w:val="15"/>
              </w:rPr>
            </w:pPr>
            <w:permStart w:id="194907179" w:edGrp="everyone"/>
            <w:r>
              <w:rPr>
                <w:rFonts w:ascii="宋体" w:hAnsi="宋体" w:cs="宋体" w:hint="eastAsia"/>
                <w:kern w:val="0"/>
                <w:sz w:val="15"/>
                <w:szCs w:val="15"/>
              </w:rPr>
              <w:t>√</w:t>
            </w:r>
            <w:permEnd w:id="194907179"/>
          </w:p>
        </w:tc>
        <w:tc>
          <w:tcPr>
            <w:tcW w:w="816" w:type="dxa"/>
            <w:tcBorders>
              <w:top w:val="nil"/>
              <w:left w:val="nil"/>
              <w:bottom w:val="single" w:sz="4" w:space="0" w:color="auto"/>
              <w:right w:val="single" w:sz="4" w:space="0" w:color="auto"/>
            </w:tcBorders>
          </w:tcPr>
          <w:p w14:paraId="55C53B85" w14:textId="77777777" w:rsidR="00A50A8D" w:rsidRDefault="00E168B6">
            <w:pPr>
              <w:widowControl/>
              <w:snapToGrid w:val="0"/>
              <w:jc w:val="center"/>
              <w:rPr>
                <w:rFonts w:ascii="宋体" w:hAnsi="宋体" w:cs="宋体"/>
                <w:kern w:val="0"/>
                <w:sz w:val="15"/>
                <w:szCs w:val="15"/>
              </w:rPr>
            </w:pPr>
            <w:permStart w:id="1757638038" w:edGrp="everyone"/>
            <w:r>
              <w:rPr>
                <w:rFonts w:ascii="宋体" w:hAnsi="宋体" w:cs="宋体" w:hint="eastAsia"/>
                <w:kern w:val="0"/>
                <w:sz w:val="15"/>
                <w:szCs w:val="15"/>
              </w:rPr>
              <w:t>√</w:t>
            </w:r>
            <w:permEnd w:id="1757638038"/>
          </w:p>
        </w:tc>
        <w:tc>
          <w:tcPr>
            <w:tcW w:w="816" w:type="dxa"/>
            <w:tcBorders>
              <w:top w:val="nil"/>
              <w:left w:val="nil"/>
              <w:bottom w:val="single" w:sz="4" w:space="0" w:color="auto"/>
              <w:right w:val="single" w:sz="4" w:space="0" w:color="auto"/>
            </w:tcBorders>
          </w:tcPr>
          <w:p w14:paraId="42D8F307" w14:textId="77777777" w:rsidR="00A50A8D" w:rsidRDefault="00E168B6">
            <w:pPr>
              <w:widowControl/>
              <w:snapToGrid w:val="0"/>
              <w:jc w:val="center"/>
              <w:rPr>
                <w:rFonts w:ascii="宋体" w:hAnsi="宋体" w:cs="宋体"/>
                <w:kern w:val="0"/>
                <w:sz w:val="15"/>
                <w:szCs w:val="15"/>
              </w:rPr>
            </w:pPr>
            <w:permStart w:id="1663785295" w:edGrp="everyone"/>
            <w:r>
              <w:rPr>
                <w:rFonts w:ascii="宋体" w:hAnsi="宋体" w:cs="宋体" w:hint="eastAsia"/>
                <w:kern w:val="0"/>
                <w:sz w:val="15"/>
                <w:szCs w:val="15"/>
              </w:rPr>
              <w:t>√</w:t>
            </w:r>
            <w:permEnd w:id="1663785295"/>
          </w:p>
        </w:tc>
        <w:tc>
          <w:tcPr>
            <w:tcW w:w="816" w:type="dxa"/>
            <w:tcBorders>
              <w:top w:val="nil"/>
              <w:left w:val="nil"/>
              <w:bottom w:val="single" w:sz="4" w:space="0" w:color="auto"/>
              <w:right w:val="single" w:sz="4" w:space="0" w:color="auto"/>
            </w:tcBorders>
          </w:tcPr>
          <w:p w14:paraId="5EB028CC" w14:textId="77777777" w:rsidR="00A50A8D" w:rsidRDefault="00E168B6">
            <w:pPr>
              <w:widowControl/>
              <w:snapToGrid w:val="0"/>
              <w:jc w:val="center"/>
              <w:rPr>
                <w:rFonts w:ascii="宋体" w:hAnsi="宋体" w:cs="宋体"/>
                <w:kern w:val="0"/>
                <w:sz w:val="15"/>
                <w:szCs w:val="15"/>
              </w:rPr>
            </w:pPr>
            <w:permStart w:id="1703296406" w:edGrp="everyone"/>
            <w:r>
              <w:rPr>
                <w:rFonts w:ascii="宋体" w:hAnsi="宋体" w:cs="宋体" w:hint="eastAsia"/>
                <w:kern w:val="0"/>
                <w:sz w:val="15"/>
                <w:szCs w:val="15"/>
              </w:rPr>
              <w:t>×</w:t>
            </w:r>
            <w:permEnd w:id="1703296406"/>
          </w:p>
        </w:tc>
        <w:tc>
          <w:tcPr>
            <w:tcW w:w="741" w:type="dxa"/>
            <w:tcBorders>
              <w:top w:val="nil"/>
              <w:left w:val="nil"/>
              <w:bottom w:val="single" w:sz="4" w:space="0" w:color="auto"/>
              <w:right w:val="single" w:sz="4" w:space="0" w:color="auto"/>
            </w:tcBorders>
          </w:tcPr>
          <w:p w14:paraId="5DC04029" w14:textId="77777777" w:rsidR="00A50A8D" w:rsidRDefault="00E168B6">
            <w:pPr>
              <w:widowControl/>
              <w:snapToGrid w:val="0"/>
              <w:jc w:val="center"/>
              <w:rPr>
                <w:rFonts w:ascii="宋体" w:hAnsi="宋体" w:cs="宋体"/>
                <w:kern w:val="0"/>
                <w:sz w:val="15"/>
                <w:szCs w:val="15"/>
              </w:rPr>
            </w:pPr>
            <w:permStart w:id="1178404655" w:edGrp="everyone"/>
            <w:r>
              <w:rPr>
                <w:rFonts w:ascii="宋体" w:hAnsi="宋体" w:cs="宋体" w:hint="eastAsia"/>
                <w:kern w:val="0"/>
                <w:sz w:val="15"/>
                <w:szCs w:val="15"/>
              </w:rPr>
              <w:t>×</w:t>
            </w:r>
            <w:permEnd w:id="1178404655"/>
          </w:p>
        </w:tc>
      </w:tr>
      <w:tr w:rsidR="00A50A8D" w14:paraId="1F549E10" w14:textId="77777777">
        <w:trPr>
          <w:trHeight w:val="270"/>
          <w:jc w:val="center"/>
        </w:trPr>
        <w:tc>
          <w:tcPr>
            <w:tcW w:w="1866" w:type="dxa"/>
            <w:tcBorders>
              <w:top w:val="single" w:sz="4" w:space="0" w:color="auto"/>
              <w:left w:val="single" w:sz="4" w:space="0" w:color="auto"/>
              <w:bottom w:val="single" w:sz="4" w:space="0" w:color="auto"/>
              <w:right w:val="single" w:sz="4" w:space="0" w:color="auto"/>
            </w:tcBorders>
            <w:vAlign w:val="center"/>
          </w:tcPr>
          <w:p w14:paraId="5771F537" w14:textId="77777777" w:rsidR="00A50A8D" w:rsidRDefault="00E168B6">
            <w:pPr>
              <w:widowControl/>
              <w:snapToGrid w:val="0"/>
              <w:jc w:val="center"/>
              <w:rPr>
                <w:rFonts w:ascii="宋体" w:hAnsi="宋体" w:cs="宋体"/>
                <w:kern w:val="0"/>
                <w:sz w:val="15"/>
                <w:szCs w:val="15"/>
              </w:rPr>
            </w:pPr>
            <w:permStart w:id="1773167975" w:edGrp="everyone"/>
            <w:r>
              <w:rPr>
                <w:rFonts w:ascii="宋体" w:hAnsi="宋体" w:cs="宋体" w:hint="eastAsia"/>
                <w:kern w:val="0"/>
                <w:sz w:val="15"/>
                <w:szCs w:val="15"/>
              </w:rPr>
              <w:t>四级（</w:t>
            </w:r>
            <w:r>
              <w:rPr>
                <w:rFonts w:ascii="宋体" w:hAnsi="宋体" w:cs="宋体" w:hint="eastAsia"/>
                <w:kern w:val="0"/>
                <w:sz w:val="15"/>
                <w:szCs w:val="15"/>
              </w:rPr>
              <w:t>积极</w:t>
            </w:r>
            <w:r>
              <w:rPr>
                <w:rFonts w:ascii="宋体" w:hAnsi="宋体" w:cs="宋体" w:hint="eastAsia"/>
                <w:kern w:val="0"/>
                <w:sz w:val="15"/>
                <w:szCs w:val="15"/>
              </w:rPr>
              <w:t>型投资者）</w:t>
            </w:r>
            <w:permEnd w:id="1773167975"/>
          </w:p>
        </w:tc>
        <w:tc>
          <w:tcPr>
            <w:tcW w:w="741" w:type="dxa"/>
            <w:tcBorders>
              <w:top w:val="single" w:sz="4" w:space="0" w:color="auto"/>
              <w:left w:val="single" w:sz="4" w:space="0" w:color="auto"/>
              <w:bottom w:val="single" w:sz="4" w:space="0" w:color="auto"/>
              <w:right w:val="single" w:sz="4" w:space="0" w:color="auto"/>
            </w:tcBorders>
          </w:tcPr>
          <w:p w14:paraId="5C9DA47E" w14:textId="77777777" w:rsidR="00A50A8D" w:rsidRDefault="00E168B6">
            <w:pPr>
              <w:widowControl/>
              <w:snapToGrid w:val="0"/>
              <w:jc w:val="center"/>
              <w:rPr>
                <w:rFonts w:ascii="宋体" w:hAnsi="宋体" w:cs="宋体"/>
                <w:kern w:val="0"/>
                <w:sz w:val="15"/>
                <w:szCs w:val="15"/>
              </w:rPr>
            </w:pPr>
            <w:permStart w:id="1384010602" w:edGrp="everyone"/>
            <w:r>
              <w:rPr>
                <w:rFonts w:ascii="宋体" w:hAnsi="宋体" w:cs="宋体" w:hint="eastAsia"/>
                <w:kern w:val="0"/>
                <w:sz w:val="15"/>
                <w:szCs w:val="15"/>
              </w:rPr>
              <w:t>√</w:t>
            </w:r>
            <w:permEnd w:id="1384010602"/>
          </w:p>
        </w:tc>
        <w:tc>
          <w:tcPr>
            <w:tcW w:w="816" w:type="dxa"/>
            <w:tcBorders>
              <w:top w:val="single" w:sz="4" w:space="0" w:color="auto"/>
              <w:left w:val="single" w:sz="4" w:space="0" w:color="auto"/>
              <w:bottom w:val="single" w:sz="4" w:space="0" w:color="auto"/>
              <w:right w:val="single" w:sz="4" w:space="0" w:color="auto"/>
            </w:tcBorders>
          </w:tcPr>
          <w:p w14:paraId="586070DD" w14:textId="77777777" w:rsidR="00A50A8D" w:rsidRDefault="00E168B6">
            <w:pPr>
              <w:widowControl/>
              <w:snapToGrid w:val="0"/>
              <w:jc w:val="center"/>
              <w:rPr>
                <w:rFonts w:ascii="宋体" w:hAnsi="宋体" w:cs="宋体"/>
                <w:kern w:val="0"/>
                <w:sz w:val="15"/>
                <w:szCs w:val="15"/>
              </w:rPr>
            </w:pPr>
            <w:permStart w:id="1203267122" w:edGrp="everyone"/>
            <w:r>
              <w:rPr>
                <w:rFonts w:ascii="宋体" w:hAnsi="宋体" w:cs="宋体" w:hint="eastAsia"/>
                <w:kern w:val="0"/>
                <w:sz w:val="15"/>
                <w:szCs w:val="15"/>
              </w:rPr>
              <w:t>√</w:t>
            </w:r>
            <w:permEnd w:id="1203267122"/>
          </w:p>
        </w:tc>
        <w:tc>
          <w:tcPr>
            <w:tcW w:w="816" w:type="dxa"/>
            <w:tcBorders>
              <w:top w:val="single" w:sz="4" w:space="0" w:color="auto"/>
              <w:left w:val="single" w:sz="4" w:space="0" w:color="auto"/>
              <w:bottom w:val="single" w:sz="4" w:space="0" w:color="auto"/>
              <w:right w:val="single" w:sz="4" w:space="0" w:color="auto"/>
            </w:tcBorders>
          </w:tcPr>
          <w:p w14:paraId="5430CAA8" w14:textId="77777777" w:rsidR="00A50A8D" w:rsidRDefault="00E168B6">
            <w:pPr>
              <w:widowControl/>
              <w:snapToGrid w:val="0"/>
              <w:jc w:val="center"/>
              <w:rPr>
                <w:rFonts w:ascii="宋体" w:hAnsi="宋体" w:cs="宋体"/>
                <w:kern w:val="0"/>
                <w:sz w:val="15"/>
                <w:szCs w:val="15"/>
              </w:rPr>
            </w:pPr>
            <w:permStart w:id="1614688211" w:edGrp="everyone"/>
            <w:r>
              <w:rPr>
                <w:rFonts w:ascii="宋体" w:hAnsi="宋体" w:cs="宋体" w:hint="eastAsia"/>
                <w:kern w:val="0"/>
                <w:sz w:val="15"/>
                <w:szCs w:val="15"/>
              </w:rPr>
              <w:t>√</w:t>
            </w:r>
            <w:permEnd w:id="1614688211"/>
          </w:p>
        </w:tc>
        <w:tc>
          <w:tcPr>
            <w:tcW w:w="816" w:type="dxa"/>
            <w:tcBorders>
              <w:top w:val="single" w:sz="4" w:space="0" w:color="auto"/>
              <w:left w:val="single" w:sz="4" w:space="0" w:color="auto"/>
              <w:bottom w:val="single" w:sz="4" w:space="0" w:color="auto"/>
              <w:right w:val="single" w:sz="4" w:space="0" w:color="auto"/>
            </w:tcBorders>
          </w:tcPr>
          <w:p w14:paraId="04B94256" w14:textId="77777777" w:rsidR="00A50A8D" w:rsidRDefault="00E168B6">
            <w:pPr>
              <w:widowControl/>
              <w:snapToGrid w:val="0"/>
              <w:jc w:val="center"/>
              <w:rPr>
                <w:rFonts w:ascii="宋体" w:hAnsi="宋体" w:cs="宋体"/>
                <w:kern w:val="0"/>
                <w:sz w:val="15"/>
                <w:szCs w:val="15"/>
              </w:rPr>
            </w:pPr>
            <w:permStart w:id="2127606" w:edGrp="everyone"/>
            <w:r>
              <w:rPr>
                <w:rFonts w:ascii="宋体" w:hAnsi="宋体" w:cs="宋体" w:hint="eastAsia"/>
                <w:kern w:val="0"/>
                <w:sz w:val="15"/>
                <w:szCs w:val="15"/>
              </w:rPr>
              <w:t>√</w:t>
            </w:r>
            <w:permEnd w:id="2127606"/>
          </w:p>
        </w:tc>
        <w:tc>
          <w:tcPr>
            <w:tcW w:w="741" w:type="dxa"/>
            <w:tcBorders>
              <w:top w:val="single" w:sz="4" w:space="0" w:color="auto"/>
              <w:left w:val="single" w:sz="4" w:space="0" w:color="auto"/>
              <w:bottom w:val="single" w:sz="4" w:space="0" w:color="auto"/>
              <w:right w:val="single" w:sz="4" w:space="0" w:color="auto"/>
            </w:tcBorders>
          </w:tcPr>
          <w:p w14:paraId="182B4555" w14:textId="77777777" w:rsidR="00A50A8D" w:rsidRDefault="00E168B6">
            <w:pPr>
              <w:widowControl/>
              <w:snapToGrid w:val="0"/>
              <w:jc w:val="center"/>
              <w:rPr>
                <w:rFonts w:ascii="宋体" w:hAnsi="宋体" w:cs="宋体"/>
                <w:kern w:val="0"/>
                <w:sz w:val="15"/>
                <w:szCs w:val="15"/>
              </w:rPr>
            </w:pPr>
            <w:permStart w:id="478113639" w:edGrp="everyone"/>
            <w:r>
              <w:rPr>
                <w:rFonts w:ascii="宋体" w:hAnsi="宋体" w:cs="宋体" w:hint="eastAsia"/>
                <w:kern w:val="0"/>
                <w:sz w:val="15"/>
                <w:szCs w:val="15"/>
              </w:rPr>
              <w:t>×</w:t>
            </w:r>
            <w:permEnd w:id="478113639"/>
          </w:p>
        </w:tc>
      </w:tr>
      <w:tr w:rsidR="00A50A8D" w14:paraId="3DAA3A74" w14:textId="77777777">
        <w:trPr>
          <w:trHeight w:val="270"/>
          <w:jc w:val="center"/>
        </w:trPr>
        <w:tc>
          <w:tcPr>
            <w:tcW w:w="1866" w:type="dxa"/>
            <w:tcBorders>
              <w:top w:val="single" w:sz="4" w:space="0" w:color="auto"/>
              <w:left w:val="single" w:sz="4" w:space="0" w:color="auto"/>
              <w:bottom w:val="single" w:sz="4" w:space="0" w:color="auto"/>
              <w:right w:val="single" w:sz="4" w:space="0" w:color="auto"/>
            </w:tcBorders>
            <w:vAlign w:val="center"/>
          </w:tcPr>
          <w:p w14:paraId="6A6BE746" w14:textId="77777777" w:rsidR="00A50A8D" w:rsidRDefault="00E168B6">
            <w:pPr>
              <w:widowControl/>
              <w:snapToGrid w:val="0"/>
              <w:jc w:val="center"/>
              <w:rPr>
                <w:rFonts w:ascii="宋体" w:hAnsi="宋体" w:cs="宋体"/>
                <w:kern w:val="0"/>
                <w:sz w:val="15"/>
                <w:szCs w:val="15"/>
              </w:rPr>
            </w:pPr>
            <w:permStart w:id="1267954136" w:edGrp="everyone"/>
            <w:r>
              <w:rPr>
                <w:rFonts w:ascii="宋体" w:hAnsi="宋体" w:cs="宋体" w:hint="eastAsia"/>
                <w:kern w:val="0"/>
                <w:sz w:val="15"/>
                <w:szCs w:val="15"/>
              </w:rPr>
              <w:t>五级（</w:t>
            </w:r>
            <w:r>
              <w:rPr>
                <w:rFonts w:ascii="宋体" w:hAnsi="宋体" w:cs="宋体" w:hint="eastAsia"/>
                <w:kern w:val="0"/>
                <w:sz w:val="15"/>
                <w:szCs w:val="15"/>
              </w:rPr>
              <w:t>激进</w:t>
            </w:r>
            <w:r>
              <w:rPr>
                <w:rFonts w:ascii="宋体" w:hAnsi="宋体" w:cs="宋体" w:hint="eastAsia"/>
                <w:kern w:val="0"/>
                <w:sz w:val="15"/>
                <w:szCs w:val="15"/>
              </w:rPr>
              <w:t>型投资者）</w:t>
            </w:r>
            <w:permEnd w:id="1267954136"/>
          </w:p>
        </w:tc>
        <w:tc>
          <w:tcPr>
            <w:tcW w:w="741" w:type="dxa"/>
            <w:tcBorders>
              <w:top w:val="single" w:sz="4" w:space="0" w:color="auto"/>
              <w:left w:val="single" w:sz="4" w:space="0" w:color="auto"/>
              <w:bottom w:val="single" w:sz="4" w:space="0" w:color="auto"/>
              <w:right w:val="single" w:sz="4" w:space="0" w:color="auto"/>
            </w:tcBorders>
          </w:tcPr>
          <w:p w14:paraId="6B2B6C25" w14:textId="77777777" w:rsidR="00A50A8D" w:rsidRDefault="00E168B6">
            <w:pPr>
              <w:widowControl/>
              <w:snapToGrid w:val="0"/>
              <w:jc w:val="center"/>
              <w:rPr>
                <w:rFonts w:ascii="宋体" w:hAnsi="宋体" w:cs="宋体"/>
                <w:kern w:val="0"/>
                <w:sz w:val="15"/>
                <w:szCs w:val="15"/>
              </w:rPr>
            </w:pPr>
            <w:permStart w:id="903090294" w:edGrp="everyone"/>
            <w:r>
              <w:rPr>
                <w:rFonts w:ascii="宋体" w:hAnsi="宋体" w:cs="宋体" w:hint="eastAsia"/>
                <w:kern w:val="0"/>
                <w:sz w:val="15"/>
                <w:szCs w:val="15"/>
              </w:rPr>
              <w:t>√</w:t>
            </w:r>
            <w:permEnd w:id="903090294"/>
          </w:p>
        </w:tc>
        <w:tc>
          <w:tcPr>
            <w:tcW w:w="816" w:type="dxa"/>
            <w:tcBorders>
              <w:top w:val="single" w:sz="4" w:space="0" w:color="auto"/>
              <w:left w:val="single" w:sz="4" w:space="0" w:color="auto"/>
              <w:bottom w:val="single" w:sz="4" w:space="0" w:color="auto"/>
              <w:right w:val="single" w:sz="4" w:space="0" w:color="auto"/>
            </w:tcBorders>
          </w:tcPr>
          <w:p w14:paraId="6C6C64E2" w14:textId="77777777" w:rsidR="00A50A8D" w:rsidRDefault="00E168B6">
            <w:pPr>
              <w:widowControl/>
              <w:snapToGrid w:val="0"/>
              <w:jc w:val="center"/>
              <w:rPr>
                <w:rFonts w:ascii="宋体" w:hAnsi="宋体" w:cs="宋体"/>
                <w:kern w:val="0"/>
                <w:sz w:val="15"/>
                <w:szCs w:val="15"/>
              </w:rPr>
            </w:pPr>
            <w:permStart w:id="1789743161" w:edGrp="everyone"/>
            <w:r>
              <w:rPr>
                <w:rFonts w:ascii="宋体" w:hAnsi="宋体" w:cs="宋体" w:hint="eastAsia"/>
                <w:kern w:val="0"/>
                <w:sz w:val="15"/>
                <w:szCs w:val="15"/>
              </w:rPr>
              <w:t>√</w:t>
            </w:r>
            <w:permEnd w:id="1789743161"/>
          </w:p>
        </w:tc>
        <w:tc>
          <w:tcPr>
            <w:tcW w:w="816" w:type="dxa"/>
            <w:tcBorders>
              <w:top w:val="single" w:sz="4" w:space="0" w:color="auto"/>
              <w:left w:val="single" w:sz="4" w:space="0" w:color="auto"/>
              <w:bottom w:val="single" w:sz="4" w:space="0" w:color="auto"/>
              <w:right w:val="single" w:sz="4" w:space="0" w:color="auto"/>
            </w:tcBorders>
          </w:tcPr>
          <w:p w14:paraId="7C545F29" w14:textId="77777777" w:rsidR="00A50A8D" w:rsidRDefault="00E168B6">
            <w:pPr>
              <w:widowControl/>
              <w:snapToGrid w:val="0"/>
              <w:jc w:val="center"/>
              <w:rPr>
                <w:rFonts w:ascii="宋体" w:hAnsi="宋体" w:cs="宋体"/>
                <w:kern w:val="0"/>
                <w:sz w:val="15"/>
                <w:szCs w:val="15"/>
              </w:rPr>
            </w:pPr>
            <w:permStart w:id="622017146" w:edGrp="everyone"/>
            <w:r>
              <w:rPr>
                <w:rFonts w:ascii="宋体" w:hAnsi="宋体" w:cs="宋体" w:hint="eastAsia"/>
                <w:kern w:val="0"/>
                <w:sz w:val="15"/>
                <w:szCs w:val="15"/>
              </w:rPr>
              <w:t>√</w:t>
            </w:r>
            <w:permEnd w:id="622017146"/>
          </w:p>
        </w:tc>
        <w:tc>
          <w:tcPr>
            <w:tcW w:w="816" w:type="dxa"/>
            <w:tcBorders>
              <w:top w:val="single" w:sz="4" w:space="0" w:color="auto"/>
              <w:left w:val="single" w:sz="4" w:space="0" w:color="auto"/>
              <w:bottom w:val="single" w:sz="4" w:space="0" w:color="auto"/>
              <w:right w:val="single" w:sz="4" w:space="0" w:color="auto"/>
            </w:tcBorders>
          </w:tcPr>
          <w:p w14:paraId="58C9CC61" w14:textId="77777777" w:rsidR="00A50A8D" w:rsidRDefault="00E168B6">
            <w:pPr>
              <w:widowControl/>
              <w:snapToGrid w:val="0"/>
              <w:jc w:val="center"/>
              <w:rPr>
                <w:rFonts w:ascii="宋体" w:hAnsi="宋体" w:cs="宋体"/>
                <w:kern w:val="0"/>
                <w:sz w:val="15"/>
                <w:szCs w:val="15"/>
              </w:rPr>
            </w:pPr>
            <w:permStart w:id="890899170" w:edGrp="everyone"/>
            <w:r>
              <w:rPr>
                <w:rFonts w:ascii="宋体" w:hAnsi="宋体" w:cs="宋体" w:hint="eastAsia"/>
                <w:kern w:val="0"/>
                <w:sz w:val="15"/>
                <w:szCs w:val="15"/>
              </w:rPr>
              <w:t>√</w:t>
            </w:r>
            <w:permEnd w:id="890899170"/>
          </w:p>
        </w:tc>
        <w:tc>
          <w:tcPr>
            <w:tcW w:w="741" w:type="dxa"/>
            <w:tcBorders>
              <w:top w:val="single" w:sz="4" w:space="0" w:color="auto"/>
              <w:left w:val="single" w:sz="4" w:space="0" w:color="auto"/>
              <w:bottom w:val="single" w:sz="4" w:space="0" w:color="auto"/>
              <w:right w:val="single" w:sz="4" w:space="0" w:color="auto"/>
            </w:tcBorders>
          </w:tcPr>
          <w:p w14:paraId="39FF0CC9" w14:textId="77777777" w:rsidR="00A50A8D" w:rsidRDefault="00E168B6">
            <w:pPr>
              <w:widowControl/>
              <w:snapToGrid w:val="0"/>
              <w:jc w:val="center"/>
              <w:rPr>
                <w:rFonts w:ascii="宋体" w:hAnsi="宋体" w:cs="宋体"/>
                <w:kern w:val="0"/>
                <w:sz w:val="15"/>
                <w:szCs w:val="15"/>
              </w:rPr>
            </w:pPr>
            <w:permStart w:id="1412652914" w:edGrp="everyone"/>
            <w:r>
              <w:rPr>
                <w:rFonts w:ascii="宋体" w:hAnsi="宋体" w:cs="宋体" w:hint="eastAsia"/>
                <w:kern w:val="0"/>
                <w:sz w:val="15"/>
                <w:szCs w:val="15"/>
              </w:rPr>
              <w:t>√</w:t>
            </w:r>
            <w:permEnd w:id="1412652914"/>
          </w:p>
        </w:tc>
      </w:tr>
    </w:tbl>
    <w:p w14:paraId="6911F255" w14:textId="77777777" w:rsidR="00A50A8D" w:rsidRDefault="00E168B6">
      <w:pPr>
        <w:pStyle w:val="a5"/>
        <w:spacing w:before="0" w:after="0" w:line="240" w:lineRule="auto"/>
        <w:ind w:firstLineChars="200" w:firstLine="340"/>
        <w:jc w:val="center"/>
        <w:rPr>
          <w:b/>
          <w:color w:val="auto"/>
          <w:spacing w:val="10"/>
          <w:kern w:val="2"/>
          <w:sz w:val="15"/>
          <w:szCs w:val="15"/>
        </w:rPr>
      </w:pPr>
      <w:r>
        <w:rPr>
          <w:rFonts w:hint="eastAsia"/>
          <w:color w:val="auto"/>
          <w:spacing w:val="10"/>
          <w:kern w:val="2"/>
          <w:sz w:val="15"/>
          <w:szCs w:val="15"/>
        </w:rPr>
        <w:t>备注：√代表可以购买；×代表不能购买。</w:t>
      </w:r>
    </w:p>
    <w:p w14:paraId="528E417A" w14:textId="77777777" w:rsidR="00A50A8D" w:rsidRDefault="00E168B6">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第五条</w:t>
      </w:r>
      <w:r>
        <w:rPr>
          <w:rFonts w:hint="eastAsia"/>
          <w:b/>
          <w:color w:val="auto"/>
          <w:spacing w:val="10"/>
          <w:kern w:val="2"/>
          <w:sz w:val="15"/>
          <w:szCs w:val="15"/>
        </w:rPr>
        <w:t xml:space="preserve"> </w:t>
      </w:r>
      <w:r>
        <w:rPr>
          <w:rFonts w:hint="eastAsia"/>
          <w:b/>
          <w:color w:val="auto"/>
          <w:spacing w:val="10"/>
          <w:kern w:val="2"/>
          <w:sz w:val="15"/>
          <w:szCs w:val="15"/>
        </w:rPr>
        <w:t>理财产品信息披露的方式、渠道和频率说明</w:t>
      </w:r>
    </w:p>
    <w:p w14:paraId="20086648" w14:textId="77777777" w:rsidR="00A50A8D" w:rsidRDefault="00E168B6">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南银理财按照对应期次《理财产品说明书》约定的方式、渠道和频率进行信息披露。投资者应密切关注与本理财产品有关的信息披露，以免造成不必要的损失。</w:t>
      </w:r>
    </w:p>
    <w:p w14:paraId="3664F29A" w14:textId="77777777" w:rsidR="00A50A8D" w:rsidRDefault="00E168B6">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投资者预留在南银理财或销售机构的有效联系方式变更的，应及时通知南银理财或销售机构。</w:t>
      </w:r>
      <w:r>
        <w:rPr>
          <w:rFonts w:hint="eastAsia"/>
          <w:b/>
          <w:color w:val="auto"/>
          <w:spacing w:val="10"/>
          <w:kern w:val="2"/>
          <w:sz w:val="15"/>
          <w:szCs w:val="15"/>
        </w:rPr>
        <w:t>如投资者未及时告知南银理财或销售机构联系方式变更，造成南银理财或销售机构在需要时无法联系投资者，并由此影响投资者的投资决策，因此而产生的责任和风险由投资者自行承担。</w:t>
      </w:r>
    </w:p>
    <w:p w14:paraId="3A90558D" w14:textId="77777777" w:rsidR="00A50A8D" w:rsidRDefault="00E168B6">
      <w:pPr>
        <w:pStyle w:val="a5"/>
        <w:spacing w:before="0" w:after="0" w:line="240" w:lineRule="auto"/>
        <w:ind w:firstLineChars="200" w:firstLine="341"/>
        <w:rPr>
          <w:bCs/>
          <w:color w:val="auto"/>
          <w:spacing w:val="10"/>
          <w:kern w:val="2"/>
          <w:sz w:val="15"/>
          <w:szCs w:val="15"/>
        </w:rPr>
      </w:pPr>
      <w:r>
        <w:rPr>
          <w:rFonts w:hint="eastAsia"/>
          <w:b/>
          <w:color w:val="auto"/>
          <w:spacing w:val="10"/>
          <w:kern w:val="2"/>
          <w:sz w:val="15"/>
          <w:szCs w:val="15"/>
        </w:rPr>
        <w:t>第六条</w:t>
      </w:r>
      <w:r>
        <w:rPr>
          <w:rFonts w:hint="eastAsia"/>
          <w:b/>
          <w:color w:val="auto"/>
          <w:spacing w:val="10"/>
          <w:kern w:val="2"/>
          <w:sz w:val="15"/>
          <w:szCs w:val="15"/>
        </w:rPr>
        <w:t xml:space="preserve"> </w:t>
      </w:r>
      <w:r>
        <w:rPr>
          <w:rFonts w:hint="eastAsia"/>
          <w:b/>
          <w:color w:val="auto"/>
          <w:spacing w:val="10"/>
          <w:kern w:val="2"/>
          <w:sz w:val="15"/>
          <w:szCs w:val="15"/>
        </w:rPr>
        <w:t>投资者信息保护</w:t>
      </w:r>
    </w:p>
    <w:p w14:paraId="247C10D0" w14:textId="77777777" w:rsidR="00A50A8D" w:rsidRDefault="00E168B6">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南银理财及销售机构承诺依法履行投资者信息保密义务，防范投资者信息被不当采集、使用、传输和泄露，保护</w:t>
      </w:r>
      <w:r>
        <w:rPr>
          <w:rFonts w:hint="eastAsia"/>
          <w:bCs/>
          <w:color w:val="auto"/>
          <w:spacing w:val="10"/>
          <w:kern w:val="2"/>
          <w:sz w:val="15"/>
          <w:szCs w:val="15"/>
        </w:rPr>
        <w:t>投资者的信息安全，法律法规另有规定，或有权机关另有要求的情形除外。</w:t>
      </w:r>
    </w:p>
    <w:p w14:paraId="77678133" w14:textId="77777777" w:rsidR="00A50A8D" w:rsidRDefault="00E168B6">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第七条</w:t>
      </w:r>
      <w:r>
        <w:rPr>
          <w:rFonts w:hint="eastAsia"/>
          <w:b/>
          <w:color w:val="auto"/>
          <w:spacing w:val="10"/>
          <w:kern w:val="2"/>
          <w:sz w:val="15"/>
          <w:szCs w:val="15"/>
        </w:rPr>
        <w:t xml:space="preserve"> </w:t>
      </w:r>
      <w:r>
        <w:rPr>
          <w:rFonts w:hint="eastAsia"/>
          <w:b/>
          <w:color w:val="auto"/>
          <w:spacing w:val="10"/>
          <w:kern w:val="2"/>
          <w:sz w:val="15"/>
          <w:szCs w:val="15"/>
        </w:rPr>
        <w:t>投资者投诉的方式和程序</w:t>
      </w:r>
    </w:p>
    <w:p w14:paraId="619AD310" w14:textId="77777777" w:rsidR="00A50A8D" w:rsidRDefault="00E168B6">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投资者若需针对产品的设计、成立、运作、到期清算或提前终止等事项进行投诉，</w:t>
      </w:r>
      <w:r>
        <w:rPr>
          <w:rFonts w:hint="eastAsia"/>
          <w:b/>
          <w:color w:val="auto"/>
          <w:spacing w:val="10"/>
          <w:kern w:val="2"/>
          <w:sz w:val="15"/>
          <w:szCs w:val="15"/>
        </w:rPr>
        <w:t>可与管理人或销售机构联系，管理人或销售机构将</w:t>
      </w:r>
      <w:r>
        <w:rPr>
          <w:rFonts w:hint="eastAsia"/>
          <w:b/>
          <w:color w:val="auto"/>
          <w:spacing w:val="10"/>
          <w:kern w:val="2"/>
          <w:sz w:val="15"/>
          <w:szCs w:val="15"/>
        </w:rPr>
        <w:t>及时接听、记录投资者的意见或建议，并</w:t>
      </w:r>
      <w:r>
        <w:rPr>
          <w:rFonts w:hint="eastAsia"/>
          <w:b/>
          <w:color w:val="auto"/>
          <w:spacing w:val="10"/>
          <w:kern w:val="2"/>
          <w:sz w:val="15"/>
          <w:szCs w:val="15"/>
        </w:rPr>
        <w:t>与投资者协商共同解决</w:t>
      </w:r>
      <w:r>
        <w:rPr>
          <w:rFonts w:hint="eastAsia"/>
          <w:bCs/>
          <w:color w:val="auto"/>
          <w:spacing w:val="10"/>
          <w:kern w:val="2"/>
          <w:sz w:val="15"/>
          <w:szCs w:val="15"/>
        </w:rPr>
        <w:t>。</w:t>
      </w:r>
    </w:p>
    <w:p w14:paraId="7BC418BD" w14:textId="77777777" w:rsidR="00A50A8D" w:rsidRDefault="00E168B6">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第八条</w:t>
      </w:r>
      <w:r>
        <w:rPr>
          <w:rFonts w:hint="eastAsia"/>
          <w:b/>
          <w:color w:val="auto"/>
          <w:spacing w:val="10"/>
          <w:kern w:val="2"/>
          <w:sz w:val="15"/>
          <w:szCs w:val="15"/>
        </w:rPr>
        <w:t xml:space="preserve"> </w:t>
      </w:r>
      <w:r>
        <w:rPr>
          <w:rFonts w:hint="eastAsia"/>
          <w:b/>
          <w:color w:val="auto"/>
          <w:spacing w:val="10"/>
          <w:kern w:val="2"/>
          <w:sz w:val="15"/>
          <w:szCs w:val="15"/>
        </w:rPr>
        <w:t>联</w:t>
      </w:r>
      <w:r>
        <w:rPr>
          <w:rFonts w:hint="eastAsia"/>
          <w:b/>
          <w:color w:val="auto"/>
          <w:spacing w:val="10"/>
          <w:kern w:val="2"/>
          <w:sz w:val="15"/>
          <w:szCs w:val="15"/>
        </w:rPr>
        <w:t>系</w:t>
      </w:r>
      <w:r>
        <w:rPr>
          <w:rFonts w:hint="eastAsia"/>
          <w:b/>
          <w:color w:val="auto"/>
          <w:spacing w:val="10"/>
          <w:kern w:val="2"/>
          <w:sz w:val="15"/>
          <w:szCs w:val="15"/>
        </w:rPr>
        <w:t>方式</w:t>
      </w:r>
    </w:p>
    <w:p w14:paraId="49EF634B" w14:textId="77777777" w:rsidR="00A50A8D" w:rsidRDefault="00E168B6">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在购买本理财产品前，请投资者确保完全明白本理财产品的性质、其中涉及的风险以及投资者的自身情况。投资者若对理财产品销售文件的内容有任何疑问，请向南银理财或销售机构各营业场所或营业网点咨询。联</w:t>
      </w:r>
      <w:r>
        <w:rPr>
          <w:rFonts w:hint="eastAsia"/>
          <w:b/>
          <w:color w:val="auto"/>
          <w:spacing w:val="10"/>
          <w:kern w:val="2"/>
          <w:sz w:val="15"/>
          <w:szCs w:val="15"/>
        </w:rPr>
        <w:t>系</w:t>
      </w:r>
      <w:r>
        <w:rPr>
          <w:rFonts w:hint="eastAsia"/>
          <w:b/>
          <w:color w:val="auto"/>
          <w:spacing w:val="10"/>
          <w:kern w:val="2"/>
          <w:sz w:val="15"/>
          <w:szCs w:val="15"/>
        </w:rPr>
        <w:t>方式分别如下：</w:t>
      </w:r>
    </w:p>
    <w:p w14:paraId="04DF1F3E" w14:textId="77777777" w:rsidR="00A50A8D" w:rsidRDefault="00E168B6">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（一）南银理财联</w:t>
      </w:r>
      <w:r>
        <w:rPr>
          <w:rFonts w:hint="eastAsia"/>
          <w:bCs/>
          <w:color w:val="auto"/>
          <w:spacing w:val="10"/>
          <w:kern w:val="2"/>
          <w:sz w:val="15"/>
          <w:szCs w:val="15"/>
        </w:rPr>
        <w:t>系</w:t>
      </w:r>
      <w:r>
        <w:rPr>
          <w:rFonts w:hint="eastAsia"/>
          <w:bCs/>
          <w:color w:val="auto"/>
          <w:spacing w:val="10"/>
          <w:kern w:val="2"/>
          <w:sz w:val="15"/>
          <w:szCs w:val="15"/>
        </w:rPr>
        <w:t>方式</w:t>
      </w:r>
    </w:p>
    <w:p w14:paraId="55A312E6" w14:textId="77777777" w:rsidR="00A50A8D" w:rsidRDefault="00E168B6">
      <w:pPr>
        <w:pStyle w:val="a5"/>
        <w:spacing w:before="0" w:after="0" w:line="240" w:lineRule="auto"/>
        <w:ind w:firstLineChars="200" w:firstLine="340"/>
        <w:rPr>
          <w:bCs/>
          <w:color w:val="auto"/>
          <w:spacing w:val="10"/>
          <w:kern w:val="2"/>
          <w:sz w:val="15"/>
          <w:szCs w:val="15"/>
        </w:rPr>
      </w:pPr>
      <w:permStart w:id="1365342868" w:edGrp="everyone"/>
      <w:r>
        <w:rPr>
          <w:rFonts w:hint="eastAsia"/>
          <w:bCs/>
          <w:color w:val="auto"/>
          <w:spacing w:val="10"/>
          <w:kern w:val="2"/>
          <w:sz w:val="15"/>
          <w:szCs w:val="15"/>
        </w:rPr>
        <w:t xml:space="preserve"> </w:t>
      </w:r>
      <w:r>
        <w:rPr>
          <w:rFonts w:hint="eastAsia"/>
          <w:bCs/>
          <w:color w:val="auto"/>
          <w:spacing w:val="10"/>
          <w:kern w:val="2"/>
          <w:sz w:val="15"/>
          <w:szCs w:val="15"/>
        </w:rPr>
        <w:t>地址：</w:t>
      </w:r>
      <w:r>
        <w:rPr>
          <w:bCs/>
          <w:color w:val="auto"/>
          <w:spacing w:val="10"/>
          <w:kern w:val="2"/>
          <w:sz w:val="15"/>
          <w:szCs w:val="15"/>
        </w:rPr>
        <w:t>南京市建邺区庐山路</w:t>
      </w:r>
      <w:r>
        <w:rPr>
          <w:bCs/>
          <w:color w:val="auto"/>
          <w:spacing w:val="10"/>
          <w:kern w:val="2"/>
          <w:sz w:val="15"/>
          <w:szCs w:val="15"/>
        </w:rPr>
        <w:t>242</w:t>
      </w:r>
      <w:r>
        <w:rPr>
          <w:bCs/>
          <w:color w:val="auto"/>
          <w:spacing w:val="10"/>
          <w:kern w:val="2"/>
          <w:sz w:val="15"/>
          <w:szCs w:val="15"/>
        </w:rPr>
        <w:t>号</w:t>
      </w:r>
      <w:r>
        <w:rPr>
          <w:bCs/>
          <w:color w:val="auto"/>
          <w:spacing w:val="10"/>
          <w:kern w:val="2"/>
          <w:sz w:val="15"/>
          <w:szCs w:val="15"/>
        </w:rPr>
        <w:t>2</w:t>
      </w:r>
      <w:r>
        <w:rPr>
          <w:bCs/>
          <w:color w:val="auto"/>
          <w:spacing w:val="10"/>
          <w:kern w:val="2"/>
          <w:sz w:val="15"/>
          <w:szCs w:val="15"/>
        </w:rPr>
        <w:t>号楼</w:t>
      </w:r>
      <w:r>
        <w:rPr>
          <w:bCs/>
          <w:color w:val="auto"/>
          <w:spacing w:val="10"/>
          <w:kern w:val="2"/>
          <w:sz w:val="15"/>
          <w:szCs w:val="15"/>
        </w:rPr>
        <w:t>14-16</w:t>
      </w:r>
      <w:r>
        <w:rPr>
          <w:bCs/>
          <w:color w:val="auto"/>
          <w:spacing w:val="10"/>
          <w:kern w:val="2"/>
          <w:sz w:val="15"/>
          <w:szCs w:val="15"/>
        </w:rPr>
        <w:t>层</w:t>
      </w:r>
    </w:p>
    <w:p w14:paraId="22DDCDD5" w14:textId="77777777" w:rsidR="00A50A8D" w:rsidRDefault="00E168B6">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电话：</w:t>
      </w:r>
      <w:r>
        <w:rPr>
          <w:rFonts w:hint="eastAsia"/>
          <w:bCs/>
          <w:color w:val="auto"/>
          <w:spacing w:val="10"/>
          <w:kern w:val="2"/>
          <w:sz w:val="15"/>
          <w:szCs w:val="15"/>
        </w:rPr>
        <w:t>4001195302</w:t>
      </w:r>
      <w:r>
        <w:rPr>
          <w:rFonts w:hint="eastAsia"/>
          <w:bCs/>
          <w:color w:val="auto"/>
          <w:spacing w:val="10"/>
          <w:kern w:val="2"/>
          <w:sz w:val="15"/>
          <w:szCs w:val="15"/>
        </w:rPr>
        <w:t xml:space="preserve"> </w:t>
      </w:r>
      <w:permEnd w:id="1365342868"/>
    </w:p>
    <w:p w14:paraId="6D844549" w14:textId="77777777" w:rsidR="00A50A8D" w:rsidRDefault="00E168B6">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（二）销售机构联</w:t>
      </w:r>
      <w:r>
        <w:rPr>
          <w:rFonts w:hint="eastAsia"/>
          <w:bCs/>
          <w:color w:val="auto"/>
          <w:spacing w:val="10"/>
          <w:kern w:val="2"/>
          <w:sz w:val="15"/>
          <w:szCs w:val="15"/>
        </w:rPr>
        <w:t>系</w:t>
      </w:r>
      <w:r>
        <w:rPr>
          <w:rFonts w:hint="eastAsia"/>
          <w:bCs/>
          <w:color w:val="auto"/>
          <w:spacing w:val="10"/>
          <w:kern w:val="2"/>
          <w:sz w:val="15"/>
          <w:szCs w:val="15"/>
        </w:rPr>
        <w:t>方式</w:t>
      </w:r>
    </w:p>
    <w:p w14:paraId="35FFD378" w14:textId="77777777" w:rsidR="00A50A8D" w:rsidRDefault="00E168B6">
      <w:pPr>
        <w:pStyle w:val="a5"/>
        <w:spacing w:before="0" w:after="0" w:line="240" w:lineRule="auto"/>
        <w:ind w:firstLineChars="200" w:firstLine="341"/>
        <w:rPr>
          <w:bCs/>
          <w:color w:val="auto"/>
          <w:spacing w:val="10"/>
          <w:kern w:val="2"/>
          <w:sz w:val="15"/>
          <w:szCs w:val="15"/>
        </w:rPr>
      </w:pPr>
      <w:permStart w:id="706168513" w:edGrp="everyone"/>
      <w:r>
        <w:rPr>
          <w:rFonts w:hint="eastAsia"/>
          <w:b/>
          <w:color w:val="auto"/>
          <w:spacing w:val="10"/>
          <w:kern w:val="2"/>
          <w:sz w:val="15"/>
          <w:szCs w:val="15"/>
        </w:rPr>
        <w:t xml:space="preserve"> </w:t>
      </w:r>
      <w:r>
        <w:rPr>
          <w:rFonts w:hint="eastAsia"/>
          <w:bCs/>
          <w:color w:val="auto"/>
          <w:spacing w:val="10"/>
          <w:kern w:val="2"/>
          <w:sz w:val="15"/>
          <w:szCs w:val="15"/>
        </w:rPr>
        <w:t>张家港市杨舍镇人民中路</w:t>
      </w:r>
      <w:r>
        <w:rPr>
          <w:rFonts w:hint="eastAsia"/>
          <w:bCs/>
          <w:color w:val="auto"/>
          <w:spacing w:val="10"/>
          <w:kern w:val="2"/>
          <w:sz w:val="15"/>
          <w:szCs w:val="15"/>
        </w:rPr>
        <w:t>66</w:t>
      </w:r>
      <w:r>
        <w:rPr>
          <w:rFonts w:hint="eastAsia"/>
          <w:bCs/>
          <w:color w:val="auto"/>
          <w:spacing w:val="10"/>
          <w:kern w:val="2"/>
          <w:sz w:val="15"/>
          <w:szCs w:val="15"/>
        </w:rPr>
        <w:t>号</w:t>
      </w:r>
    </w:p>
    <w:p w14:paraId="132B4E52" w14:textId="77777777" w:rsidR="00A50A8D" w:rsidRDefault="00E168B6">
      <w:pPr>
        <w:pStyle w:val="a5"/>
        <w:spacing w:before="0" w:after="0" w:line="240" w:lineRule="auto"/>
        <w:ind w:firstLineChars="250" w:firstLine="425"/>
        <w:rPr>
          <w:bCs/>
          <w:color w:val="auto"/>
          <w:spacing w:val="10"/>
          <w:kern w:val="2"/>
          <w:sz w:val="15"/>
          <w:szCs w:val="15"/>
        </w:rPr>
      </w:pPr>
      <w:r>
        <w:rPr>
          <w:rFonts w:hint="eastAsia"/>
          <w:bCs/>
          <w:color w:val="auto"/>
          <w:spacing w:val="10"/>
          <w:kern w:val="2"/>
          <w:sz w:val="15"/>
          <w:szCs w:val="15"/>
        </w:rPr>
        <w:t>电话：</w:t>
      </w:r>
      <w:r>
        <w:rPr>
          <w:rFonts w:hint="eastAsia"/>
          <w:bCs/>
          <w:color w:val="auto"/>
          <w:spacing w:val="10"/>
          <w:kern w:val="2"/>
          <w:sz w:val="15"/>
          <w:szCs w:val="15"/>
        </w:rPr>
        <w:t>0512-56960032</w:t>
      </w:r>
    </w:p>
    <w:p w14:paraId="315864D8" w14:textId="77777777" w:rsidR="00A50A8D" w:rsidRDefault="00E168B6">
      <w:pPr>
        <w:pStyle w:val="a5"/>
        <w:spacing w:before="0" w:after="0" w:line="240" w:lineRule="auto"/>
        <w:ind w:firstLineChars="250" w:firstLine="425"/>
        <w:rPr>
          <w:b/>
          <w:color w:val="auto"/>
          <w:spacing w:val="10"/>
          <w:kern w:val="2"/>
          <w:sz w:val="15"/>
          <w:szCs w:val="15"/>
        </w:rPr>
      </w:pPr>
      <w:r>
        <w:rPr>
          <w:rFonts w:hint="eastAsia"/>
          <w:bCs/>
          <w:color w:val="auto"/>
          <w:spacing w:val="10"/>
          <w:kern w:val="2"/>
          <w:sz w:val="15"/>
          <w:szCs w:val="15"/>
          <w:lang w:eastAsia="zh-Hans"/>
        </w:rPr>
        <w:t>官网</w:t>
      </w:r>
      <w:r>
        <w:rPr>
          <w:bCs/>
          <w:color w:val="auto"/>
          <w:spacing w:val="10"/>
          <w:kern w:val="2"/>
          <w:sz w:val="15"/>
          <w:szCs w:val="15"/>
          <w:lang w:eastAsia="zh-Hans"/>
        </w:rPr>
        <w:t>：</w:t>
      </w:r>
      <w:r>
        <w:rPr>
          <w:rFonts w:hint="eastAsia"/>
          <w:bCs/>
          <w:color w:val="auto"/>
          <w:spacing w:val="10"/>
          <w:kern w:val="2"/>
          <w:sz w:val="15"/>
          <w:szCs w:val="15"/>
        </w:rPr>
        <w:t xml:space="preserve">https://www.zrcbank.com </w:t>
      </w:r>
    </w:p>
    <w:permEnd w:id="706168513"/>
    <w:p w14:paraId="4C191CCA" w14:textId="77777777" w:rsidR="00A50A8D" w:rsidRDefault="00A50A8D">
      <w:pPr>
        <w:pStyle w:val="a5"/>
        <w:spacing w:before="0" w:after="0" w:line="240" w:lineRule="auto"/>
        <w:ind w:firstLine="0"/>
        <w:jc w:val="both"/>
        <w:rPr>
          <w:b/>
          <w:color w:val="auto"/>
          <w:spacing w:val="10"/>
          <w:kern w:val="2"/>
          <w:sz w:val="15"/>
          <w:szCs w:val="15"/>
          <w:u w:val="single"/>
        </w:rPr>
      </w:pPr>
    </w:p>
    <w:p w14:paraId="0474B733" w14:textId="77777777" w:rsidR="00A50A8D" w:rsidRDefault="00E168B6">
      <w:pPr>
        <w:pStyle w:val="a5"/>
        <w:spacing w:before="0" w:after="0" w:line="240" w:lineRule="auto"/>
        <w:ind w:firstLine="0"/>
        <w:jc w:val="center"/>
        <w:rPr>
          <w:b/>
          <w:color w:val="auto"/>
          <w:spacing w:val="10"/>
          <w:kern w:val="2"/>
          <w:sz w:val="15"/>
          <w:szCs w:val="15"/>
          <w:u w:val="single"/>
        </w:rPr>
      </w:pPr>
      <w:r>
        <w:rPr>
          <w:rFonts w:hint="eastAsia"/>
          <w:b/>
          <w:color w:val="auto"/>
          <w:spacing w:val="10"/>
          <w:kern w:val="2"/>
          <w:sz w:val="15"/>
          <w:szCs w:val="15"/>
          <w:u w:val="single"/>
        </w:rPr>
        <w:t>仔细阅读提示</w:t>
      </w:r>
    </w:p>
    <w:p w14:paraId="69490889" w14:textId="77777777" w:rsidR="00A50A8D" w:rsidRDefault="00E168B6">
      <w:pPr>
        <w:ind w:firstLineChars="200" w:firstLine="341"/>
        <w:rPr>
          <w:b/>
          <w:spacing w:val="10"/>
          <w:sz w:val="15"/>
          <w:szCs w:val="15"/>
          <w:u w:val="single"/>
        </w:rPr>
      </w:pPr>
      <w:r>
        <w:rPr>
          <w:rFonts w:hint="eastAsia"/>
          <w:b/>
          <w:spacing w:val="10"/>
          <w:sz w:val="15"/>
          <w:szCs w:val="15"/>
          <w:u w:val="single"/>
        </w:rPr>
        <w:t>请投资者务必仔细阅读本理财产品销售文件，包括但不限于本理财产品对应的《理财产品销售协议书》《理财产品说明书》《理财产品风险揭示书》《投资者权益须知》《理财产品投资协议书》等，了解理财产品具体情况，关注投资风险，自主决定是否投资。</w:t>
      </w:r>
    </w:p>
    <w:p w14:paraId="7FA32330" w14:textId="77777777" w:rsidR="00A50A8D" w:rsidRDefault="00A50A8D"/>
    <w:p w14:paraId="27B5942F" w14:textId="77777777" w:rsidR="00A50A8D" w:rsidRDefault="00A50A8D">
      <w:pPr>
        <w:pStyle w:val="1"/>
      </w:pPr>
    </w:p>
    <w:p w14:paraId="729C558E" w14:textId="77777777" w:rsidR="00A50A8D" w:rsidRDefault="00A50A8D"/>
    <w:p w14:paraId="6E4B0512" w14:textId="77777777" w:rsidR="00A50A8D" w:rsidRDefault="00A50A8D">
      <w:pPr>
        <w:pStyle w:val="1"/>
      </w:pPr>
    </w:p>
    <w:p w14:paraId="5D727912" w14:textId="77777777" w:rsidR="00A50A8D" w:rsidRDefault="00A50A8D"/>
    <w:p w14:paraId="46E2C9FF" w14:textId="77777777" w:rsidR="00A50A8D" w:rsidRDefault="00A50A8D">
      <w:pPr>
        <w:pStyle w:val="1"/>
      </w:pPr>
    </w:p>
    <w:p w14:paraId="40517F32" w14:textId="77777777" w:rsidR="00A50A8D" w:rsidRDefault="00A50A8D"/>
    <w:p w14:paraId="697245C9" w14:textId="77777777" w:rsidR="00A50A8D" w:rsidRDefault="00A50A8D">
      <w:pPr>
        <w:pStyle w:val="1"/>
      </w:pPr>
    </w:p>
    <w:p w14:paraId="558CEC77" w14:textId="77777777" w:rsidR="00A50A8D" w:rsidRDefault="00A50A8D"/>
    <w:p w14:paraId="5C445CBA" w14:textId="77777777" w:rsidR="00A50A8D" w:rsidRDefault="00A50A8D">
      <w:pPr>
        <w:pStyle w:val="1"/>
      </w:pPr>
    </w:p>
    <w:p w14:paraId="1E25ADA5" w14:textId="77777777" w:rsidR="00A50A8D" w:rsidRDefault="00A50A8D"/>
    <w:p w14:paraId="6D8B1982" w14:textId="77777777" w:rsidR="00A50A8D" w:rsidRDefault="00A50A8D">
      <w:pPr>
        <w:pStyle w:val="1"/>
      </w:pPr>
    </w:p>
    <w:p w14:paraId="0AB8A77A" w14:textId="77777777" w:rsidR="00A50A8D" w:rsidRDefault="00A50A8D"/>
    <w:p w14:paraId="66610E49" w14:textId="77777777" w:rsidR="00A50A8D" w:rsidRDefault="00A50A8D">
      <w:pPr>
        <w:pStyle w:val="1"/>
      </w:pPr>
    </w:p>
    <w:p w14:paraId="2CA6B8D0" w14:textId="77777777" w:rsidR="00A50A8D" w:rsidRDefault="00A50A8D"/>
    <w:p w14:paraId="2C4A73AC" w14:textId="77777777" w:rsidR="00A50A8D" w:rsidRDefault="00A50A8D">
      <w:pPr>
        <w:pStyle w:val="1"/>
      </w:pPr>
    </w:p>
    <w:p w14:paraId="4DEE52FB" w14:textId="77777777" w:rsidR="00A50A8D" w:rsidRDefault="00A50A8D"/>
    <w:p w14:paraId="6381603C" w14:textId="77777777" w:rsidR="00A50A8D" w:rsidRDefault="00A50A8D">
      <w:pPr>
        <w:pStyle w:val="1"/>
      </w:pPr>
    </w:p>
    <w:p w14:paraId="6355CC72" w14:textId="77777777" w:rsidR="00A50A8D" w:rsidRDefault="00A50A8D"/>
    <w:p w14:paraId="0CC74BB0" w14:textId="77777777" w:rsidR="00A50A8D" w:rsidRDefault="00A50A8D">
      <w:pPr>
        <w:pStyle w:val="1"/>
      </w:pPr>
    </w:p>
    <w:p w14:paraId="7B1260A3" w14:textId="77777777" w:rsidR="00A50A8D" w:rsidRDefault="00A50A8D"/>
    <w:p w14:paraId="5F85EFE9" w14:textId="77777777" w:rsidR="00A50A8D" w:rsidRDefault="00A50A8D">
      <w:pPr>
        <w:pStyle w:val="1"/>
      </w:pPr>
    </w:p>
    <w:p w14:paraId="46D0895B" w14:textId="77777777" w:rsidR="00A50A8D" w:rsidRDefault="00A50A8D"/>
    <w:p w14:paraId="0D6118FF" w14:textId="77777777" w:rsidR="00A50A8D" w:rsidRDefault="00A50A8D">
      <w:pPr>
        <w:pStyle w:val="1"/>
      </w:pPr>
    </w:p>
    <w:p w14:paraId="4487D396" w14:textId="77777777" w:rsidR="00A50A8D" w:rsidRDefault="00A50A8D"/>
    <w:p w14:paraId="15AB0833" w14:textId="77777777" w:rsidR="00A50A8D" w:rsidRDefault="00A50A8D">
      <w:pPr>
        <w:pStyle w:val="1"/>
      </w:pPr>
    </w:p>
    <w:p w14:paraId="45A66F14" w14:textId="77777777" w:rsidR="00A50A8D" w:rsidRDefault="00A50A8D"/>
    <w:p w14:paraId="62F1D9D2" w14:textId="77777777" w:rsidR="00A50A8D" w:rsidRDefault="00A50A8D">
      <w:pPr>
        <w:pStyle w:val="11"/>
        <w:spacing w:line="300" w:lineRule="auto"/>
        <w:ind w:firstLineChars="0" w:firstLine="0"/>
        <w:jc w:val="center"/>
        <w:rPr>
          <w:rFonts w:ascii="方正黑体_GBK" w:eastAsia="方正黑体_GBK" w:hAnsi="宋体" w:cs="FZSSK--GBK1-0"/>
          <w:b/>
          <w:kern w:val="0"/>
          <w:sz w:val="24"/>
          <w:szCs w:val="24"/>
        </w:rPr>
      </w:pPr>
    </w:p>
    <w:p w14:paraId="515EAEA9" w14:textId="77777777" w:rsidR="00A50A8D" w:rsidRDefault="00A50A8D">
      <w:pPr>
        <w:pStyle w:val="11"/>
        <w:spacing w:line="300" w:lineRule="auto"/>
        <w:ind w:firstLineChars="0" w:firstLine="0"/>
        <w:jc w:val="center"/>
        <w:rPr>
          <w:rFonts w:ascii="方正黑体_GBK" w:eastAsia="方正黑体_GBK" w:hAnsi="宋体" w:cs="FZSSK--GBK1-0"/>
          <w:b/>
          <w:kern w:val="0"/>
          <w:sz w:val="24"/>
          <w:szCs w:val="24"/>
        </w:rPr>
      </w:pPr>
    </w:p>
    <w:p w14:paraId="586D5D2B" w14:textId="77777777" w:rsidR="00A50A8D" w:rsidRDefault="00E168B6">
      <w:pPr>
        <w:pStyle w:val="11"/>
        <w:spacing w:line="300" w:lineRule="auto"/>
        <w:ind w:firstLineChars="0" w:firstLine="0"/>
        <w:jc w:val="center"/>
        <w:rPr>
          <w:rFonts w:ascii="方正黑体_GBK" w:eastAsia="方正黑体_GBK" w:hAnsi="宋体" w:cs="宋体"/>
          <w:b/>
          <w:sz w:val="24"/>
          <w:szCs w:val="24"/>
        </w:rPr>
      </w:pPr>
      <w:r>
        <w:rPr>
          <w:rFonts w:ascii="方正黑体_GBK" w:eastAsia="方正黑体_GBK" w:hAnsi="宋体" w:cs="FZSSK--GBK1-0" w:hint="eastAsia"/>
          <w:b/>
          <w:kern w:val="0"/>
          <w:sz w:val="24"/>
          <w:szCs w:val="24"/>
        </w:rPr>
        <w:t>理财产品投资协议书</w:t>
      </w:r>
    </w:p>
    <w:p w14:paraId="157899BC" w14:textId="77777777" w:rsidR="00A50A8D" w:rsidRDefault="00E168B6">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经南银理财有限责任公司（下称“甲方”或“理财产品管理人”）与投资者（下称“乙方”）协商一致，就乙方购买的对应期次理财产品投资事宜，达成如下协议：</w:t>
      </w:r>
    </w:p>
    <w:p w14:paraId="0A52A5B0" w14:textId="77777777" w:rsidR="00A50A8D" w:rsidRDefault="00E168B6">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一、重要提示</w:t>
      </w:r>
    </w:p>
    <w:p w14:paraId="3DEA758E" w14:textId="77777777" w:rsidR="00A50A8D" w:rsidRDefault="00E168B6">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b/>
          <w:sz w:val="15"/>
          <w:szCs w:val="15"/>
        </w:rPr>
        <w:t>理财非存款、产品有风险、投资须谨慎。</w:t>
      </w:r>
      <w:r>
        <w:rPr>
          <w:rFonts w:ascii="方正黑体_GBK" w:eastAsia="方正黑体_GBK" w:hAnsi="宋体" w:cs="宋体" w:hint="eastAsia"/>
          <w:sz w:val="15"/>
          <w:szCs w:val="15"/>
        </w:rPr>
        <w:t>理财产品面临的风险详见对应期次《理财产品风险揭示书》和《理财产品说明书》的详细条款，乙方应仔细阅读并充分理解对应期次理财产品可能发生的风险。</w:t>
      </w:r>
    </w:p>
    <w:p w14:paraId="0DA8CC95" w14:textId="77777777" w:rsidR="00A50A8D" w:rsidRDefault="00E168B6">
      <w:pPr>
        <w:pStyle w:val="11"/>
        <w:spacing w:line="300" w:lineRule="auto"/>
        <w:ind w:firstLineChars="0" w:firstLine="442"/>
        <w:rPr>
          <w:rFonts w:ascii="方正黑体_GBK" w:eastAsia="方正黑体_GBK" w:hAnsi="宋体" w:cs="宋体"/>
          <w:sz w:val="15"/>
          <w:szCs w:val="15"/>
        </w:rPr>
      </w:pPr>
      <w:r>
        <w:rPr>
          <w:rFonts w:ascii="方正黑体_GBK" w:eastAsia="方正黑体_GBK" w:hAnsi="宋体" w:cs="宋体" w:hint="eastAsia"/>
          <w:b/>
          <w:bCs/>
          <w:sz w:val="15"/>
          <w:szCs w:val="15"/>
        </w:rPr>
        <w:t>本协议为理财产品销售文件不可分割之组成部分，乙方签署本协议（含电子渠道）视为已详细阅读过本协议及完整理财产品完整销售文件并且充分理解本理财产品销售文件各项条款和潜在风险，自愿购买本理财产品，同意、确认并遵守对应期次的《理财产品说明书》《理财产品风险揭示书》《理财产品销售协议书》及《投资者权益须知》等完整理财产品销售文件中的各项条款。</w:t>
      </w:r>
    </w:p>
    <w:p w14:paraId="0BB4B679" w14:textId="77777777" w:rsidR="00A50A8D" w:rsidRDefault="00E168B6">
      <w:pPr>
        <w:pStyle w:val="11"/>
        <w:spacing w:line="300" w:lineRule="auto"/>
        <w:ind w:firstLine="301"/>
        <w:rPr>
          <w:rFonts w:ascii="方正黑体_GBK" w:eastAsia="方正黑体_GBK" w:hAnsi="宋体" w:cs="宋体"/>
          <w:b/>
          <w:sz w:val="15"/>
          <w:szCs w:val="15"/>
        </w:rPr>
      </w:pPr>
      <w:r>
        <w:rPr>
          <w:rFonts w:ascii="方正黑体_GBK" w:eastAsia="方正黑体_GBK" w:hAnsi="宋体" w:cs="宋体" w:hint="eastAsia"/>
          <w:b/>
          <w:sz w:val="15"/>
          <w:szCs w:val="15"/>
        </w:rPr>
        <w:t>二、双方权利与义务</w:t>
      </w:r>
    </w:p>
    <w:p w14:paraId="2089493A" w14:textId="77777777" w:rsidR="00A50A8D" w:rsidRDefault="00E168B6">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（一）甲方的权利与义务</w:t>
      </w:r>
    </w:p>
    <w:p w14:paraId="31192945" w14:textId="77777777" w:rsidR="00A50A8D" w:rsidRDefault="00E168B6">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1.</w:t>
      </w:r>
      <w:r>
        <w:rPr>
          <w:rFonts w:ascii="方正黑体_GBK" w:eastAsia="方正黑体_GBK" w:hAnsi="宋体" w:cs="宋体" w:hint="eastAsia"/>
          <w:sz w:val="15"/>
          <w:szCs w:val="15"/>
        </w:rPr>
        <w:t>甲方应当履行恪尽职守、勤勉尽责、诚实守信、有效管理的义务。</w:t>
      </w:r>
    </w:p>
    <w:p w14:paraId="7D97A2A0" w14:textId="77777777" w:rsidR="00A50A8D" w:rsidRDefault="00E168B6">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2.</w:t>
      </w:r>
      <w:r>
        <w:rPr>
          <w:rFonts w:ascii="方正黑体_GBK" w:eastAsia="方正黑体_GBK" w:hAnsi="宋体" w:cs="宋体" w:hint="eastAsia"/>
          <w:sz w:val="15"/>
          <w:szCs w:val="15"/>
        </w:rPr>
        <w:t>按照法律法规及对应期次《理财产品说明书》约定的投资范围和权限内，</w:t>
      </w:r>
      <w:r>
        <w:rPr>
          <w:rFonts w:ascii="方正黑体_GBK" w:eastAsia="方正黑体_GBK" w:hAnsi="宋体" w:cs="宋体" w:hint="eastAsia"/>
          <w:sz w:val="15"/>
          <w:szCs w:val="15"/>
        </w:rPr>
        <w:t>甲方拥有管理和运用理财资金的权利。</w:t>
      </w:r>
    </w:p>
    <w:p w14:paraId="4351304E" w14:textId="77777777" w:rsidR="00A50A8D" w:rsidRDefault="00E168B6">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3.</w:t>
      </w:r>
      <w:r>
        <w:rPr>
          <w:rFonts w:ascii="方正黑体_GBK" w:eastAsia="方正黑体_GBK" w:hAnsi="宋体" w:cs="宋体" w:hint="eastAsia"/>
          <w:sz w:val="15"/>
          <w:szCs w:val="15"/>
        </w:rPr>
        <w:t>甲方应当按照对应期次《理财产品说明书》的约定向乙方分配收益。</w:t>
      </w:r>
    </w:p>
    <w:p w14:paraId="610E8C47" w14:textId="77777777" w:rsidR="00A50A8D" w:rsidRDefault="00E168B6">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4.</w:t>
      </w:r>
      <w:r>
        <w:rPr>
          <w:rFonts w:ascii="方正黑体_GBK" w:eastAsia="方正黑体_GBK" w:hAnsi="宋体" w:cs="宋体" w:hint="eastAsia"/>
          <w:sz w:val="15"/>
          <w:szCs w:val="15"/>
        </w:rPr>
        <w:t>甲方有权按照对应期次《理财产品说明书》的约定收取相应费用。</w:t>
      </w:r>
    </w:p>
    <w:p w14:paraId="1B907EF1" w14:textId="77777777" w:rsidR="00A50A8D" w:rsidRDefault="00E168B6">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5.</w:t>
      </w:r>
      <w:r>
        <w:rPr>
          <w:rFonts w:ascii="方正黑体_GBK" w:eastAsia="方正黑体_GBK" w:hAnsi="宋体" w:cs="宋体" w:hint="eastAsia"/>
          <w:sz w:val="15"/>
          <w:szCs w:val="15"/>
        </w:rPr>
        <w:t>由于投资管理或者获取投资标的的需要，甲方有权决定以理财产品财产支付产品运作和清算中产生的其他资金汇划费、结算费、交易手续费、注册登记费、信息披露费、账户服务费、审计费、律师费、投后管理费、项目推荐费、财务顾问费和《理财产品说明书》约定的其他应由理财产品承担的费用等，在实际发生时列支。</w:t>
      </w:r>
    </w:p>
    <w:p w14:paraId="6A179D30" w14:textId="77777777" w:rsidR="00A50A8D" w:rsidRDefault="00E168B6">
      <w:pPr>
        <w:pStyle w:val="11"/>
        <w:spacing w:line="300" w:lineRule="auto"/>
        <w:ind w:firstLine="300"/>
        <w:rPr>
          <w:rFonts w:ascii="方正黑体_GBK" w:eastAsia="方正黑体_GBK" w:hAnsi="宋体" w:cs="宋体"/>
          <w:b/>
          <w:bCs/>
          <w:sz w:val="15"/>
          <w:szCs w:val="15"/>
        </w:rPr>
      </w:pPr>
      <w:r>
        <w:rPr>
          <w:rFonts w:ascii="方正黑体_GBK" w:eastAsia="方正黑体_GBK" w:hAnsi="宋体" w:cs="宋体" w:hint="eastAsia"/>
          <w:sz w:val="15"/>
          <w:szCs w:val="15"/>
        </w:rPr>
        <w:t>6.</w:t>
      </w:r>
      <w:r>
        <w:rPr>
          <w:rFonts w:ascii="方正黑体_GBK" w:eastAsia="方正黑体_GBK" w:hAnsi="宋体" w:cs="宋体" w:hint="eastAsia"/>
          <w:sz w:val="15"/>
          <w:szCs w:val="15"/>
        </w:rPr>
        <w:t>甲方作为理财产品管理人，全权负责理财产品资金的运用和</w:t>
      </w:r>
      <w:r>
        <w:rPr>
          <w:rFonts w:ascii="方正黑体_GBK" w:eastAsia="方正黑体_GBK" w:hAnsi="宋体" w:cs="宋体" w:hint="eastAsia"/>
          <w:sz w:val="15"/>
          <w:szCs w:val="15"/>
        </w:rPr>
        <w:t>理财产品资产的管理，有权参加与理财产品所投资资产相关的所有会议，并对相关事项进行表决；甲方应代表乙方利益，按照法律法规和监管部门相关规定对理财产品投资产生的风险资产进行多种方式的处置，包括但不限于转让、重组、债转股、资产证券化、催收、抵债资产收取与处置、破产重整等；在理财产品运作过程中发生任何争议，甲方以管理人的名义代表理财产品进行维权，包括但不限于提起诉讼</w:t>
      </w:r>
      <w:r>
        <w:rPr>
          <w:rFonts w:ascii="方正黑体_GBK" w:eastAsia="方正黑体_GBK" w:hAnsi="宋体" w:cs="宋体" w:hint="eastAsia"/>
          <w:sz w:val="15"/>
          <w:szCs w:val="15"/>
        </w:rPr>
        <w:t>/</w:t>
      </w:r>
      <w:r>
        <w:rPr>
          <w:rFonts w:ascii="方正黑体_GBK" w:eastAsia="方正黑体_GBK" w:hAnsi="宋体" w:cs="宋体" w:hint="eastAsia"/>
          <w:sz w:val="15"/>
          <w:szCs w:val="15"/>
        </w:rPr>
        <w:t>仲裁、申请保全</w:t>
      </w:r>
      <w:r>
        <w:rPr>
          <w:rFonts w:ascii="方正黑体_GBK" w:eastAsia="方正黑体_GBK" w:hAnsi="宋体" w:cs="宋体" w:hint="eastAsia"/>
          <w:sz w:val="15"/>
          <w:szCs w:val="15"/>
        </w:rPr>
        <w:t>/</w:t>
      </w:r>
      <w:r>
        <w:rPr>
          <w:rFonts w:ascii="方正黑体_GBK" w:eastAsia="方正黑体_GBK" w:hAnsi="宋体" w:cs="宋体" w:hint="eastAsia"/>
          <w:sz w:val="15"/>
          <w:szCs w:val="15"/>
        </w:rPr>
        <w:t>执行等，由此产生的费用由理财产品承担，在实际发生时列支。</w:t>
      </w:r>
    </w:p>
    <w:p w14:paraId="30836E96" w14:textId="77777777" w:rsidR="00A50A8D" w:rsidRDefault="00E168B6">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7.</w:t>
      </w:r>
      <w:r>
        <w:rPr>
          <w:rFonts w:ascii="方正黑体_GBK" w:eastAsia="方正黑体_GBK" w:hAnsi="宋体" w:cs="宋体" w:hint="eastAsia"/>
          <w:sz w:val="15"/>
          <w:szCs w:val="15"/>
        </w:rPr>
        <w:t>甲方有权根据产品运作的需要选任必要的业务合作机构，并确定合作模式等相关内</w:t>
      </w:r>
      <w:r>
        <w:rPr>
          <w:rFonts w:ascii="方正黑体_GBK" w:eastAsia="方正黑体_GBK" w:hAnsi="宋体" w:cs="宋体" w:hint="eastAsia"/>
          <w:sz w:val="15"/>
          <w:szCs w:val="15"/>
        </w:rPr>
        <w:t>容。</w:t>
      </w:r>
    </w:p>
    <w:p w14:paraId="5C06AE83" w14:textId="77777777" w:rsidR="00A50A8D" w:rsidRDefault="00E168B6">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sz w:val="15"/>
          <w:szCs w:val="15"/>
        </w:rPr>
        <w:t>8.</w:t>
      </w:r>
      <w:r>
        <w:rPr>
          <w:rFonts w:ascii="方正黑体_GBK" w:eastAsia="方正黑体_GBK" w:hAnsi="宋体" w:cs="宋体" w:hint="eastAsia"/>
          <w:b/>
          <w:bCs/>
          <w:sz w:val="15"/>
          <w:szCs w:val="15"/>
        </w:rPr>
        <w:t>在本理财产品存续期内：</w:t>
      </w:r>
    </w:p>
    <w:p w14:paraId="06C2FE89" w14:textId="77777777" w:rsidR="00A50A8D" w:rsidRDefault="00E168B6">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b/>
          <w:bCs/>
          <w:sz w:val="15"/>
          <w:szCs w:val="15"/>
        </w:rPr>
        <w:t>（</w:t>
      </w:r>
      <w:r>
        <w:rPr>
          <w:rFonts w:ascii="方正黑体_GBK" w:eastAsia="方正黑体_GBK" w:hAnsi="宋体" w:cs="宋体" w:hint="eastAsia"/>
          <w:b/>
          <w:bCs/>
          <w:sz w:val="15"/>
          <w:szCs w:val="15"/>
        </w:rPr>
        <w:t>1</w:t>
      </w:r>
      <w:r>
        <w:rPr>
          <w:rFonts w:ascii="方正黑体_GBK" w:eastAsia="方正黑体_GBK" w:hAnsi="宋体" w:cs="宋体" w:hint="eastAsia"/>
          <w:b/>
          <w:bCs/>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752B0403" w14:textId="77777777" w:rsidR="00A50A8D" w:rsidRDefault="00E168B6">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b/>
          <w:bCs/>
          <w:sz w:val="15"/>
          <w:szCs w:val="15"/>
        </w:rPr>
        <w:t>（</w:t>
      </w:r>
      <w:r>
        <w:rPr>
          <w:rFonts w:ascii="方正黑体_GBK" w:eastAsia="方正黑体_GBK" w:hAnsi="宋体" w:cs="宋体" w:hint="eastAsia"/>
          <w:b/>
          <w:bCs/>
          <w:sz w:val="15"/>
          <w:szCs w:val="15"/>
        </w:rPr>
        <w:t>2</w:t>
      </w:r>
      <w:r>
        <w:rPr>
          <w:rFonts w:ascii="方正黑体_GBK" w:eastAsia="方正黑体_GBK" w:hAnsi="宋体" w:cs="宋体" w:hint="eastAsia"/>
          <w:b/>
          <w:bCs/>
          <w:sz w:val="15"/>
          <w:szCs w:val="15"/>
        </w:rPr>
        <w:t>）若因市场情况等发生变化或是出于维护本理财产品正常运营或管理的需要，或基于甲方合理认定的其他情形，且投资者无法发起赎回申请时</w:t>
      </w:r>
      <w:r>
        <w:rPr>
          <w:rFonts w:ascii="方正黑体_GBK" w:eastAsia="方正黑体_GBK" w:hAnsi="宋体" w:cs="宋体" w:hint="eastAsia"/>
          <w:b/>
          <w:bCs/>
          <w:sz w:val="15"/>
          <w:szCs w:val="15"/>
        </w:rPr>
        <w:t>，</w:t>
      </w:r>
      <w:r>
        <w:rPr>
          <w:rFonts w:ascii="方正黑体_GBK" w:eastAsia="方正黑体_GBK" w:hAnsi="宋体" w:cs="宋体" w:hint="eastAsia"/>
          <w:b/>
          <w:bCs/>
          <w:sz w:val="15"/>
          <w:szCs w:val="15"/>
        </w:rPr>
        <w:t>甲方有权单方面对本理财产品的销售文件进行修订，包括但不限于对本理财产品的投资范</w:t>
      </w:r>
      <w:r>
        <w:rPr>
          <w:rFonts w:ascii="方正黑体_GBK" w:eastAsia="方正黑体_GBK" w:hAnsi="宋体" w:cs="宋体" w:hint="eastAsia"/>
          <w:b/>
          <w:bCs/>
          <w:sz w:val="15"/>
          <w:szCs w:val="15"/>
        </w:rPr>
        <w:t>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4EC19117" w14:textId="77777777" w:rsidR="00A50A8D" w:rsidRDefault="00E168B6">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b/>
          <w:bCs/>
          <w:sz w:val="15"/>
          <w:szCs w:val="15"/>
        </w:rPr>
        <w:t>9.</w:t>
      </w:r>
      <w:r>
        <w:rPr>
          <w:rFonts w:ascii="方正黑体_GBK" w:eastAsia="方正黑体_GBK" w:hAnsi="宋体" w:cs="宋体" w:hint="eastAsia"/>
          <w:b/>
          <w:bCs/>
          <w:sz w:val="15"/>
          <w:szCs w:val="15"/>
        </w:rPr>
        <w:t>投资者特此同意并授权甲方及销售机构有权按照法律法规规定，遵循正当、必要的原则，收集、使用投资者个人信息，包括但不限于根据法</w:t>
      </w:r>
      <w:r>
        <w:rPr>
          <w:rFonts w:ascii="方正黑体_GBK" w:eastAsia="方正黑体_GBK" w:hAnsi="宋体" w:cs="宋体" w:hint="eastAsia"/>
          <w:b/>
          <w:bCs/>
          <w:sz w:val="15"/>
          <w:szCs w:val="15"/>
        </w:rPr>
        <w:t>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甲方及销售机构保证信息采集、处理及使用的安全性和合法性。</w:t>
      </w:r>
    </w:p>
    <w:p w14:paraId="17129908" w14:textId="77777777" w:rsidR="00A50A8D" w:rsidRDefault="00E168B6">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10.</w:t>
      </w:r>
      <w:r>
        <w:rPr>
          <w:rFonts w:ascii="方正黑体_GBK" w:eastAsia="方正黑体_GBK" w:hAnsi="宋体" w:cs="宋体" w:hint="eastAsia"/>
          <w:sz w:val="15"/>
          <w:szCs w:val="15"/>
        </w:rPr>
        <w:t>法律法规规定或理财产品销售文件约定的其它权利及义务。</w:t>
      </w:r>
    </w:p>
    <w:p w14:paraId="13592ACA" w14:textId="77777777" w:rsidR="00A50A8D" w:rsidRDefault="00E168B6">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（二）乙方的权利与义务</w:t>
      </w:r>
    </w:p>
    <w:p w14:paraId="57DCF328" w14:textId="77777777" w:rsidR="00A50A8D" w:rsidRDefault="00E168B6">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1.</w:t>
      </w:r>
      <w:r>
        <w:rPr>
          <w:rFonts w:ascii="方正黑体_GBK" w:eastAsia="方正黑体_GBK" w:hAnsi="宋体" w:cs="宋体" w:hint="eastAsia"/>
          <w:sz w:val="15"/>
          <w:szCs w:val="15"/>
        </w:rPr>
        <w:t>乙方保证具有完全民事行为能力，有完全适当的资格与能力订立并履行本协议。</w:t>
      </w:r>
    </w:p>
    <w:p w14:paraId="4C6DF5CC" w14:textId="77777777" w:rsidR="00A50A8D" w:rsidRDefault="00E168B6">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2.</w:t>
      </w:r>
      <w:r>
        <w:rPr>
          <w:rFonts w:ascii="方正黑体_GBK" w:eastAsia="方正黑体_GBK" w:hAnsi="宋体" w:cs="宋体" w:hint="eastAsia"/>
          <w:sz w:val="15"/>
          <w:szCs w:val="15"/>
        </w:rPr>
        <w:t>乙方能够自行识别、判断和承担理财产品的相关风险；不存在法律法规、有权</w:t>
      </w:r>
      <w:r>
        <w:rPr>
          <w:rFonts w:ascii="方正黑体_GBK" w:eastAsia="方正黑体_GBK" w:hAnsi="宋体" w:cs="宋体" w:hint="eastAsia"/>
          <w:sz w:val="15"/>
          <w:szCs w:val="15"/>
        </w:rPr>
        <w:t>机关或主管机关禁止或限制购买理财产品的各种情形。乙方按其购买金额在对应期次理财协议中享有相应的权利，承担相应的义务和风险。</w:t>
      </w:r>
    </w:p>
    <w:p w14:paraId="2D400B33" w14:textId="77777777" w:rsidR="00A50A8D" w:rsidRDefault="00E168B6">
      <w:pPr>
        <w:pStyle w:val="11"/>
        <w:spacing w:line="300" w:lineRule="auto"/>
        <w:ind w:firstLineChars="280"/>
        <w:rPr>
          <w:rFonts w:ascii="方正黑体_GBK" w:eastAsia="方正黑体_GBK" w:hAnsi="宋体" w:cs="宋体"/>
          <w:sz w:val="15"/>
          <w:szCs w:val="15"/>
        </w:rPr>
      </w:pPr>
      <w:r>
        <w:rPr>
          <w:rFonts w:ascii="方正黑体_GBK" w:eastAsia="方正黑体_GBK" w:hAnsi="宋体" w:cs="宋体" w:hint="eastAsia"/>
          <w:sz w:val="15"/>
          <w:szCs w:val="15"/>
        </w:rPr>
        <w:t>3.</w:t>
      </w:r>
      <w:r>
        <w:rPr>
          <w:rFonts w:ascii="方正黑体_GBK" w:eastAsia="方正黑体_GBK" w:hAnsi="宋体" w:cs="宋体" w:hint="eastAsia"/>
          <w:sz w:val="15"/>
          <w:szCs w:val="15"/>
        </w:rPr>
        <w:t>乙方自愿购买甲方管理的理财产品，接受甲方提供的投资理财服务。甲方向乙方提供的市场分析和预测（如有）仅供参考，乙方据此做出的任何决策均出于乙方自身的判断，甲方不承担任何责任。</w:t>
      </w:r>
    </w:p>
    <w:p w14:paraId="48732347" w14:textId="77777777" w:rsidR="00A50A8D" w:rsidRDefault="00E168B6">
      <w:pPr>
        <w:pStyle w:val="11"/>
        <w:spacing w:line="300" w:lineRule="auto"/>
        <w:ind w:firstLineChars="280"/>
        <w:rPr>
          <w:rFonts w:ascii="方正黑体_GBK" w:eastAsia="方正黑体_GBK" w:hAnsi="宋体" w:cs="宋体"/>
          <w:sz w:val="15"/>
          <w:szCs w:val="15"/>
        </w:rPr>
      </w:pPr>
      <w:r>
        <w:rPr>
          <w:rFonts w:ascii="方正黑体_GBK" w:eastAsia="方正黑体_GBK" w:hAnsi="宋体" w:cs="宋体" w:hint="eastAsia"/>
          <w:sz w:val="15"/>
          <w:szCs w:val="15"/>
        </w:rPr>
        <w:t>4.</w:t>
      </w:r>
      <w:r>
        <w:rPr>
          <w:rFonts w:ascii="方正黑体_GBK" w:eastAsia="方正黑体_GBK" w:hAnsi="宋体" w:cs="宋体" w:hint="eastAsia"/>
          <w:sz w:val="15"/>
          <w:szCs w:val="15"/>
        </w:rPr>
        <w:t>乙方已仔细阅读《投资者权益须知》《理财产品说明书》并清楚知晓其内容，接受并签署《理财产品风险揭示书》《理财产品销售协议书》和本协议。</w:t>
      </w:r>
    </w:p>
    <w:p w14:paraId="7241D02A" w14:textId="77777777" w:rsidR="00A50A8D" w:rsidRDefault="00E168B6">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5.</w:t>
      </w:r>
      <w:r>
        <w:rPr>
          <w:rFonts w:ascii="方正黑体_GBK" w:eastAsia="方正黑体_GBK" w:hAnsi="宋体" w:cs="宋体" w:hint="eastAsia"/>
          <w:sz w:val="15"/>
          <w:szCs w:val="15"/>
        </w:rPr>
        <w:t>乙方已充分知悉对应期次理财产品风险等级（该产品通过代理销售机构渠道销</w:t>
      </w:r>
      <w:r>
        <w:rPr>
          <w:rFonts w:ascii="方正黑体_GBK" w:eastAsia="方正黑体_GBK" w:hAnsi="宋体" w:cs="宋体" w:hint="eastAsia"/>
          <w:sz w:val="15"/>
          <w:szCs w:val="15"/>
        </w:rPr>
        <w:t>售的，理财产品评级应当以代理销售机构最终披露的评级结果为准），并确定以相应理财资金购买对应期次理财产品，乙方承诺由此产生的相关风险由其自身承担。</w:t>
      </w:r>
    </w:p>
    <w:p w14:paraId="006C3C26" w14:textId="77777777" w:rsidR="00A50A8D" w:rsidRDefault="00E168B6">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6.</w:t>
      </w:r>
      <w:r>
        <w:rPr>
          <w:rFonts w:ascii="方正黑体_GBK" w:eastAsia="方正黑体_GBK" w:hAnsi="宋体" w:cs="宋体" w:hint="eastAsia"/>
          <w:b/>
          <w:bCs/>
          <w:sz w:val="15"/>
          <w:szCs w:val="15"/>
        </w:rPr>
        <w:t>乙方应当保证其理财资金为合法拥有的自有资金，不得使用贷款、发行债券等方式筹集的非自有资金购买理财产品，不存在涉嫌洗钱、恶意逃避税收征收管理等违法违规行为，保证可提供资金来源合法的证明文件，配合甲方或销售机构为识别合格投资者等目的进行的尽职调查。</w:t>
      </w:r>
    </w:p>
    <w:p w14:paraId="69F59D49" w14:textId="77777777" w:rsidR="00A50A8D" w:rsidRDefault="00E168B6">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7.</w:t>
      </w:r>
      <w:r>
        <w:rPr>
          <w:rFonts w:ascii="方正黑体_GBK" w:eastAsia="方正黑体_GBK" w:hAnsi="宋体" w:cs="宋体" w:hint="eastAsia"/>
          <w:b/>
          <w:bCs/>
          <w:sz w:val="15"/>
          <w:szCs w:val="15"/>
        </w:rPr>
        <w:t>乙方保证遵守国家反洗钱法律、法规及相关政策要求，不从事涉及洗钱、恐怖融资、逃税、逃废债务、套取现金等违法违规活动，积极配合甲方和销售机构开展投资者身份识别、交易记录保存、投资者身份及交易背景尽职调查、大额和可疑交易报告等各项反洗钱、反恐怖融资及非居民金融账户涉税信息尽职调查工作，并按甲方和销售机构要求提供相关证明材料。乙方保证其不属于联合国、欧盟或美国等制裁名单，及中国政府部门或有权机关发布的涉恐及反洗钱相关风险名单；不位于被联合国、欧盟或美国等制裁的国家和地区。甲方或销售机构发现或有合理理由怀疑乙方或</w:t>
      </w:r>
      <w:r>
        <w:rPr>
          <w:rFonts w:ascii="方正黑体_GBK" w:eastAsia="方正黑体_GBK" w:hAnsi="宋体" w:cs="宋体" w:hint="eastAsia"/>
          <w:b/>
          <w:bCs/>
          <w:sz w:val="15"/>
          <w:szCs w:val="15"/>
        </w:rPr>
        <w:t>其资金存在洗钱、恐怖融资、逃税等嫌疑，甲方有权提前终止本协议，造成乙方损失的，甲方不承担责任。</w:t>
      </w:r>
    </w:p>
    <w:p w14:paraId="3E445F0E" w14:textId="77777777" w:rsidR="00A50A8D" w:rsidRDefault="00E168B6">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b/>
          <w:bCs/>
          <w:sz w:val="15"/>
          <w:szCs w:val="15"/>
        </w:rPr>
        <w:t>8</w:t>
      </w:r>
      <w:r>
        <w:rPr>
          <w:rFonts w:ascii="方正黑体_GBK" w:eastAsia="方正黑体_GBK" w:hAnsi="宋体" w:cs="宋体" w:hint="eastAsia"/>
          <w:sz w:val="15"/>
          <w:szCs w:val="15"/>
        </w:rPr>
        <w:t>.</w:t>
      </w:r>
      <w:r>
        <w:rPr>
          <w:rFonts w:ascii="方正黑体_GBK" w:eastAsia="方正黑体_GBK" w:hAnsi="宋体" w:cs="宋体" w:hint="eastAsia"/>
          <w:b/>
          <w:bCs/>
          <w:sz w:val="15"/>
          <w:szCs w:val="15"/>
        </w:rPr>
        <w:t>乙方应确保其提供的所有资料真实、完整、合法、有效，如果有任何变更，乙方应及时通知甲方或销售机构并办理变更手续。如因乙方未及时通知甲方或销售机构并办理相应的变更手续，由此导致的一切后果由乙方承担。</w:t>
      </w:r>
    </w:p>
    <w:p w14:paraId="6BC166C5" w14:textId="77777777" w:rsidR="00A50A8D" w:rsidRDefault="00E168B6">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9.</w:t>
      </w:r>
      <w:r>
        <w:rPr>
          <w:rFonts w:ascii="方正黑体_GBK" w:eastAsia="方正黑体_GBK" w:hAnsi="宋体" w:cs="宋体" w:hint="eastAsia"/>
          <w:b/>
          <w:bCs/>
          <w:sz w:val="15"/>
          <w:szCs w:val="15"/>
        </w:rPr>
        <w:t>乙方通过电子渠道购买理财产品的，在此特别同意理财产品销售机构积极采取有效措施和技术手段完整客观记录营销推介、产品风险和关键信息提示、投资者确认和反馈等重点销售环节，确保能够满足回溯检查和核查取证的需要。</w:t>
      </w:r>
    </w:p>
    <w:p w14:paraId="40615730" w14:textId="77777777" w:rsidR="00A50A8D" w:rsidRDefault="00E168B6">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10.</w:t>
      </w:r>
      <w:r>
        <w:rPr>
          <w:rFonts w:ascii="方正黑体_GBK" w:eastAsia="方正黑体_GBK" w:hAnsi="宋体" w:cs="宋体" w:hint="eastAsia"/>
          <w:b/>
          <w:bCs/>
          <w:sz w:val="15"/>
          <w:szCs w:val="15"/>
        </w:rPr>
        <w:t>乙方对因购买、持有本理财产品而知悉的甲方及销售机构保密信息承担保密义务，乙方承诺不以任何方式向任何第三方披露甲方或销售机构的保密信息，法律法规另有规定的除外。</w:t>
      </w:r>
    </w:p>
    <w:p w14:paraId="3A81D3E9" w14:textId="77777777" w:rsidR="00A50A8D" w:rsidRDefault="00E168B6">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11.</w:t>
      </w:r>
      <w:r>
        <w:rPr>
          <w:rFonts w:ascii="方正黑体_GBK" w:eastAsia="方正黑体_GBK" w:hAnsi="宋体" w:cs="宋体" w:hint="eastAsia"/>
          <w:sz w:val="15"/>
          <w:szCs w:val="15"/>
        </w:rPr>
        <w:t>法律法规规定或理财产品销售文件约定的其它权利及义务。</w:t>
      </w:r>
    </w:p>
    <w:p w14:paraId="1491160A" w14:textId="77777777" w:rsidR="00A50A8D" w:rsidRDefault="00E168B6">
      <w:pPr>
        <w:pStyle w:val="11"/>
        <w:spacing w:line="300" w:lineRule="auto"/>
        <w:ind w:firstLine="301"/>
        <w:rPr>
          <w:rFonts w:ascii="方正黑体_GBK" w:eastAsia="方正黑体_GBK" w:hAnsi="宋体" w:cs="宋体"/>
          <w:b/>
          <w:sz w:val="15"/>
          <w:szCs w:val="15"/>
        </w:rPr>
      </w:pPr>
      <w:r>
        <w:rPr>
          <w:rFonts w:ascii="方正黑体_GBK" w:eastAsia="方正黑体_GBK" w:hAnsi="宋体" w:cs="宋体" w:hint="eastAsia"/>
          <w:b/>
          <w:sz w:val="15"/>
          <w:szCs w:val="15"/>
        </w:rPr>
        <w:t>三、协议的生效和终止</w:t>
      </w:r>
    </w:p>
    <w:p w14:paraId="42C9CE2A" w14:textId="77777777" w:rsidR="00A50A8D" w:rsidRDefault="00E168B6">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一）本协议书以纸质书面形式订立的情况下，乙方为个人投资者的，本协议自乙方签名、成功缴纳购买资金并经甲方系统确认购买份额后成立并生效；乙方为机构投资者的，本协议自乙方法定代表人或授权代理人签名或盖章并加盖公章或合同专用章、成功缴纳购买资金并经甲方系统确认购买份额后</w:t>
      </w:r>
      <w:r>
        <w:rPr>
          <w:rFonts w:ascii="方正黑体_GBK" w:eastAsia="方正黑体_GBK" w:hAnsi="宋体" w:cs="宋体" w:hint="eastAsia"/>
          <w:sz w:val="15"/>
          <w:szCs w:val="15"/>
        </w:rPr>
        <w:t>成立并生效。</w:t>
      </w:r>
    </w:p>
    <w:p w14:paraId="08F6CEA4" w14:textId="77777777" w:rsidR="00A50A8D" w:rsidRDefault="00E168B6">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二）本协议书以数据电文形式订立的，乙方应在电子渠道仔细阅读本协议的所有条款，对本协议条款的含义及相应的法律后果应全部知晓并充分理解，同意接受本协议条款。本协议自乙方成功缴纳购买资金并经甲方系统确认购买份额后成立并生效。</w:t>
      </w:r>
    </w:p>
    <w:p w14:paraId="72C04F11" w14:textId="77777777" w:rsidR="00A50A8D" w:rsidRDefault="00E168B6">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（三）乙方购买理财产品失败、甲方提前终止对应期次理财产品以及对应期次理财产品到期并结清后，本协议自动终止。</w:t>
      </w:r>
    </w:p>
    <w:p w14:paraId="69F7E1BE" w14:textId="77777777" w:rsidR="00A50A8D" w:rsidRDefault="00E168B6">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四、不可抗力及其他免责条款</w:t>
      </w:r>
    </w:p>
    <w:p w14:paraId="150708B0" w14:textId="77777777" w:rsidR="00A50A8D" w:rsidRDefault="00E168B6">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因法律法规及监管政策变化、自然灾害、战争等不能预见、不能避免、不能克服的不可抗力事件或系统故障、通讯故障、投资市场停止交易等意外事件，导致甲</w:t>
      </w:r>
      <w:r>
        <w:rPr>
          <w:rFonts w:ascii="方正黑体_GBK" w:eastAsia="方正黑体_GBK" w:hAnsi="宋体" w:cs="宋体" w:hint="eastAsia"/>
          <w:b/>
          <w:bCs/>
          <w:sz w:val="15"/>
          <w:szCs w:val="15"/>
        </w:rPr>
        <w:t>方无法或延后履行本协议的有关义务，甲方不承担责任，但应以适当的方式通知乙方，并采取一切必要的补救措施以减少有关损失。由于国家的有关法律、法规、规章、政策的改变、紧急措施的出台而导致的风险，甲方不承担责任。</w:t>
      </w:r>
    </w:p>
    <w:p w14:paraId="42083A2F" w14:textId="77777777" w:rsidR="00A50A8D" w:rsidRDefault="00E168B6">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非因甲方原因（包括但不限于理财产品投资者遗失理财产品销售文件、理财产品销售文件被盗用等原因）造成的损失，甲方不承担责任。</w:t>
      </w:r>
    </w:p>
    <w:p w14:paraId="466911F8" w14:textId="77777777" w:rsidR="00A50A8D" w:rsidRDefault="00E168B6">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五、争议解决</w:t>
      </w:r>
    </w:p>
    <w:p w14:paraId="7BA0F718" w14:textId="77777777" w:rsidR="00A50A8D" w:rsidRDefault="00E168B6">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甲乙双方因履行本协议或与本协议有关的活动而产生的一切争议，应首先本着诚实信用原则通过友好协商解决；不能协商解决的，由甲方所在地人民法院诉讼解决。本协议适用中华人民共和国（</w:t>
      </w:r>
      <w:r>
        <w:rPr>
          <w:rFonts w:ascii="方正黑体_GBK" w:eastAsia="方正黑体_GBK" w:hAnsi="宋体" w:cs="宋体" w:hint="eastAsia"/>
          <w:b/>
          <w:bCs/>
          <w:sz w:val="15"/>
          <w:szCs w:val="15"/>
        </w:rPr>
        <w:t>为各项理财产品销售文件之目的，不包括香港特别行政区、澳门特别行政区和台湾地区）法律。</w:t>
      </w:r>
    </w:p>
    <w:p w14:paraId="222FFAD1" w14:textId="77777777" w:rsidR="00A50A8D" w:rsidRDefault="00E168B6">
      <w:pPr>
        <w:pStyle w:val="11"/>
        <w:spacing w:line="300" w:lineRule="auto"/>
        <w:ind w:firstLine="301"/>
        <w:rPr>
          <w:rFonts w:ascii="方正黑体_GBK" w:eastAsia="方正黑体_GBK" w:hAnsi="宋体" w:cs="宋体"/>
          <w:sz w:val="15"/>
          <w:szCs w:val="15"/>
        </w:rPr>
      </w:pPr>
      <w:r>
        <w:rPr>
          <w:rFonts w:ascii="方正黑体_GBK" w:eastAsia="方正黑体_GBK" w:hAnsi="宋体" w:cs="宋体" w:hint="eastAsia"/>
          <w:b/>
          <w:bCs/>
          <w:sz w:val="15"/>
          <w:szCs w:val="15"/>
        </w:rPr>
        <w:t>六、</w:t>
      </w:r>
      <w:r>
        <w:rPr>
          <w:rFonts w:ascii="方正黑体_GBK" w:eastAsia="方正黑体_GBK" w:hAnsi="宋体" w:cs="宋体" w:hint="eastAsia"/>
          <w:sz w:val="15"/>
          <w:szCs w:val="15"/>
        </w:rPr>
        <w:t>本协议未尽事宜，以《理财产品说明书》《理财产品风险揭示书》《理财产品销售协议书》及《投资者权益须知》等销售文件的内容为准。</w:t>
      </w:r>
    </w:p>
    <w:p w14:paraId="01B57F7E" w14:textId="77777777" w:rsidR="00A50A8D" w:rsidRDefault="00A50A8D">
      <w:pPr>
        <w:pStyle w:val="11"/>
        <w:spacing w:line="300" w:lineRule="auto"/>
        <w:ind w:firstLine="300"/>
        <w:rPr>
          <w:rFonts w:ascii="方正黑体_GBK" w:eastAsia="方正黑体_GBK" w:hAnsi="宋体" w:cs="宋体"/>
          <w:sz w:val="15"/>
          <w:szCs w:val="15"/>
        </w:rPr>
      </w:pPr>
    </w:p>
    <w:p w14:paraId="7D336962" w14:textId="77777777" w:rsidR="00A50A8D" w:rsidRDefault="00E168B6">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请投资者在购买本理财产品前认真阅读以上条款，尤其是加粗的条款。如果投资者不同意本协议的任何内容，或者无法准确理解相关条款的解释，请不要进行后续操作。</w:t>
      </w:r>
    </w:p>
    <w:p w14:paraId="56443D06" w14:textId="77777777" w:rsidR="00A50A8D" w:rsidRDefault="00E168B6">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（以下无正文）</w:t>
      </w:r>
    </w:p>
    <w:p w14:paraId="36F66CBB" w14:textId="77777777" w:rsidR="00A50A8D" w:rsidRDefault="00A50A8D">
      <w:pPr>
        <w:pStyle w:val="11"/>
        <w:spacing w:line="300" w:lineRule="auto"/>
        <w:ind w:firstLine="300"/>
        <w:rPr>
          <w:rFonts w:ascii="方正黑体_GBK" w:eastAsia="方正黑体_GBK" w:hAnsi="宋体" w:cs="宋体"/>
          <w:sz w:val="15"/>
          <w:szCs w:val="15"/>
        </w:rPr>
      </w:pPr>
    </w:p>
    <w:p w14:paraId="794C953E" w14:textId="77777777" w:rsidR="00A50A8D" w:rsidRDefault="00E168B6">
      <w:pPr>
        <w:spacing w:line="300" w:lineRule="auto"/>
        <w:ind w:left="300"/>
        <w:rPr>
          <w:rFonts w:ascii="方正黑体_GBK" w:eastAsia="方正黑体_GBK" w:hAnsi="宋体"/>
          <w:sz w:val="15"/>
          <w:szCs w:val="15"/>
        </w:rPr>
      </w:pPr>
      <w:r>
        <w:rPr>
          <w:rStyle w:val="fontstyle01"/>
          <w:rFonts w:ascii="方正黑体_GBK" w:eastAsia="方正黑体_GBK" w:hint="eastAsia"/>
          <w:sz w:val="15"/>
          <w:szCs w:val="15"/>
        </w:rPr>
        <w:t>个人投资者（如适用）：</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机构投资者（如适用）：</w:t>
      </w:r>
      <w:r>
        <w:rPr>
          <w:rFonts w:ascii="方正黑体_GBK" w:eastAsia="方正黑体_GBK" w:hint="eastAsia"/>
          <w:color w:val="000000"/>
          <w:sz w:val="15"/>
          <w:szCs w:val="15"/>
        </w:rPr>
        <w:br/>
      </w:r>
      <w:r>
        <w:rPr>
          <w:rStyle w:val="fontstyle01"/>
          <w:rFonts w:ascii="方正黑体_GBK" w:eastAsia="方正黑体_GBK" w:hint="eastAsia"/>
          <w:sz w:val="15"/>
          <w:szCs w:val="15"/>
        </w:rPr>
        <w:t>个人投资者：</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（签名或盖章）</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机构投资者：（</w:t>
      </w:r>
      <w:r>
        <w:rPr>
          <w:rFonts w:ascii="方正黑体_GBK" w:eastAsia="方正黑体_GBK" w:hAnsi="宋体" w:cs="宋体" w:hint="eastAsia"/>
          <w:sz w:val="15"/>
          <w:szCs w:val="15"/>
        </w:rPr>
        <w:t>公章或合同专用章</w:t>
      </w:r>
      <w:r>
        <w:rPr>
          <w:rStyle w:val="fontstyle01"/>
          <w:rFonts w:ascii="方正黑体_GBK" w:eastAsia="方正黑体_GBK" w:hint="eastAsia"/>
          <w:sz w:val="15"/>
          <w:szCs w:val="15"/>
        </w:rPr>
        <w:t>）</w:t>
      </w:r>
      <w:r>
        <w:rPr>
          <w:rFonts w:ascii="方正黑体_GBK" w:eastAsia="方正黑体_GBK" w:hint="eastAsia"/>
          <w:color w:val="000000"/>
          <w:sz w:val="15"/>
          <w:szCs w:val="15"/>
        </w:rPr>
        <w:br/>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年</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月</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日</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法定代表人或授权代理人：（签名或盖章）</w:t>
      </w:r>
      <w:r>
        <w:rPr>
          <w:rFonts w:ascii="方正黑体_GBK" w:eastAsia="方正黑体_GBK" w:hint="eastAsia"/>
          <w:color w:val="000000"/>
          <w:sz w:val="15"/>
          <w:szCs w:val="15"/>
        </w:rPr>
        <w:br/>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年</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月</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日</w:t>
      </w:r>
    </w:p>
    <w:p w14:paraId="38C4DF42" w14:textId="77777777" w:rsidR="00A50A8D" w:rsidRDefault="00A50A8D">
      <w:pPr>
        <w:pStyle w:val="1"/>
      </w:pPr>
    </w:p>
    <w:p>
      <w:r>
        <w:br w:type="page"/>
      </w:r>
    </w:p>
    <w:sectPr w:rsidR="002B1050">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E02DD4">
      <w:r>
        <w:separator/>
      </w:r>
    </w:p>
  </w:endnote>
  <w:endnote w:type="continuationSeparator" w:id="0">
    <w:p w:rsidR="00000000" w:rsidRDefault="00E02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E02DD4">
      <w:r>
        <w:separator/>
      </w:r>
    </w:p>
  </w:footnote>
  <w:footnote w:type="continuationSeparator" w:id="0">
    <w:p w:rsidR="00000000" w:rsidRDefault="00E02D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1050" w:rsidRDefault="00E02DD4">
    <w:pPr>
      <w:pStyle w:val="a3"/>
      <w:jc w:val="right"/>
    </w:pPr>
    <w:r>
      <w:t>南银理财理财产品销售文件（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E4183"/>
    <w:multiLevelType w:val="multilevel"/>
    <w:tmpl w:val="17FC7620"/>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202901D9"/>
    <w:multiLevelType w:val="hybridMultilevel"/>
    <w:tmpl w:val="367ECF72"/>
    <w:lvl w:ilvl="0" w:tplc="F1A87100">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8F6CB69A">
      <w:start w:val="1"/>
      <w:numFmt w:val="lowerLetter"/>
      <w:lvlText w:val="%2)"/>
      <w:lvlJc w:val="left"/>
      <w:pPr>
        <w:tabs>
          <w:tab w:val="num" w:pos="0"/>
        </w:tabs>
        <w:ind w:left="1141" w:hanging="420"/>
      </w:pPr>
      <w:rPr>
        <w:rFonts w:ascii="方正黑体_GBK" w:eastAsia="方正黑体_GBK" w:hAnsi="方正黑体_GBK" w:hint="default"/>
      </w:rPr>
    </w:lvl>
    <w:lvl w:ilvl="2" w:tplc="A11EAC52">
      <w:start w:val="1"/>
      <w:numFmt w:val="decimal"/>
      <w:lvlText w:val="%3."/>
      <w:lvlJc w:val="right"/>
      <w:pPr>
        <w:tabs>
          <w:tab w:val="num" w:pos="0"/>
        </w:tabs>
        <w:ind w:left="1561" w:hanging="420"/>
      </w:pPr>
      <w:rPr>
        <w:rFonts w:ascii="方正黑体_GBK" w:eastAsia="方正黑体_GBK" w:hAnsi="方正黑体_GBK" w:hint="default"/>
      </w:rPr>
    </w:lvl>
    <w:lvl w:ilvl="3" w:tplc="32C62676">
      <w:start w:val="1"/>
      <w:numFmt w:val="decimal"/>
      <w:lvlText w:val="%4."/>
      <w:lvlJc w:val="left"/>
      <w:pPr>
        <w:tabs>
          <w:tab w:val="num" w:pos="0"/>
        </w:tabs>
        <w:ind w:left="1981" w:hanging="420"/>
      </w:pPr>
      <w:rPr>
        <w:rFonts w:ascii="方正黑体_GBK" w:eastAsia="方正黑体_GBK" w:hAnsi="方正黑体_GBK" w:hint="default"/>
      </w:rPr>
    </w:lvl>
    <w:lvl w:ilvl="4" w:tplc="F81864AE">
      <w:start w:val="1"/>
      <w:numFmt w:val="lowerLetter"/>
      <w:lvlText w:val="%5)"/>
      <w:lvlJc w:val="left"/>
      <w:pPr>
        <w:tabs>
          <w:tab w:val="num" w:pos="0"/>
        </w:tabs>
        <w:ind w:left="2401" w:hanging="420"/>
      </w:pPr>
      <w:rPr>
        <w:rFonts w:ascii="方正黑体_GBK" w:eastAsia="方正黑体_GBK" w:hAnsi="方正黑体_GBK" w:hint="default"/>
      </w:rPr>
    </w:lvl>
    <w:lvl w:ilvl="5" w:tplc="E444B618">
      <w:start w:val="1"/>
      <w:numFmt w:val="decimal"/>
      <w:lvlText w:val="%6."/>
      <w:lvlJc w:val="right"/>
      <w:pPr>
        <w:tabs>
          <w:tab w:val="num" w:pos="0"/>
        </w:tabs>
        <w:ind w:left="2821" w:hanging="420"/>
      </w:pPr>
      <w:rPr>
        <w:rFonts w:ascii="方正黑体_GBK" w:eastAsia="方正黑体_GBK" w:hAnsi="方正黑体_GBK" w:hint="default"/>
      </w:rPr>
    </w:lvl>
    <w:lvl w:ilvl="6" w:tplc="2E06EC52">
      <w:start w:val="1"/>
      <w:numFmt w:val="decimal"/>
      <w:lvlText w:val="%7."/>
      <w:lvlJc w:val="left"/>
      <w:pPr>
        <w:tabs>
          <w:tab w:val="num" w:pos="0"/>
        </w:tabs>
        <w:ind w:left="3241" w:hanging="420"/>
      </w:pPr>
      <w:rPr>
        <w:rFonts w:ascii="方正黑体_GBK" w:eastAsia="方正黑体_GBK" w:hAnsi="方正黑体_GBK" w:hint="default"/>
      </w:rPr>
    </w:lvl>
    <w:lvl w:ilvl="7" w:tplc="CB5AD314">
      <w:start w:val="1"/>
      <w:numFmt w:val="lowerLetter"/>
      <w:lvlText w:val="%8)"/>
      <w:lvlJc w:val="left"/>
      <w:pPr>
        <w:tabs>
          <w:tab w:val="num" w:pos="0"/>
        </w:tabs>
        <w:ind w:left="3661" w:hanging="420"/>
      </w:pPr>
      <w:rPr>
        <w:rFonts w:ascii="方正黑体_GBK" w:eastAsia="方正黑体_GBK" w:hAnsi="方正黑体_GBK" w:hint="default"/>
      </w:rPr>
    </w:lvl>
    <w:lvl w:ilvl="8" w:tplc="608667DC">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25C246BB"/>
    <w:multiLevelType w:val="multilevel"/>
    <w:tmpl w:val="4DA8B03A"/>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3" w15:restartNumberingAfterBreak="0">
    <w:nsid w:val="79A80038"/>
    <w:multiLevelType w:val="hybridMultilevel"/>
    <w:tmpl w:val="43047E88"/>
    <w:lvl w:ilvl="0" w:tplc="9852F452">
      <w:start w:val="1"/>
      <w:numFmt w:val="decimal"/>
      <w:lvlRestart w:val="0"/>
      <w:lvlText w:val="%1."/>
      <w:lvlJc w:val="left"/>
      <w:pPr>
        <w:tabs>
          <w:tab w:val="num" w:pos="0"/>
        </w:tabs>
        <w:ind w:left="660" w:hanging="360"/>
      </w:pPr>
      <w:rPr>
        <w:rFonts w:ascii="方正黑体_GBK" w:eastAsia="方正黑体_GBK" w:hAnsi="方正黑体_GBK" w:hint="default"/>
      </w:rPr>
    </w:lvl>
    <w:lvl w:ilvl="1" w:tplc="6D9696C8">
      <w:start w:val="1"/>
      <w:numFmt w:val="lowerLetter"/>
      <w:lvlText w:val="%2)"/>
      <w:lvlJc w:val="left"/>
      <w:pPr>
        <w:tabs>
          <w:tab w:val="num" w:pos="0"/>
        </w:tabs>
        <w:ind w:left="1140" w:hanging="420"/>
      </w:pPr>
      <w:rPr>
        <w:rFonts w:ascii="方正黑体_GBK" w:eastAsia="方正黑体_GBK" w:hAnsi="方正黑体_GBK" w:hint="default"/>
      </w:rPr>
    </w:lvl>
    <w:lvl w:ilvl="2" w:tplc="117AE5FA">
      <w:start w:val="1"/>
      <w:numFmt w:val="decimal"/>
      <w:lvlText w:val="%3."/>
      <w:lvlJc w:val="right"/>
      <w:pPr>
        <w:tabs>
          <w:tab w:val="num" w:pos="0"/>
        </w:tabs>
        <w:ind w:left="1560" w:hanging="420"/>
      </w:pPr>
      <w:rPr>
        <w:rFonts w:ascii="方正黑体_GBK" w:eastAsia="方正黑体_GBK" w:hAnsi="方正黑体_GBK" w:hint="default"/>
      </w:rPr>
    </w:lvl>
    <w:lvl w:ilvl="3" w:tplc="5BA8949C">
      <w:start w:val="1"/>
      <w:numFmt w:val="decimal"/>
      <w:lvlText w:val="%4."/>
      <w:lvlJc w:val="left"/>
      <w:pPr>
        <w:tabs>
          <w:tab w:val="num" w:pos="0"/>
        </w:tabs>
        <w:ind w:left="1980" w:hanging="420"/>
      </w:pPr>
      <w:rPr>
        <w:rFonts w:ascii="方正黑体_GBK" w:eastAsia="方正黑体_GBK" w:hAnsi="方正黑体_GBK" w:hint="default"/>
      </w:rPr>
    </w:lvl>
    <w:lvl w:ilvl="4" w:tplc="BE0EA6AA">
      <w:start w:val="1"/>
      <w:numFmt w:val="lowerLetter"/>
      <w:lvlText w:val="%5)"/>
      <w:lvlJc w:val="left"/>
      <w:pPr>
        <w:tabs>
          <w:tab w:val="num" w:pos="0"/>
        </w:tabs>
        <w:ind w:left="2400" w:hanging="420"/>
      </w:pPr>
      <w:rPr>
        <w:rFonts w:ascii="方正黑体_GBK" w:eastAsia="方正黑体_GBK" w:hAnsi="方正黑体_GBK" w:hint="default"/>
      </w:rPr>
    </w:lvl>
    <w:lvl w:ilvl="5" w:tplc="473C3CD0">
      <w:start w:val="1"/>
      <w:numFmt w:val="decimal"/>
      <w:lvlText w:val="%6."/>
      <w:lvlJc w:val="right"/>
      <w:pPr>
        <w:tabs>
          <w:tab w:val="num" w:pos="0"/>
        </w:tabs>
        <w:ind w:left="2820" w:hanging="420"/>
      </w:pPr>
      <w:rPr>
        <w:rFonts w:ascii="方正黑体_GBK" w:eastAsia="方正黑体_GBK" w:hAnsi="方正黑体_GBK" w:hint="default"/>
      </w:rPr>
    </w:lvl>
    <w:lvl w:ilvl="6" w:tplc="57A023E8">
      <w:start w:val="1"/>
      <w:numFmt w:val="decimal"/>
      <w:lvlText w:val="%7."/>
      <w:lvlJc w:val="left"/>
      <w:pPr>
        <w:tabs>
          <w:tab w:val="num" w:pos="0"/>
        </w:tabs>
        <w:ind w:left="3240" w:hanging="420"/>
      </w:pPr>
      <w:rPr>
        <w:rFonts w:ascii="方正黑体_GBK" w:eastAsia="方正黑体_GBK" w:hAnsi="方正黑体_GBK" w:hint="default"/>
      </w:rPr>
    </w:lvl>
    <w:lvl w:ilvl="7" w:tplc="F81E19A0">
      <w:start w:val="1"/>
      <w:numFmt w:val="lowerLetter"/>
      <w:lvlText w:val="%8)"/>
      <w:lvlJc w:val="left"/>
      <w:pPr>
        <w:tabs>
          <w:tab w:val="num" w:pos="0"/>
        </w:tabs>
        <w:ind w:left="3660" w:hanging="420"/>
      </w:pPr>
      <w:rPr>
        <w:rFonts w:ascii="方正黑体_GBK" w:eastAsia="方正黑体_GBK" w:hAnsi="方正黑体_GBK" w:hint="default"/>
      </w:rPr>
    </w:lvl>
    <w:lvl w:ilvl="8" w:tplc="4D18E482">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4" w15:restartNumberingAfterBreak="0">
    <w:nsid w:val="00EEEC9B"/>
    <w:multiLevelType w:val="singleLevel"/>
    <w:tmpl w:val="5DF84C9C"/>
    <w:lvl w:ilvl="0">
      <w:start w:val="1"/>
      <w:numFmt w:val="decimal"/>
      <w:suff w:val="nothing"/>
      <w:lvlText w:val="%1."/>
      <w:lvlJc w:val="left"/>
    </w:lvl>
  </w:abstractNum>
  <w:abstractNum w:abstractNumId="5" w15:restartNumberingAfterBreak="0">
    <w:nsid w:val="05BCBE60"/>
    <w:multiLevelType w:val="singleLevel"/>
    <w:tmpl w:val="5DF84CBD"/>
    <w:lvl w:ilvl="0">
      <w:start w:val="1"/>
      <w:numFmt w:val="decimal"/>
      <w:suff w:val="nothing"/>
      <w:lvlText w:val="（%1）"/>
      <w:lvlJc w:val="left"/>
    </w:lvl>
  </w:abstractNum>
  <w:abstractNum w:abstractNumId="6" w15:restartNumberingAfterBreak="0">
    <w:nsid w:val="05AE63A1"/>
    <w:multiLevelType w:val="singleLevel"/>
    <w:tmpl w:val="5DF84D07"/>
    <w:lvl w:ilvl="0">
      <w:start w:val="1"/>
      <w:numFmt w:val="decimal"/>
      <w:suff w:val="nothing"/>
      <w:lvlText w:val="（%1）"/>
      <w:lvlJc w:val="left"/>
    </w:lvl>
  </w:abstractNum>
  <w:abstractNum w:abstractNumId="7" w15:restartNumberingAfterBreak="0">
    <w:nsid w:val="05A746C3"/>
    <w:multiLevelType w:val="singleLevel"/>
    <w:tmpl w:val="510A3506"/>
    <w:lvl w:ilvl="0">
      <w:start w:val="1"/>
      <w:numFmt w:val="decimal"/>
      <w:suff w:val="nothing"/>
      <w:lvlText w:val="（%1）"/>
      <w:lvlJc w:val="left"/>
    </w:lvl>
  </w:abstractNum>
  <w:abstractNum w:abstractNumId="8" w15:restartNumberingAfterBreak="0">
    <w:nsid w:val="036CF512"/>
    <w:multiLevelType w:val="multilevel"/>
    <w:tmpl w:val="54B02AA4"/>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9" w15:restartNumberingAfterBreak="0">
    <w:nsid w:val="04CCC77A"/>
    <w:multiLevelType w:val="multilevel"/>
    <w:tmpl w:val="3CFA0BAF"/>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0" w15:restartNumberingAfterBreak="0">
    <w:nsid w:val="029A5F35"/>
    <w:multiLevelType w:val="singleLevel"/>
    <w:tmpl w:val="7A29506B"/>
    <w:lvl w:ilvl="0">
      <w:start w:val="1"/>
      <w:numFmt w:val="decimal"/>
      <w:suff w:val="nothing"/>
      <w:lvlText w:val="（%1）"/>
      <w:lvlJc w:val="left"/>
    </w:lvl>
  </w:abstractNum>
  <w:abstractNum w:abstractNumId="11" w15:restartNumberingAfterBreak="0">
    <w:nsid w:val="026DDA75"/>
    <w:multiLevelType w:val="multilevel"/>
    <w:tmpl w:val="38167239"/>
    <w:lvl w:ilvl="0">
      <w:start w:val="1"/>
      <w:numFmt w:val="lowerRoman"/>
      <w:lvlText w:val="%1."/>
      <w:lvlJc w:val="left"/>
      <w:pPr>
        <w:ind w:left="760" w:hanging="420"/>
      </w:pPr>
      <w:rPr>
        <w:rFonts w:ascii="Times New Roman" w:hAnsi="Times New Roman" w:cs="Times New Roman" w:hint="default"/>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2" w15:restartNumberingAfterBreak="0">
    <w:nsid w:val="012E13A0"/>
    <w:multiLevelType w:val="multilevel"/>
    <w:tmpl w:val="2EA814D3"/>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3" w15:restartNumberingAfterBreak="0">
    <w:nsid w:val="0486D38D"/>
    <w:multiLevelType w:val="singleLevel"/>
    <w:tmpl w:val="6D2A3EBA"/>
    <w:lvl w:ilvl="0">
      <w:start w:val="1"/>
      <w:numFmt w:val="decimal"/>
      <w:suff w:val="nothing"/>
      <w:lvlText w:val="（%1）"/>
      <w:lvlJc w:val="left"/>
    </w:lvl>
  </w:abstractNum>
  <w:num w:numId="1">
    <w:abstractNumId w:val="0"/>
  </w:num>
  <w:num w:numId="2">
    <w:abstractNumId w:val="2"/>
  </w:num>
  <w:num w:numId="3">
    <w:abstractNumId w:val="1"/>
  </w:num>
  <w:num w:numId="5">
    <w:abstractNumId w:val="4"/>
  </w:num>
  <w:num w:numId="6">
    <w:abstractNumId w:val="5"/>
  </w:num>
  <w:num w:numId="7">
    <w:abstractNumId w:val="6"/>
  </w:num>
  <w:num w:numId="8">
    <w:abstractNumId w:val="6"/>
    <w:lvlOverride w:ilvl="0">
      <w:startOverride w:val="1"/>
    </w:lvlOverride>
  </w:num>
  <w:num w:numId="9">
    <w:abstractNumId w:val="7"/>
  </w:num>
  <w:num w:numId="10">
    <w:abstractNumId w:val="8"/>
  </w:num>
  <w:num w:numId="11">
    <w:abstractNumId w:val="8"/>
    <w:lvlOverride w:ilvl="0">
      <w:startOverride w:val="1"/>
    </w:lvlOverride>
  </w:num>
  <w:num w:numId="12">
    <w:abstractNumId w:val="9"/>
  </w:num>
  <w:num w:numId="13">
    <w:abstractNumId w:val="10"/>
  </w:num>
  <w:num w:numId="14">
    <w:abstractNumId w:val="11"/>
  </w:num>
  <w:num w:numId="15">
    <w:abstractNumId w:val="12"/>
  </w:num>
  <w:num w:numId="16">
    <w:abstractNumId w:val="13"/>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2B1050"/>
    <w:rsid w:val="002B1050"/>
    <w:rsid w:val="00E02D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8A831AFD-37BD-472F-8663-739110123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984a7221">
    <w:name w:val="Normal984a7221"/>
    <w:pPr>
      <w:widowControl w:val="0"/>
      <w:jc w:val="both"/>
    </w:pPr>
    <w:rPr>
      <w:rFonts w:ascii="方正黑体_GBK" w:eastAsia="方正黑体_GBK" w:hAnsi="方正黑体_GBK" w:cs="Times New Roman"/>
      <w:szCs w:val="21"/>
    </w:rPr>
  </w:style>
  <w:style w:type="paragraph" w:customStyle="1" w:styleId="heading1fa26d9a2">
    <w:name w:val="heading 1fa26d9a2"/>
    <w:basedOn w:val="Normal984a7221"/>
    <w:next w:val="a"/>
    <w:pPr>
      <w:keepNext/>
      <w:keepLines/>
      <w:spacing w:before="340" w:after="330" w:line="578" w:lineRule="auto"/>
      <w:outlineLvl w:val="0"/>
    </w:pPr>
    <w:rPr>
      <w:b/>
      <w:bCs/>
      <w:kern w:val="44"/>
      <w:sz w:val="44"/>
    </w:rPr>
  </w:style>
  <w:style w:type="paragraph" w:customStyle="1" w:styleId="heading2992ba22f">
    <w:name w:val="heading 2992ba22f"/>
    <w:basedOn w:val="Normal984a7221"/>
    <w:next w:val="a"/>
    <w:pPr>
      <w:keepNext/>
      <w:keepLines/>
      <w:spacing w:before="260" w:after="260" w:line="415" w:lineRule="auto"/>
      <w:outlineLvl w:val="1"/>
    </w:pPr>
    <w:rPr>
      <w:b/>
      <w:sz w:val="32"/>
    </w:rPr>
  </w:style>
  <w:style w:type="paragraph" w:customStyle="1" w:styleId="heading3eb77939b">
    <w:name w:val="heading 3eb77939b"/>
    <w:basedOn w:val="Normal984a7221"/>
    <w:next w:val="a"/>
    <w:pPr>
      <w:keepNext/>
      <w:keepLines/>
      <w:spacing w:before="260" w:after="260" w:line="415" w:lineRule="auto"/>
      <w:outlineLvl w:val="2"/>
    </w:pPr>
    <w:rPr>
      <w:b/>
      <w:sz w:val="32"/>
    </w:rPr>
  </w:style>
  <w:style w:type="character" w:customStyle="1" w:styleId="DefaultParagraphFontd0a46ea7">
    <w:name w:val="Default Paragraph Fontd0a46ea7"/>
  </w:style>
  <w:style w:type="paragraph" w:customStyle="1" w:styleId="toc109fe9c9a">
    <w:name w:val="toc 109fe9c9a"/>
    <w:basedOn w:val="Normal984a7221"/>
    <w:next w:val="a"/>
    <w:autoRedefine/>
  </w:style>
  <w:style w:type="paragraph" w:customStyle="1" w:styleId="toc24cd31388">
    <w:name w:val="toc 24cd31388"/>
    <w:basedOn w:val="Normal984a7221"/>
    <w:next w:val="a"/>
    <w:autoRedefine/>
    <w:pPr>
      <w:ind w:left="420"/>
    </w:pPr>
  </w:style>
  <w:style w:type="paragraph" w:customStyle="1" w:styleId="toc376a3a1d9">
    <w:name w:val="toc 376a3a1d9"/>
    <w:basedOn w:val="Normal984a7221"/>
    <w:next w:val="a"/>
    <w:autoRedefine/>
    <w:pPr>
      <w:ind w:left="840"/>
    </w:pPr>
  </w:style>
  <w:style w:type="paragraph" w:customStyle="1" w:styleId="toc48a80e4f1">
    <w:name w:val="toc 48a80e4f1"/>
    <w:basedOn w:val="Normal984a7221"/>
    <w:next w:val="a"/>
    <w:autoRedefine/>
    <w:pPr>
      <w:ind w:left="1260"/>
    </w:pPr>
  </w:style>
  <w:style w:type="paragraph" w:customStyle="1" w:styleId="toc542834055">
    <w:name w:val="toc 542834055"/>
    <w:basedOn w:val="Normal984a7221"/>
    <w:next w:val="a"/>
    <w:autoRedefine/>
    <w:pPr>
      <w:ind w:left="1680"/>
    </w:pPr>
  </w:style>
  <w:style w:type="paragraph" w:customStyle="1" w:styleId="headerecd949f1">
    <w:name w:val="headerecd949f1"/>
    <w:basedOn w:val="Normal984a7221"/>
    <w:pPr>
      <w:pBdr>
        <w:bottom w:val="single" w:sz="6" w:space="1" w:color="auto"/>
      </w:pBdr>
      <w:tabs>
        <w:tab w:val="center" w:pos="4153"/>
        <w:tab w:val="right" w:pos="8307"/>
      </w:tabs>
      <w:snapToGrid w:val="0"/>
      <w:jc w:val="center"/>
    </w:pPr>
    <w:rPr>
      <w:sz w:val="18"/>
    </w:rPr>
  </w:style>
  <w:style w:type="paragraph" w:customStyle="1" w:styleId="footera2574913">
    <w:name w:val="footera2574913"/>
    <w:basedOn w:val="Normal984a7221"/>
    <w:pPr>
      <w:tabs>
        <w:tab w:val="center" w:pos="4153"/>
        <w:tab w:val="right" w:pos="8307"/>
      </w:tabs>
      <w:snapToGrid w:val="0"/>
      <w:jc w:val="left"/>
    </w:pPr>
    <w:rPr>
      <w:sz w:val="18"/>
    </w:rPr>
  </w:style>
  <w:style w:type="character" w:customStyle="1" w:styleId="Strong9e70e4d9">
    <w:name w:val="Strong9e70e4d9"/>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72bf5e8e">
    <w:name w:val="Normal72bf5e8e"/>
    <w:next w:val="TOC1"/>
    <w:pPr>
      <w:widowControl w:val="0"/>
      <w:jc w:val="both"/>
    </w:pPr>
    <w:rPr>
      <w:rFonts w:ascii="方正黑体_GBK" w:eastAsia="方正黑体_GBK" w:hAnsi="方正黑体_GBK" w:cs="Times New Roman"/>
      <w:sz w:val="18"/>
      <w:szCs w:val="18"/>
    </w:rPr>
  </w:style>
  <w:style w:type="paragraph" w:customStyle="1" w:styleId="heading1dbce3287">
    <w:name w:val="heading 1dbce3287"/>
    <w:basedOn w:val="Normal72bf5e8e"/>
    <w:next w:val="a"/>
    <w:pPr>
      <w:keepNext/>
      <w:keepLines/>
      <w:spacing w:before="340" w:after="330" w:line="578" w:lineRule="auto"/>
      <w:outlineLvl w:val="0"/>
    </w:pPr>
    <w:rPr>
      <w:b/>
      <w:bCs/>
      <w:kern w:val="44"/>
      <w:sz w:val="44"/>
    </w:rPr>
  </w:style>
  <w:style w:type="paragraph" w:customStyle="1" w:styleId="heading22b8d8960">
    <w:name w:val="heading 22b8d8960"/>
    <w:basedOn w:val="Normal72bf5e8e"/>
    <w:next w:val="a"/>
    <w:pPr>
      <w:keepNext/>
      <w:keepLines/>
      <w:spacing w:before="260" w:after="260" w:line="415" w:lineRule="auto"/>
      <w:outlineLvl w:val="1"/>
    </w:pPr>
    <w:rPr>
      <w:b/>
      <w:sz w:val="32"/>
    </w:rPr>
  </w:style>
  <w:style w:type="paragraph" w:customStyle="1" w:styleId="heading3b4490dcf">
    <w:name w:val="heading 3b4490dcf"/>
    <w:basedOn w:val="Normal72bf5e8e"/>
    <w:next w:val="a"/>
    <w:pPr>
      <w:keepNext/>
      <w:keepLines/>
      <w:spacing w:before="260" w:after="260" w:line="415" w:lineRule="auto"/>
      <w:outlineLvl w:val="2"/>
    </w:pPr>
    <w:rPr>
      <w:b/>
      <w:sz w:val="32"/>
    </w:rPr>
  </w:style>
  <w:style w:type="character" w:customStyle="1" w:styleId="DefaultParagraphFont01927dce">
    <w:name w:val="Default Paragraph Font01927dce"/>
  </w:style>
  <w:style w:type="paragraph" w:customStyle="1" w:styleId="NormalIndent5c39e32f">
    <w:name w:val="Normal Indent5c39e32f"/>
    <w:basedOn w:val="Normal72bf5e8e"/>
    <w:pPr>
      <w:ind w:firstLineChars="200" w:firstLine="200"/>
    </w:pPr>
  </w:style>
  <w:style w:type="paragraph" w:customStyle="1" w:styleId="toc5b3b9fcb8">
    <w:name w:val="toc 5b3b9fcb8"/>
    <w:basedOn w:val="Normal72bf5e8e"/>
    <w:next w:val="a"/>
    <w:pPr>
      <w:ind w:left="1680"/>
    </w:pPr>
  </w:style>
  <w:style w:type="paragraph" w:customStyle="1" w:styleId="toc37df2e8d7">
    <w:name w:val="toc 37df2e8d7"/>
    <w:basedOn w:val="Normal72bf5e8e"/>
    <w:next w:val="a"/>
    <w:pPr>
      <w:ind w:left="840"/>
    </w:pPr>
  </w:style>
  <w:style w:type="paragraph" w:customStyle="1" w:styleId="footer4bd1e74e">
    <w:name w:val="footer4bd1e74e"/>
    <w:basedOn w:val="Normal72bf5e8e"/>
    <w:pPr>
      <w:tabs>
        <w:tab w:val="center" w:pos="4153"/>
        <w:tab w:val="right" w:pos="8307"/>
      </w:tabs>
      <w:snapToGrid w:val="0"/>
      <w:jc w:val="left"/>
    </w:pPr>
  </w:style>
  <w:style w:type="paragraph" w:customStyle="1" w:styleId="headerb0978f08">
    <w:name w:val="headerb0978f08"/>
    <w:basedOn w:val="Normal72bf5e8e"/>
    <w:pPr>
      <w:pBdr>
        <w:bottom w:val="single" w:sz="6" w:space="1" w:color="auto"/>
      </w:pBdr>
      <w:tabs>
        <w:tab w:val="center" w:pos="4153"/>
        <w:tab w:val="right" w:pos="8307"/>
      </w:tabs>
      <w:snapToGrid w:val="0"/>
      <w:jc w:val="center"/>
    </w:pPr>
  </w:style>
  <w:style w:type="paragraph" w:customStyle="1" w:styleId="toc16dab6a7e">
    <w:name w:val="toc 16dab6a7e"/>
    <w:basedOn w:val="Normal72bf5e8e"/>
    <w:next w:val="a"/>
  </w:style>
  <w:style w:type="paragraph" w:customStyle="1" w:styleId="toc44a4d29de">
    <w:name w:val="toc 44a4d29de"/>
    <w:basedOn w:val="Normal72bf5e8e"/>
    <w:next w:val="a"/>
    <w:pPr>
      <w:ind w:left="1260"/>
    </w:pPr>
  </w:style>
  <w:style w:type="paragraph" w:customStyle="1" w:styleId="toc29f6bd2dd">
    <w:name w:val="toc 29f6bd2dd"/>
    <w:basedOn w:val="Normal72bf5e8e"/>
    <w:next w:val="a"/>
    <w:pPr>
      <w:ind w:left="420"/>
    </w:pPr>
  </w:style>
  <w:style w:type="paragraph" w:customStyle="1" w:styleId="NormalWebfa6e6230">
    <w:name w:val="Normal (Web)fa6e6230"/>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079f1999079f1999">
    <w:name w:val="Normal079f1999079f1999"/>
    <w:next w:val="TOC1"/>
    <w:pPr>
      <w:widowControl w:val="0"/>
      <w:jc w:val="both"/>
    </w:pPr>
    <w:rPr>
      <w:rFonts w:ascii="方正黑体_GBK" w:eastAsia="方正黑体_GBK" w:hAnsi="方正黑体_GBK" w:cs="Times New Roman"/>
      <w:szCs w:val="21"/>
    </w:rPr>
  </w:style>
  <w:style w:type="paragraph" w:customStyle="1" w:styleId="heading1d1e475a5d1e475a5">
    <w:name w:val="heading 1d1e475a5d1e475a5"/>
    <w:basedOn w:val="Normal079f1999079f1999"/>
    <w:next w:val="a"/>
    <w:pPr>
      <w:keepNext/>
      <w:keepLines/>
      <w:spacing w:before="340" w:after="330" w:line="578" w:lineRule="auto"/>
      <w:outlineLvl w:val="0"/>
    </w:pPr>
    <w:rPr>
      <w:b/>
      <w:bCs/>
      <w:kern w:val="44"/>
      <w:sz w:val="44"/>
    </w:rPr>
  </w:style>
  <w:style w:type="paragraph" w:customStyle="1" w:styleId="heading2ede10182ede10182">
    <w:name w:val="heading 2ede10182ede10182"/>
    <w:basedOn w:val="Normal079f1999079f1999"/>
    <w:next w:val="a"/>
    <w:pPr>
      <w:keepNext/>
      <w:keepLines/>
      <w:spacing w:before="260" w:after="260" w:line="415" w:lineRule="auto"/>
      <w:outlineLvl w:val="1"/>
    </w:pPr>
    <w:rPr>
      <w:b/>
      <w:sz w:val="32"/>
    </w:rPr>
  </w:style>
  <w:style w:type="paragraph" w:customStyle="1" w:styleId="heading354a1f5de54a1f5de">
    <w:name w:val="heading 354a1f5de54a1f5de"/>
    <w:basedOn w:val="Normal079f1999079f1999"/>
    <w:next w:val="a"/>
    <w:pPr>
      <w:keepNext/>
      <w:keepLines/>
      <w:spacing w:before="260" w:after="260" w:line="415" w:lineRule="auto"/>
      <w:outlineLvl w:val="2"/>
    </w:pPr>
    <w:rPr>
      <w:b/>
      <w:sz w:val="32"/>
    </w:rPr>
  </w:style>
  <w:style w:type="character" w:customStyle="1" w:styleId="DefaultParagraphFont2772501827725018">
    <w:name w:val="Default Paragraph Font2772501827725018"/>
  </w:style>
  <w:style w:type="paragraph" w:customStyle="1" w:styleId="1ed75b09bed75b09b">
    <w:name w:val="引文目录1ed75b09bed75b09b"/>
    <w:basedOn w:val="Normal079f1999079f1999"/>
    <w:next w:val="a"/>
    <w:pPr>
      <w:ind w:leftChars="200" w:left="200"/>
    </w:pPr>
  </w:style>
  <w:style w:type="paragraph" w:customStyle="1" w:styleId="toc53bf4db333bf4db33">
    <w:name w:val="toc 53bf4db333bf4db33"/>
    <w:basedOn w:val="Normal079f1999079f1999"/>
    <w:next w:val="a"/>
    <w:pPr>
      <w:ind w:left="1680"/>
    </w:pPr>
  </w:style>
  <w:style w:type="paragraph" w:customStyle="1" w:styleId="toc34ffe98dc4ffe98dc">
    <w:name w:val="toc 34ffe98dc4ffe98dc"/>
    <w:basedOn w:val="Normal079f1999079f1999"/>
    <w:next w:val="a"/>
    <w:pPr>
      <w:ind w:left="840"/>
    </w:pPr>
  </w:style>
  <w:style w:type="paragraph" w:customStyle="1" w:styleId="footer37aa63e937aa63e9">
    <w:name w:val="footer37aa63e937aa63e9"/>
    <w:basedOn w:val="Normal079f1999079f1999"/>
    <w:pPr>
      <w:tabs>
        <w:tab w:val="center" w:pos="4153"/>
        <w:tab w:val="right" w:pos="8307"/>
      </w:tabs>
      <w:snapToGrid w:val="0"/>
      <w:jc w:val="left"/>
    </w:pPr>
    <w:rPr>
      <w:sz w:val="18"/>
    </w:rPr>
  </w:style>
  <w:style w:type="paragraph" w:customStyle="1" w:styleId="header3a40c3873a40c387">
    <w:name w:val="header3a40c3873a40c387"/>
    <w:basedOn w:val="Normal079f1999079f1999"/>
    <w:pPr>
      <w:pBdr>
        <w:bottom w:val="single" w:sz="6" w:space="1" w:color="auto"/>
      </w:pBdr>
      <w:tabs>
        <w:tab w:val="center" w:pos="4153"/>
        <w:tab w:val="right" w:pos="8307"/>
      </w:tabs>
      <w:snapToGrid w:val="0"/>
      <w:jc w:val="center"/>
    </w:pPr>
    <w:rPr>
      <w:sz w:val="18"/>
    </w:rPr>
  </w:style>
  <w:style w:type="paragraph" w:customStyle="1" w:styleId="toc1f23fcbaef23fcbae">
    <w:name w:val="toc 1f23fcbaef23fcbae"/>
    <w:basedOn w:val="Normal079f1999079f1999"/>
    <w:next w:val="a"/>
  </w:style>
  <w:style w:type="paragraph" w:customStyle="1" w:styleId="toc497602e3f97602e3f">
    <w:name w:val="toc 497602e3f97602e3f"/>
    <w:basedOn w:val="Normal079f1999079f1999"/>
    <w:next w:val="a"/>
    <w:pPr>
      <w:ind w:left="1260"/>
    </w:pPr>
  </w:style>
  <w:style w:type="paragraph" w:customStyle="1" w:styleId="toc24cee3a184cee3a18">
    <w:name w:val="toc 24cee3a184cee3a18"/>
    <w:basedOn w:val="Normal079f1999079f1999"/>
    <w:next w:val="a"/>
    <w:pPr>
      <w:ind w:left="420"/>
    </w:pPr>
  </w:style>
  <w:style w:type="paragraph" w:customStyle="1" w:styleId="125e0a64425e0a644">
    <w:name w:val="列出段落125e0a64425e0a644"/>
    <w:pPr>
      <w:widowControl w:val="0"/>
      <w:ind w:firstLineChars="200" w:firstLine="200"/>
      <w:jc w:val="both"/>
    </w:pPr>
    <w:rPr>
      <w:rFonts w:ascii="方正黑体_GBK" w:eastAsia="方正黑体_GBK" w:hAnsi="方正黑体_GBK" w:cs="Times New Roman"/>
      <w:szCs w:val="21"/>
    </w:rPr>
  </w:style>
  <w:style w:type="paragraph" w:customStyle="1" w:styleId="10">
    <w:name w:val="列出段落1"/>
    <w:basedOn w:val="a"/>
    <w:uiPriority w:val="99"/>
    <w:qFormat/>
    <w:pPr>
      <w:ind w:firstLineChars="200" w:firstLine="420"/>
    </w:pPr>
  </w:style>
  <w:style w:type="paragraph" w:customStyle="1" w:styleId="11">
    <w:name w:val="列表段落1"/>
    <w:basedOn w:val="a"/>
    <w:uiPriority w:val="34"/>
    <w:unhideWhenUsed/>
    <w:qFormat/>
    <w:pPr>
      <w:ind w:firstLineChars="200" w:firstLine="420"/>
    </w:pPr>
  </w:style>
  <w:style w:type="character" w:customStyle="1" w:styleId="fontstyle01">
    <w:name w:val="fontstyle01"/>
    <w:qFormat/>
    <w:rPr>
      <w:rFonts w:ascii="MicrosoftYaHei_PDF_Subset" w:hAnsi="MicrosoftYaHei_PDF_Subset"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4212</Words>
  <Characters>24013</Characters>
  <Application>Microsoft Office Word</Application>
  <DocSecurity>0</DocSecurity>
  <Lines>200</Lines>
  <Paragraphs>56</Paragraphs>
  <ScaleCrop>false</ScaleCrop>
  <Company/>
  <LinksUpToDate>false</LinksUpToDate>
  <CharactersWithSpaces>28169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2025-11-07T07:50:00Z</dcterms:created>
  <dcterms:modified xsi:type="dcterms:W3CDTF">2025-11-07T07:50:00Z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