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1840" w:rsidRDefault="002A33A1">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151840" w:rsidRDefault="002A33A1">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151840" w:rsidRDefault="002A33A1">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151840" w:rsidRDefault="002A33A1">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151840" w:rsidRDefault="002A33A1">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151840" w:rsidRDefault="002A33A1">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151840" w:rsidRDefault="002A33A1">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151840" w:rsidRDefault="002A33A1">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151840" w:rsidRDefault="002A33A1">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rsidR="00151840" w:rsidRDefault="002A33A1">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151840" w:rsidRDefault="002A33A1">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151840" w:rsidRDefault="002A33A1">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151840" w:rsidRDefault="002A33A1">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151840" w:rsidRDefault="002A33A1">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rsidR="00151840" w:rsidRDefault="002A33A1">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151840" w:rsidRDefault="002A33A1">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151840" w:rsidRDefault="002A33A1">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151840" w:rsidRDefault="002A33A1">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151840" w:rsidRDefault="002A33A1">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151840" w:rsidRDefault="002A33A1">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151840" w:rsidRDefault="002A33A1">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w:t>
      </w:r>
      <w:r>
        <w:rPr>
          <w:rFonts w:hint="eastAsia"/>
          <w:color w:val="3D3D3D"/>
          <w:kern w:val="0"/>
          <w:sz w:val="13"/>
          <w:szCs w:val="13"/>
        </w:rPr>
        <w:t>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151840" w:rsidRDefault="002A33A1">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w:t>
      </w:r>
      <w:r>
        <w:rPr>
          <w:rFonts w:hint="eastAsia"/>
          <w:color w:val="3D3D3D"/>
          <w:kern w:val="0"/>
          <w:sz w:val="13"/>
          <w:szCs w:val="13"/>
        </w:rPr>
        <w:t>造成本理财产品单位净值下跌、本金损失的情况。</w:t>
      </w:r>
    </w:p>
    <w:p w:rsidR="00151840" w:rsidRDefault="002A33A1">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151840" w:rsidRDefault="002A33A1">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151840" w:rsidRDefault="002A33A1">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w:t>
      </w:r>
      <w:r>
        <w:rPr>
          <w:rFonts w:hint="eastAsia"/>
          <w:color w:val="3D3D3D"/>
          <w:kern w:val="0"/>
          <w:sz w:val="13"/>
          <w:szCs w:val="13"/>
        </w:rPr>
        <w:t>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151840" w:rsidRDefault="002A33A1">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151840" w:rsidRDefault="002A33A1">
      <w:pPr>
        <w:widowControl/>
        <w:spacing w:line="200" w:lineRule="exact"/>
        <w:ind w:firstLine="260"/>
        <w:rPr>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151840" w:rsidRDefault="002A33A1">
      <w:pPr>
        <w:pStyle w:val="Normal9d55f5f6"/>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151840" w:rsidRDefault="002A33A1">
      <w:pPr>
        <w:spacing w:line="200" w:lineRule="exact"/>
      </w:pPr>
      <w:r>
        <w:rPr>
          <w:rFonts w:cs="宋体"/>
          <w:b/>
          <w:sz w:val="13"/>
          <w:szCs w:val="20"/>
        </w:rPr>
        <w:t xml:space="preserve">    1.</w:t>
      </w:r>
      <w:r>
        <w:rPr>
          <w:rFonts w:cs="宋体"/>
          <w:b/>
          <w:sz w:val="13"/>
          <w:szCs w:val="20"/>
        </w:rPr>
        <w:t>债券类资产投资风险</w:t>
      </w:r>
    </w:p>
    <w:p w:rsidR="00151840" w:rsidRDefault="002A33A1">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151840" w:rsidRDefault="002A33A1">
      <w:pPr>
        <w:spacing w:line="200" w:lineRule="exact"/>
      </w:pPr>
      <w:r>
        <w:rPr>
          <w:rFonts w:cs="宋体"/>
          <w:b/>
          <w:sz w:val="13"/>
          <w:szCs w:val="20"/>
        </w:rPr>
        <w:t xml:space="preserve">    2.</w:t>
      </w:r>
      <w:r>
        <w:rPr>
          <w:rFonts w:cs="宋体"/>
          <w:b/>
          <w:sz w:val="13"/>
          <w:szCs w:val="20"/>
        </w:rPr>
        <w:t>非标准化债权类资产投资风险</w:t>
      </w:r>
    </w:p>
    <w:p w:rsidR="00151840" w:rsidRDefault="002A33A1">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rsidR="00151840" w:rsidRDefault="002A33A1">
      <w:pPr>
        <w:spacing w:line="200" w:lineRule="exact"/>
      </w:pPr>
      <w:r>
        <w:rPr>
          <w:rFonts w:cs="宋体"/>
          <w:b/>
          <w:sz w:val="13"/>
          <w:szCs w:val="20"/>
        </w:rPr>
        <w:t xml:space="preserve">    3.</w:t>
      </w:r>
      <w:r>
        <w:rPr>
          <w:rFonts w:cs="宋体"/>
          <w:b/>
          <w:sz w:val="13"/>
          <w:szCs w:val="20"/>
        </w:rPr>
        <w:t>资产管理产品投资风险</w:t>
      </w:r>
    </w:p>
    <w:p w:rsidR="00151840" w:rsidRDefault="002A33A1">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151840" w:rsidRDefault="002A33A1">
      <w:pPr>
        <w:spacing w:line="200" w:lineRule="exact"/>
      </w:pPr>
      <w:r>
        <w:rPr>
          <w:rFonts w:cs="宋体"/>
          <w:b/>
          <w:sz w:val="13"/>
          <w:szCs w:val="20"/>
        </w:rPr>
        <w:t xml:space="preserve">    4.</w:t>
      </w:r>
      <w:r>
        <w:rPr>
          <w:rFonts w:cs="宋体"/>
          <w:b/>
          <w:sz w:val="13"/>
          <w:szCs w:val="20"/>
        </w:rPr>
        <w:t>非标准化债权类资产无法投资的风险</w:t>
      </w:r>
    </w:p>
    <w:p w:rsidR="00151840" w:rsidRDefault="002A33A1">
      <w:pPr>
        <w:spacing w:line="200" w:lineRule="exact"/>
      </w:pPr>
      <w:r>
        <w:rPr>
          <w:rFonts w:cs="宋体"/>
          <w:b/>
          <w:sz w:val="13"/>
          <w:szCs w:val="20"/>
        </w:rPr>
        <w:t xml:space="preserve">    </w:t>
      </w:r>
      <w:r>
        <w:rPr>
          <w:rFonts w:cs="宋体"/>
          <w:b/>
          <w:sz w:val="13"/>
          <w:szCs w:val="20"/>
        </w:rPr>
        <w:t>若受到市场影响出现融资人临时变更融资要素（如取消该笔资产发行或改变资产的发行时间、资产收益等要素）导致本理财产品无法投资对应资产时，为最大程度保障投资者权益，管理人有权采取如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rsidR="00151840" w:rsidRDefault="002A33A1">
      <w:pPr>
        <w:pStyle w:val="Normal9d55f5f6"/>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rsidR="00151840" w:rsidRDefault="002A33A1">
      <w:pPr>
        <w:pStyle w:val="Normal9d55f5f6"/>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196</w:t>
      </w:r>
      <w:r>
        <w:rPr>
          <w:rFonts w:hint="eastAsia"/>
          <w:b/>
          <w:bCs/>
          <w:color w:val="3D3D3D"/>
          <w:kern w:val="0"/>
          <w:sz w:val="13"/>
          <w:szCs w:val="13"/>
        </w:rPr>
        <w:t>天</w:t>
      </w:r>
      <w:r>
        <w:rPr>
          <w:rFonts w:hint="eastAsia"/>
          <w:b/>
          <w:color w:val="3D3D3D"/>
          <w:kern w:val="0"/>
          <w:sz w:val="13"/>
          <w:szCs w:val="13"/>
        </w:rPr>
        <w:t>。</w:t>
      </w:r>
    </w:p>
    <w:p w:rsidR="00151840" w:rsidRDefault="002A33A1">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151840" w:rsidRDefault="002A33A1">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151840" w:rsidRDefault="002A33A1">
      <w:pPr>
        <w:pStyle w:val="Normal9d55f5f6"/>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151840" w:rsidRDefault="002A33A1">
      <w:pPr>
        <w:pStyle w:val="Normal9d55f5f6"/>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151840" w:rsidRDefault="002A33A1">
      <w:pPr>
        <w:pStyle w:val="Normal9d55f5f6"/>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151840" w:rsidRDefault="002A33A1">
      <w:pPr>
        <w:pStyle w:val="Normal9d55f5f6"/>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151840" w:rsidRDefault="00151840">
      <w:pPr>
        <w:pStyle w:val="Normal9d55f5f6"/>
        <w:widowControl/>
        <w:spacing w:line="200" w:lineRule="exact"/>
        <w:ind w:firstLine="260"/>
        <w:rPr>
          <w:b/>
          <w:color w:val="3D3D3D"/>
          <w:kern w:val="0"/>
          <w:sz w:val="13"/>
          <w:szCs w:val="13"/>
        </w:rPr>
      </w:pPr>
    </w:p>
    <w:p w:rsidR="00151840" w:rsidRDefault="002A33A1">
      <w:pPr>
        <w:pStyle w:val="Normal9d55f5f6"/>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151840" w:rsidRDefault="00151840">
      <w:pPr>
        <w:pStyle w:val="Normal9d55f5f6"/>
        <w:widowControl/>
        <w:spacing w:line="200" w:lineRule="exact"/>
        <w:ind w:firstLine="260"/>
        <w:jc w:val="center"/>
        <w:rPr>
          <w:b/>
          <w:color w:val="3D3D3D"/>
          <w:kern w:val="0"/>
          <w:sz w:val="15"/>
          <w:szCs w:val="15"/>
          <w:u w:val="single"/>
        </w:rPr>
      </w:pPr>
    </w:p>
    <w:p w:rsidR="00151840" w:rsidRDefault="002A33A1">
      <w:pPr>
        <w:pStyle w:val="Normal9d55f5f6"/>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151840" w:rsidRDefault="002A33A1">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151840" w:rsidRDefault="002A33A1">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151840" w:rsidRDefault="002A33A1">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w:t>
      </w:r>
      <w:r>
        <w:rPr>
          <w:rFonts w:hint="eastAsia"/>
          <w:b/>
          <w:color w:val="3D3D3D"/>
          <w:kern w:val="0"/>
          <w:sz w:val="15"/>
          <w:szCs w:val="15"/>
          <w:u w:val="single"/>
        </w:rPr>
        <w:t>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151840" w:rsidRDefault="002A33A1">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151840" w:rsidRDefault="002A33A1">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151840" w:rsidRDefault="002A33A1">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151840" w:rsidRDefault="002A33A1">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w:t>
      </w:r>
      <w:r>
        <w:rPr>
          <w:rFonts w:hint="eastAsia"/>
          <w:b/>
          <w:color w:val="3D3D3D"/>
          <w:kern w:val="0"/>
          <w:sz w:val="15"/>
          <w:szCs w:val="15"/>
          <w:u w:val="single"/>
        </w:rPr>
        <w:t>品销售文件之外的任何陈述、说明、文件或承诺，南银理财和销售机构的义务和责任以理财产品销售文件明确记载的书面内容为准。</w:t>
      </w:r>
    </w:p>
    <w:p w:rsidR="00151840" w:rsidRDefault="002A33A1">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151840" w:rsidRDefault="002A33A1">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151840" w:rsidRDefault="002A33A1">
      <w:pPr>
        <w:widowControl/>
        <w:spacing w:line="200" w:lineRule="exact"/>
        <w:ind w:firstLine="210"/>
        <w:rPr>
          <w:color w:val="3D3D3D"/>
          <w:kern w:val="0"/>
          <w:sz w:val="15"/>
          <w:szCs w:val="15"/>
        </w:rPr>
      </w:pPr>
      <w:r>
        <w:rPr>
          <w:rFonts w:hint="eastAsia"/>
          <w:color w:val="3D3D3D"/>
          <w:kern w:val="0"/>
          <w:sz w:val="15"/>
          <w:szCs w:val="15"/>
        </w:rPr>
        <w:t xml:space="preserve">         </w:t>
      </w:r>
    </w:p>
    <w:p w:rsidR="00151840" w:rsidRDefault="00151840">
      <w:pPr>
        <w:widowControl/>
        <w:spacing w:line="200" w:lineRule="exact"/>
        <w:ind w:firstLine="210"/>
        <w:rPr>
          <w:color w:val="3D3D3D"/>
          <w:kern w:val="0"/>
          <w:sz w:val="15"/>
          <w:szCs w:val="15"/>
        </w:rPr>
      </w:pPr>
    </w:p>
    <w:p w:rsidR="00151840" w:rsidRDefault="002A33A1">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151840" w:rsidRDefault="00151840">
      <w:pPr>
        <w:widowControl/>
        <w:spacing w:line="200" w:lineRule="exact"/>
        <w:ind w:firstLine="210"/>
        <w:rPr>
          <w:color w:val="3D3D3D"/>
          <w:kern w:val="0"/>
          <w:sz w:val="13"/>
          <w:szCs w:val="13"/>
        </w:rPr>
      </w:pPr>
    </w:p>
    <w:p w:rsidR="00151840" w:rsidRDefault="00151840">
      <w:pPr>
        <w:widowControl/>
        <w:spacing w:line="200" w:lineRule="exact"/>
        <w:ind w:firstLine="210"/>
        <w:jc w:val="left"/>
        <w:rPr>
          <w:color w:val="3D3D3D"/>
          <w:kern w:val="0"/>
          <w:sz w:val="13"/>
          <w:szCs w:val="13"/>
        </w:rPr>
      </w:pPr>
    </w:p>
    <w:p w:rsidR="00151840" w:rsidRDefault="00151840">
      <w:pPr>
        <w:widowControl/>
        <w:spacing w:line="200" w:lineRule="exact"/>
        <w:ind w:firstLine="210"/>
        <w:jc w:val="left"/>
        <w:rPr>
          <w:color w:val="3D3D3D"/>
          <w:kern w:val="0"/>
          <w:sz w:val="13"/>
          <w:szCs w:val="13"/>
        </w:rPr>
      </w:pPr>
    </w:p>
    <w:tbl>
      <w:tblPr>
        <w:tblW w:w="0" w:type="auto"/>
        <w:tblInd w:w="-6"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151840">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400" w:lineRule="exact"/>
              <w:jc w:val="center"/>
              <w:rPr>
                <w:b/>
                <w:sz w:val="15"/>
                <w:szCs w:val="15"/>
              </w:rPr>
            </w:pPr>
            <w:r>
              <w:rPr>
                <w:rFonts w:hint="eastAsia"/>
                <w:b/>
                <w:sz w:val="15"/>
                <w:szCs w:val="15"/>
              </w:rPr>
              <w:t>个人投资者</w:t>
            </w:r>
          </w:p>
        </w:tc>
      </w:tr>
      <w:tr w:rsidR="00151840">
        <w:tc>
          <w:tcPr>
            <w:tcW w:w="9287" w:type="dxa"/>
            <w:tcBorders>
              <w:top w:val="single" w:sz="4" w:space="0" w:color="auto"/>
              <w:left w:val="single" w:sz="4" w:space="0" w:color="auto"/>
              <w:bottom w:val="single" w:sz="4" w:space="0" w:color="auto"/>
              <w:right w:val="single" w:sz="4" w:space="0" w:color="auto"/>
              <w:tl2br w:val="nil"/>
              <w:tr2bl w:val="nil"/>
            </w:tcBorders>
          </w:tcPr>
          <w:p w:rsidR="00151840" w:rsidRDefault="002A33A1">
            <w:pPr>
              <w:widowControl/>
              <w:spacing w:line="360" w:lineRule="auto"/>
              <w:rPr>
                <w:color w:val="3D3D3D"/>
                <w:kern w:val="0"/>
                <w:sz w:val="13"/>
                <w:szCs w:val="13"/>
              </w:rPr>
            </w:pPr>
            <w:r>
              <w:rPr>
                <w:rFonts w:hint="eastAsia"/>
                <w:sz w:val="15"/>
                <w:szCs w:val="15"/>
              </w:rPr>
              <w:t>签名：</w:t>
            </w:r>
          </w:p>
          <w:p w:rsidR="00151840" w:rsidRDefault="002A33A1">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151840">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400" w:lineRule="exact"/>
              <w:jc w:val="center"/>
              <w:rPr>
                <w:sz w:val="15"/>
                <w:szCs w:val="15"/>
              </w:rPr>
            </w:pPr>
            <w:r>
              <w:rPr>
                <w:rFonts w:hint="eastAsia"/>
                <w:b/>
                <w:bCs/>
                <w:color w:val="3D3D3D"/>
                <w:kern w:val="0"/>
                <w:sz w:val="15"/>
                <w:szCs w:val="15"/>
              </w:rPr>
              <w:t>机构投资者</w:t>
            </w:r>
          </w:p>
        </w:tc>
      </w:tr>
      <w:tr w:rsidR="00151840">
        <w:tc>
          <w:tcPr>
            <w:tcW w:w="9287" w:type="dxa"/>
            <w:tcBorders>
              <w:top w:val="single" w:sz="4" w:space="0" w:color="auto"/>
              <w:left w:val="single" w:sz="4" w:space="0" w:color="auto"/>
              <w:bottom w:val="single" w:sz="4" w:space="0" w:color="auto"/>
              <w:right w:val="single" w:sz="4" w:space="0" w:color="auto"/>
              <w:tl2br w:val="nil"/>
              <w:tr2bl w:val="nil"/>
            </w:tcBorders>
          </w:tcPr>
          <w:p w:rsidR="00151840" w:rsidRDefault="00151840">
            <w:pPr>
              <w:widowControl/>
              <w:spacing w:line="200" w:lineRule="exact"/>
              <w:jc w:val="left"/>
              <w:rPr>
                <w:b/>
                <w:bCs/>
                <w:color w:val="3D3D3D"/>
                <w:kern w:val="0"/>
                <w:sz w:val="15"/>
                <w:szCs w:val="15"/>
              </w:rPr>
            </w:pPr>
          </w:p>
          <w:p w:rsidR="00151840" w:rsidRDefault="002A33A1">
            <w:pPr>
              <w:widowControl/>
              <w:spacing w:line="200" w:lineRule="exact"/>
              <w:jc w:val="left"/>
              <w:rPr>
                <w:b/>
                <w:bCs/>
                <w:color w:val="3D3D3D"/>
                <w:kern w:val="0"/>
                <w:sz w:val="15"/>
                <w:szCs w:val="15"/>
              </w:rPr>
            </w:pPr>
            <w:r>
              <w:rPr>
                <w:rFonts w:hint="eastAsia"/>
                <w:b/>
                <w:bCs/>
                <w:color w:val="3D3D3D"/>
                <w:kern w:val="0"/>
                <w:sz w:val="15"/>
                <w:szCs w:val="15"/>
              </w:rPr>
              <w:t>盖章（公章）</w:t>
            </w:r>
          </w:p>
          <w:p w:rsidR="00151840" w:rsidRDefault="00151840">
            <w:pPr>
              <w:widowControl/>
              <w:spacing w:line="200" w:lineRule="exact"/>
              <w:jc w:val="left"/>
              <w:rPr>
                <w:b/>
                <w:bCs/>
                <w:color w:val="3D3D3D"/>
                <w:kern w:val="0"/>
                <w:sz w:val="15"/>
                <w:szCs w:val="15"/>
              </w:rPr>
            </w:pPr>
          </w:p>
          <w:p w:rsidR="00151840" w:rsidRDefault="002A33A1">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151840" w:rsidRDefault="00151840">
            <w:pPr>
              <w:widowControl/>
              <w:spacing w:line="200" w:lineRule="exact"/>
              <w:jc w:val="left"/>
              <w:rPr>
                <w:color w:val="3D3D3D"/>
                <w:kern w:val="0"/>
                <w:sz w:val="13"/>
                <w:szCs w:val="13"/>
              </w:rPr>
            </w:pPr>
          </w:p>
          <w:p w:rsidR="00151840" w:rsidRDefault="002A33A1">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151840">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151840">
        <w:tc>
          <w:tcPr>
            <w:tcW w:w="9287" w:type="dxa"/>
            <w:tcBorders>
              <w:top w:val="single" w:sz="4" w:space="0" w:color="auto"/>
              <w:left w:val="single" w:sz="4" w:space="0" w:color="auto"/>
              <w:bottom w:val="single" w:sz="4" w:space="0" w:color="auto"/>
              <w:right w:val="single" w:sz="4" w:space="0" w:color="auto"/>
              <w:tl2br w:val="nil"/>
              <w:tr2bl w:val="nil"/>
            </w:tcBorders>
          </w:tcPr>
          <w:p w:rsidR="00151840" w:rsidRDefault="002A33A1">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151840" w:rsidRDefault="002A33A1">
      <w:r>
        <w:br w:type="page"/>
      </w:r>
    </w:p>
    <w:p w:rsidR="00151840" w:rsidRDefault="002A33A1">
      <w:pPr>
        <w:pStyle w:val="Normalc9493ccd"/>
        <w:spacing w:line="0" w:lineRule="atLeast"/>
        <w:jc w:val="center"/>
        <w:rPr>
          <w:b/>
          <w:bCs/>
          <w:kern w:val="0"/>
          <w:sz w:val="24"/>
          <w:szCs w:val="24"/>
        </w:rPr>
      </w:pPr>
      <w:r>
        <w:rPr>
          <w:b/>
          <w:bCs/>
          <w:kern w:val="0"/>
          <w:sz w:val="24"/>
          <w:szCs w:val="15"/>
        </w:rPr>
        <w:t xml:space="preserve"> </w:t>
      </w:r>
      <w:r>
        <w:rPr>
          <w:rFonts w:hint="eastAsia"/>
          <w:b/>
          <w:bCs/>
          <w:kern w:val="0"/>
          <w:sz w:val="24"/>
          <w:szCs w:val="24"/>
        </w:rPr>
        <w:t>理财产品说明书</w:t>
      </w:r>
    </w:p>
    <w:p w:rsidR="00151840" w:rsidRDefault="002A33A1">
      <w:pPr>
        <w:pStyle w:val="Normalc9493ccd"/>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151840" w:rsidRDefault="002A33A1">
      <w:pPr>
        <w:pStyle w:val="NormalWeb3b29b31b"/>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151840">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南银理财珠联璧合鑫逸稳半年</w:t>
            </w:r>
            <w:r>
              <w:rPr>
                <w:rFonts w:hint="eastAsia"/>
                <w:kern w:val="0"/>
                <w:sz w:val="18"/>
                <w:szCs w:val="18"/>
              </w:rPr>
              <w:t>151</w:t>
            </w:r>
            <w:r>
              <w:rPr>
                <w:rFonts w:hint="eastAsia"/>
                <w:kern w:val="0"/>
                <w:sz w:val="18"/>
                <w:szCs w:val="18"/>
              </w:rPr>
              <w:t>期封闭式公募人民币理财产品</w:t>
            </w:r>
          </w:p>
        </w:tc>
      </w:tr>
      <w:tr w:rsidR="00151840">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151840" w:rsidRDefault="002A33A1">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151840" w:rsidRDefault="002A33A1">
            <w:pPr>
              <w:widowControl/>
              <w:spacing w:line="200" w:lineRule="exact"/>
              <w:jc w:val="left"/>
              <w:rPr>
                <w:kern w:val="0"/>
                <w:sz w:val="18"/>
                <w:szCs w:val="18"/>
              </w:rPr>
            </w:pPr>
            <w:r>
              <w:rPr>
                <w:rFonts w:hint="eastAsia"/>
                <w:kern w:val="0"/>
                <w:sz w:val="18"/>
                <w:szCs w:val="18"/>
              </w:rPr>
              <w:t>封闭式、固定收益类、公募、净值型</w:t>
            </w:r>
          </w:p>
        </w:tc>
      </w:tr>
      <w:tr w:rsidR="00151840">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151840" w:rsidRDefault="002A33A1">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151840" w:rsidRDefault="002A33A1">
            <w:pPr>
              <w:widowControl/>
              <w:spacing w:line="200" w:lineRule="exact"/>
              <w:jc w:val="left"/>
              <w:rPr>
                <w:kern w:val="0"/>
                <w:sz w:val="18"/>
                <w:szCs w:val="18"/>
              </w:rPr>
            </w:pPr>
            <w:r>
              <w:rPr>
                <w:rFonts w:hint="eastAsia"/>
                <w:kern w:val="0"/>
                <w:sz w:val="18"/>
                <w:szCs w:val="18"/>
              </w:rPr>
              <w:t>公开募集</w:t>
            </w:r>
          </w:p>
        </w:tc>
      </w:tr>
      <w:tr w:rsidR="00151840">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ZZ700322500573</w:t>
            </w:r>
          </w:p>
        </w:tc>
      </w:tr>
      <w:tr w:rsidR="00151840">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cs="宋体" w:hint="eastAsia"/>
                <w:kern w:val="0"/>
                <w:sz w:val="18"/>
                <w:szCs w:val="18"/>
              </w:rPr>
              <w:t>Z7003225000367(</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15184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pPr>
            <w:r>
              <w:rPr>
                <w:rFonts w:cs="宋体"/>
                <w:sz w:val="18"/>
                <w:szCs w:val="18"/>
              </w:rPr>
              <w:t>A</w:t>
            </w:r>
            <w:r>
              <w:rPr>
                <w:rFonts w:cs="宋体"/>
                <w:sz w:val="18"/>
                <w:szCs w:val="18"/>
              </w:rPr>
              <w:t>份额：</w:t>
            </w:r>
            <w:r>
              <w:rPr>
                <w:rFonts w:cs="宋体"/>
                <w:sz w:val="18"/>
                <w:szCs w:val="18"/>
              </w:rPr>
              <w:t>Y70151</w:t>
            </w:r>
          </w:p>
          <w:p w:rsidR="00151840" w:rsidRDefault="002A33A1">
            <w:pPr>
              <w:spacing w:line="200" w:lineRule="exact"/>
            </w:pPr>
            <w:r>
              <w:rPr>
                <w:rFonts w:cs="宋体"/>
                <w:sz w:val="18"/>
                <w:szCs w:val="18"/>
              </w:rPr>
              <w:t>B</w:t>
            </w:r>
            <w:r>
              <w:rPr>
                <w:rFonts w:cs="宋体"/>
                <w:sz w:val="18"/>
                <w:szCs w:val="18"/>
              </w:rPr>
              <w:t>份额：</w:t>
            </w:r>
            <w:r>
              <w:rPr>
                <w:rFonts w:cs="宋体"/>
                <w:sz w:val="18"/>
                <w:szCs w:val="18"/>
              </w:rPr>
              <w:t>Y71151</w:t>
            </w:r>
          </w:p>
          <w:p w:rsidR="00151840" w:rsidRDefault="002A33A1">
            <w:pPr>
              <w:spacing w:line="200" w:lineRule="exact"/>
            </w:pPr>
            <w:r>
              <w:rPr>
                <w:rFonts w:cs="宋体"/>
                <w:sz w:val="18"/>
                <w:szCs w:val="18"/>
              </w:rPr>
              <w:t>C</w:t>
            </w:r>
            <w:r>
              <w:rPr>
                <w:rFonts w:cs="宋体"/>
                <w:sz w:val="18"/>
                <w:szCs w:val="18"/>
              </w:rPr>
              <w:t>份额：</w:t>
            </w:r>
            <w:r>
              <w:rPr>
                <w:rFonts w:cs="宋体"/>
                <w:sz w:val="18"/>
                <w:szCs w:val="18"/>
              </w:rPr>
              <w:t>Y72151</w:t>
            </w:r>
          </w:p>
          <w:p w:rsidR="00151840" w:rsidRDefault="002A33A1">
            <w:pPr>
              <w:spacing w:line="200" w:lineRule="exact"/>
            </w:pPr>
            <w:r>
              <w:rPr>
                <w:rFonts w:cs="宋体"/>
                <w:sz w:val="18"/>
                <w:szCs w:val="18"/>
              </w:rPr>
              <w:t>D</w:t>
            </w:r>
            <w:r>
              <w:rPr>
                <w:rFonts w:cs="宋体"/>
                <w:sz w:val="18"/>
                <w:szCs w:val="18"/>
              </w:rPr>
              <w:t>份额：</w:t>
            </w:r>
            <w:r>
              <w:rPr>
                <w:rFonts w:cs="宋体"/>
                <w:sz w:val="18"/>
                <w:szCs w:val="18"/>
              </w:rPr>
              <w:t>Y73151</w:t>
            </w:r>
          </w:p>
          <w:p w:rsidR="00151840" w:rsidRDefault="002A33A1">
            <w:pPr>
              <w:spacing w:line="200" w:lineRule="exact"/>
            </w:pPr>
            <w:r>
              <w:rPr>
                <w:rFonts w:cs="宋体"/>
                <w:sz w:val="18"/>
                <w:szCs w:val="18"/>
              </w:rPr>
              <w:t>F</w:t>
            </w:r>
            <w:r>
              <w:rPr>
                <w:rFonts w:cs="宋体"/>
                <w:sz w:val="18"/>
                <w:szCs w:val="18"/>
              </w:rPr>
              <w:t>份额：</w:t>
            </w:r>
            <w:r>
              <w:rPr>
                <w:rFonts w:cs="宋体"/>
                <w:sz w:val="18"/>
                <w:szCs w:val="18"/>
              </w:rPr>
              <w:t>Y75151</w:t>
            </w:r>
          </w:p>
          <w:p w:rsidR="00151840" w:rsidRDefault="002A33A1">
            <w:pPr>
              <w:spacing w:line="200" w:lineRule="exact"/>
            </w:pPr>
            <w:r>
              <w:rPr>
                <w:rFonts w:cs="宋体"/>
                <w:sz w:val="18"/>
                <w:szCs w:val="18"/>
              </w:rPr>
              <w:t>G</w:t>
            </w:r>
            <w:r>
              <w:rPr>
                <w:rFonts w:cs="宋体"/>
                <w:sz w:val="18"/>
                <w:szCs w:val="18"/>
              </w:rPr>
              <w:t>份额：</w:t>
            </w:r>
            <w:r>
              <w:rPr>
                <w:rFonts w:cs="宋体"/>
                <w:sz w:val="18"/>
                <w:szCs w:val="18"/>
              </w:rPr>
              <w:t>Y76151</w:t>
            </w:r>
          </w:p>
          <w:p w:rsidR="00151840" w:rsidRDefault="002A33A1">
            <w:pPr>
              <w:spacing w:line="200" w:lineRule="exact"/>
            </w:pPr>
            <w:r>
              <w:rPr>
                <w:rFonts w:cs="宋体"/>
                <w:sz w:val="18"/>
                <w:szCs w:val="18"/>
              </w:rPr>
              <w:t>H</w:t>
            </w:r>
            <w:r>
              <w:rPr>
                <w:rFonts w:cs="宋体"/>
                <w:sz w:val="18"/>
                <w:szCs w:val="18"/>
              </w:rPr>
              <w:t>份额：</w:t>
            </w:r>
            <w:r>
              <w:rPr>
                <w:rFonts w:cs="宋体"/>
                <w:sz w:val="18"/>
                <w:szCs w:val="18"/>
              </w:rPr>
              <w:t>Y77151</w:t>
            </w:r>
          </w:p>
          <w:p w:rsidR="00151840" w:rsidRDefault="002A33A1">
            <w:pPr>
              <w:spacing w:line="200" w:lineRule="exact"/>
            </w:pPr>
            <w:r>
              <w:rPr>
                <w:rFonts w:cs="宋体"/>
                <w:sz w:val="18"/>
                <w:szCs w:val="18"/>
              </w:rPr>
              <w:t>J</w:t>
            </w:r>
            <w:r>
              <w:rPr>
                <w:rFonts w:cs="宋体"/>
                <w:sz w:val="18"/>
                <w:szCs w:val="18"/>
              </w:rPr>
              <w:t>份额：</w:t>
            </w:r>
            <w:r>
              <w:rPr>
                <w:rFonts w:cs="宋体"/>
                <w:sz w:val="18"/>
                <w:szCs w:val="18"/>
              </w:rPr>
              <w:t>Y79151</w:t>
            </w:r>
          </w:p>
          <w:p w:rsidR="00151840" w:rsidRDefault="002A33A1">
            <w:pPr>
              <w:spacing w:line="200" w:lineRule="exact"/>
            </w:pPr>
            <w:r>
              <w:rPr>
                <w:rFonts w:cs="宋体"/>
                <w:sz w:val="18"/>
                <w:szCs w:val="18"/>
              </w:rPr>
              <w:t>L</w:t>
            </w:r>
            <w:r>
              <w:rPr>
                <w:rFonts w:cs="宋体"/>
                <w:sz w:val="18"/>
                <w:szCs w:val="18"/>
              </w:rPr>
              <w:t>份额：</w:t>
            </w:r>
            <w:r>
              <w:rPr>
                <w:rFonts w:cs="宋体"/>
                <w:sz w:val="18"/>
                <w:szCs w:val="18"/>
              </w:rPr>
              <w:t>YB70151</w:t>
            </w:r>
          </w:p>
          <w:p w:rsidR="00151840" w:rsidRDefault="002A33A1">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15184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pPr>
            <w:r>
              <w:rPr>
                <w:rFonts w:cs="宋体"/>
                <w:sz w:val="18"/>
                <w:szCs w:val="18"/>
              </w:rPr>
              <w:t>全国</w:t>
            </w:r>
          </w:p>
        </w:tc>
      </w:tr>
      <w:tr w:rsidR="0015184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widowControl/>
              <w:spacing w:line="200" w:lineRule="exact"/>
              <w:jc w:val="left"/>
              <w:textAlignment w:val="center"/>
              <w:rPr>
                <w:kern w:val="0"/>
                <w:sz w:val="18"/>
                <w:szCs w:val="18"/>
              </w:rPr>
            </w:pPr>
            <w:r>
              <w:rPr>
                <w:rFonts w:hint="eastAsia"/>
                <w:kern w:val="0"/>
                <w:sz w:val="18"/>
                <w:szCs w:val="18"/>
              </w:rPr>
              <w:t>人民币</w:t>
            </w:r>
          </w:p>
        </w:tc>
      </w:tr>
      <w:tr w:rsidR="00151840">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151840">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151840" w:rsidRDefault="002A33A1">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151840">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jc w:val="left"/>
            </w:pPr>
            <w:r>
              <w:rPr>
                <w:rFonts w:cs="宋体"/>
                <w:sz w:val="18"/>
                <w:szCs w:val="18"/>
              </w:rPr>
              <w:t>符合相关法律法规、监管规定要求的，经销售机构的风险承受能力评估体系评定为适合的个人和机构投资者。</w:t>
            </w:r>
          </w:p>
          <w:p w:rsidR="00151840" w:rsidRDefault="002A33A1">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F</w:t>
            </w:r>
            <w:r>
              <w:rPr>
                <w:rFonts w:cs="宋体"/>
                <w:sz w:val="18"/>
                <w:szCs w:val="18"/>
              </w:rPr>
              <w:t>、</w:t>
            </w:r>
            <w:r>
              <w:rPr>
                <w:rFonts w:cs="宋体"/>
                <w:sz w:val="18"/>
                <w:szCs w:val="18"/>
              </w:rPr>
              <w:t>G</w:t>
            </w:r>
            <w:r>
              <w:rPr>
                <w:rFonts w:cs="宋体"/>
                <w:sz w:val="18"/>
                <w:szCs w:val="18"/>
              </w:rPr>
              <w:t>、</w:t>
            </w:r>
            <w:r>
              <w:rPr>
                <w:rFonts w:cs="宋体"/>
                <w:sz w:val="18"/>
                <w:szCs w:val="18"/>
              </w:rPr>
              <w:t>H</w:t>
            </w:r>
            <w:r>
              <w:rPr>
                <w:rFonts w:cs="宋体"/>
                <w:sz w:val="18"/>
                <w:szCs w:val="18"/>
              </w:rPr>
              <w:t>、</w:t>
            </w:r>
            <w:r>
              <w:rPr>
                <w:rFonts w:cs="宋体"/>
                <w:sz w:val="18"/>
                <w:szCs w:val="18"/>
              </w:rPr>
              <w:t>J</w:t>
            </w:r>
            <w:r>
              <w:rPr>
                <w:rFonts w:cs="宋体"/>
                <w:sz w:val="18"/>
                <w:szCs w:val="18"/>
              </w:rPr>
              <w:t>、</w:t>
            </w:r>
            <w:r>
              <w:rPr>
                <w:rFonts w:cs="宋体"/>
                <w:sz w:val="18"/>
                <w:szCs w:val="18"/>
              </w:rPr>
              <w:t>L</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151840" w:rsidRDefault="002A33A1">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 xml:space="preserve"> )</w:t>
            </w:r>
            <w:r>
              <w:rPr>
                <w:rFonts w:cs="宋体"/>
                <w:sz w:val="18"/>
                <w:szCs w:val="18"/>
              </w:rPr>
              <w:t>、江苏太仓农村商业银行股份有限公司、青岛银行股份有限公司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、徽商银行股份有限公司</w:t>
            </w:r>
            <w:r>
              <w:rPr>
                <w:rFonts w:cs="宋体"/>
                <w:sz w:val="18"/>
                <w:szCs w:val="18"/>
              </w:rPr>
              <w:t xml:space="preserve">( </w:t>
            </w:r>
            <w:r>
              <w:rPr>
                <w:rFonts w:cs="宋体"/>
                <w:sz w:val="18"/>
                <w:szCs w:val="18"/>
              </w:rPr>
              <w:t>大众客群</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大众客群</w:t>
            </w:r>
            <w:r>
              <w:rPr>
                <w:rFonts w:cs="宋体"/>
                <w:sz w:val="18"/>
                <w:szCs w:val="18"/>
              </w:rPr>
              <w:t>)</w:t>
            </w:r>
            <w:r>
              <w:rPr>
                <w:rFonts w:cs="宋体"/>
                <w:sz w:val="18"/>
                <w:szCs w:val="18"/>
              </w:rPr>
              <w:t>、温州银行股份有限公司、江苏张家港农村商业银行股份有限公司</w:t>
            </w:r>
            <w:r>
              <w:rPr>
                <w:rFonts w:cs="宋体"/>
                <w:sz w:val="18"/>
                <w:szCs w:val="18"/>
              </w:rPr>
              <w:t xml:space="preserve">( </w:t>
            </w:r>
            <w:r>
              <w:rPr>
                <w:rFonts w:cs="宋体"/>
                <w:sz w:val="18"/>
                <w:szCs w:val="18"/>
              </w:rPr>
              <w:t>所有客户</w:t>
            </w:r>
            <w:r>
              <w:rPr>
                <w:rFonts w:cs="宋体"/>
                <w:sz w:val="18"/>
                <w:szCs w:val="18"/>
              </w:rPr>
              <w:t>)</w:t>
            </w:r>
            <w:r>
              <w:rPr>
                <w:rFonts w:cs="宋体"/>
                <w:sz w:val="18"/>
                <w:szCs w:val="18"/>
              </w:rPr>
              <w:t>、烟台银行股份有限公司</w:t>
            </w:r>
            <w:r>
              <w:rPr>
                <w:rFonts w:cs="宋体"/>
                <w:sz w:val="18"/>
                <w:szCs w:val="18"/>
              </w:rPr>
              <w:t>(</w:t>
            </w:r>
            <w:r>
              <w:rPr>
                <w:rFonts w:cs="宋体"/>
                <w:sz w:val="18"/>
                <w:szCs w:val="18"/>
              </w:rPr>
              <w:t>工会卡</w:t>
            </w:r>
            <w:r>
              <w:rPr>
                <w:rFonts w:cs="宋体"/>
                <w:sz w:val="18"/>
                <w:szCs w:val="18"/>
              </w:rPr>
              <w:t xml:space="preserve"> )</w:t>
            </w:r>
            <w:r>
              <w:rPr>
                <w:rFonts w:cs="宋体"/>
                <w:sz w:val="18"/>
                <w:szCs w:val="18"/>
              </w:rPr>
              <w:t>、浙江民泰商业银行股份有限公司、广州银行股份有限公司、江苏常熟农村商业银行股份有限公司</w:t>
            </w:r>
            <w:r>
              <w:rPr>
                <w:rFonts w:cs="宋体"/>
                <w:sz w:val="18"/>
                <w:szCs w:val="18"/>
              </w:rPr>
              <w:t>(</w:t>
            </w:r>
            <w:r>
              <w:rPr>
                <w:rFonts w:cs="宋体"/>
                <w:sz w:val="18"/>
                <w:szCs w:val="18"/>
              </w:rPr>
              <w:t>专属客户</w:t>
            </w:r>
            <w:r>
              <w:rPr>
                <w:rFonts w:cs="宋体"/>
                <w:sz w:val="18"/>
                <w:szCs w:val="18"/>
              </w:rPr>
              <w:t>)</w:t>
            </w:r>
            <w:r>
              <w:rPr>
                <w:rFonts w:cs="宋体"/>
                <w:sz w:val="18"/>
                <w:szCs w:val="18"/>
              </w:rPr>
              <w:t>、江苏苏州农村商业银行股</w:t>
            </w:r>
            <w:r>
              <w:rPr>
                <w:rFonts w:cs="宋体"/>
                <w:sz w:val="18"/>
                <w:szCs w:val="18"/>
              </w:rPr>
              <w:t>份有限公司</w:t>
            </w:r>
            <w:r>
              <w:rPr>
                <w:rFonts w:cs="宋体"/>
                <w:sz w:val="18"/>
                <w:szCs w:val="18"/>
              </w:rPr>
              <w:t xml:space="preserve">( </w:t>
            </w:r>
            <w:r>
              <w:rPr>
                <w:rFonts w:cs="宋体"/>
                <w:sz w:val="18"/>
                <w:szCs w:val="18"/>
              </w:rPr>
              <w:t>专属客户</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财富客户</w:t>
            </w:r>
            <w:r>
              <w:rPr>
                <w:rFonts w:cs="宋体"/>
                <w:sz w:val="18"/>
                <w:szCs w:val="18"/>
              </w:rPr>
              <w:t>)</w:t>
            </w:r>
            <w:r>
              <w:rPr>
                <w:rFonts w:cs="宋体"/>
                <w:sz w:val="18"/>
                <w:szCs w:val="18"/>
              </w:rPr>
              <w:t>、秦皇岛银行股份有限公司、青岛农村商业银行股份有限公司、齐鲁银行股份有限公司</w:t>
            </w:r>
            <w:r>
              <w:rPr>
                <w:rFonts w:cs="宋体"/>
                <w:sz w:val="18"/>
                <w:szCs w:val="18"/>
              </w:rPr>
              <w:t>(</w:t>
            </w:r>
            <w:r>
              <w:rPr>
                <w:rFonts w:cs="宋体"/>
                <w:sz w:val="18"/>
                <w:szCs w:val="18"/>
              </w:rPr>
              <w:t>政务服务中心支行开业专享</w:t>
            </w:r>
            <w:r>
              <w:rPr>
                <w:rFonts w:cs="宋体"/>
                <w:sz w:val="18"/>
                <w:szCs w:val="18"/>
              </w:rPr>
              <w:t>)</w:t>
            </w:r>
            <w:r>
              <w:rPr>
                <w:rFonts w:cs="宋体"/>
                <w:sz w:val="18"/>
                <w:szCs w:val="18"/>
              </w:rPr>
              <w:t>、甘肃银行股份有限公司、台州银行股份有限公司</w:t>
            </w:r>
            <w:r>
              <w:rPr>
                <w:rFonts w:cs="宋体"/>
                <w:sz w:val="18"/>
                <w:szCs w:val="18"/>
              </w:rPr>
              <w:t>(</w:t>
            </w:r>
            <w:r>
              <w:rPr>
                <w:rFonts w:cs="宋体"/>
                <w:sz w:val="18"/>
                <w:szCs w:val="18"/>
              </w:rPr>
              <w:t>普通客群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滨海分行专属</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、中原银行股份有限公司</w:t>
            </w:r>
            <w:r>
              <w:rPr>
                <w:rFonts w:cs="宋体"/>
                <w:sz w:val="18"/>
                <w:szCs w:val="18"/>
              </w:rPr>
              <w:t>(</w:t>
            </w:r>
            <w:r>
              <w:rPr>
                <w:rFonts w:cs="宋体"/>
                <w:sz w:val="18"/>
                <w:szCs w:val="18"/>
              </w:rPr>
              <w:t>县域客群专属</w:t>
            </w:r>
            <w:r>
              <w:rPr>
                <w:rFonts w:cs="宋体"/>
                <w:sz w:val="18"/>
                <w:szCs w:val="18"/>
              </w:rPr>
              <w:t>)</w:t>
            </w:r>
            <w:r>
              <w:rPr>
                <w:rFonts w:cs="宋体"/>
                <w:sz w:val="18"/>
                <w:szCs w:val="18"/>
              </w:rPr>
              <w:t>、桂林银行股份有限公司</w:t>
            </w:r>
            <w:r>
              <w:rPr>
                <w:rFonts w:cs="宋体"/>
                <w:sz w:val="18"/>
                <w:szCs w:val="18"/>
              </w:rPr>
              <w:t>(</w:t>
            </w:r>
            <w:r>
              <w:rPr>
                <w:rFonts w:cs="宋体"/>
                <w:sz w:val="18"/>
                <w:szCs w:val="18"/>
              </w:rPr>
              <w:t>常规客户</w:t>
            </w:r>
            <w:r>
              <w:rPr>
                <w:rFonts w:cs="宋体"/>
                <w:sz w:val="18"/>
                <w:szCs w:val="18"/>
              </w:rPr>
              <w:t>)</w:t>
            </w:r>
            <w:r>
              <w:rPr>
                <w:rFonts w:cs="宋体"/>
                <w:sz w:val="18"/>
                <w:szCs w:val="18"/>
              </w:rPr>
              <w:t>、石嘴山银行股份有限公司</w:t>
            </w:r>
            <w:r>
              <w:rPr>
                <w:rFonts w:cs="宋体"/>
                <w:sz w:val="18"/>
                <w:szCs w:val="18"/>
              </w:rPr>
              <w:t xml:space="preserve">( </w:t>
            </w:r>
            <w:r>
              <w:rPr>
                <w:rFonts w:cs="宋体"/>
                <w:sz w:val="18"/>
                <w:szCs w:val="18"/>
              </w:rPr>
              <w:t>分行特供</w:t>
            </w:r>
            <w:r>
              <w:rPr>
                <w:rFonts w:cs="宋体"/>
                <w:sz w:val="18"/>
                <w:szCs w:val="18"/>
              </w:rPr>
              <w:t>)</w:t>
            </w:r>
            <w:r>
              <w:rPr>
                <w:rFonts w:cs="宋体"/>
                <w:sz w:val="18"/>
                <w:szCs w:val="18"/>
              </w:rPr>
              <w:t>、江苏江都农村商业银行股份有限公司、江苏淮安农村商业银行股份有限公司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、江</w:t>
            </w:r>
            <w:r>
              <w:rPr>
                <w:rFonts w:cs="宋体"/>
                <w:sz w:val="18"/>
                <w:szCs w:val="18"/>
              </w:rPr>
              <w:t>苏镇江农村商业银行股份有限公司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、江苏紫金农村商业银行股份有限公司、江苏沛县农村商业银行股份有限公司、江苏仪征农村商业银行股份有限公司</w:t>
            </w:r>
            <w:r>
              <w:rPr>
                <w:rFonts w:cs="宋体"/>
                <w:sz w:val="18"/>
                <w:szCs w:val="18"/>
              </w:rPr>
              <w:t>(20</w:t>
            </w:r>
            <w:r>
              <w:rPr>
                <w:rFonts w:cs="宋体"/>
                <w:sz w:val="18"/>
                <w:szCs w:val="18"/>
              </w:rPr>
              <w:t>万元起购</w:t>
            </w:r>
            <w:r>
              <w:rPr>
                <w:rFonts w:cs="宋体"/>
                <w:sz w:val="18"/>
                <w:szCs w:val="18"/>
              </w:rPr>
              <w:t xml:space="preserve"> )</w:t>
            </w:r>
            <w:r>
              <w:rPr>
                <w:rFonts w:cs="宋体"/>
                <w:sz w:val="18"/>
                <w:szCs w:val="18"/>
              </w:rPr>
              <w:t>、江苏海安农村商业银行股份有限公司。</w:t>
            </w:r>
          </w:p>
          <w:p w:rsidR="00151840" w:rsidRDefault="002A33A1">
            <w:pPr>
              <w:spacing w:line="200" w:lineRule="exact"/>
            </w:pPr>
            <w:r>
              <w:rPr>
                <w:rFonts w:cs="宋体"/>
                <w:sz w:val="18"/>
                <w:szCs w:val="18"/>
              </w:rPr>
              <w:t>C</w:t>
            </w:r>
            <w:r>
              <w:rPr>
                <w:rFonts w:cs="宋体"/>
                <w:sz w:val="18"/>
                <w:szCs w:val="18"/>
              </w:rPr>
              <w:t>份额：</w:t>
            </w:r>
            <w:r>
              <w:rPr>
                <w:rFonts w:cs="宋体"/>
                <w:sz w:val="18"/>
                <w:szCs w:val="18"/>
              </w:rPr>
              <w:t>:</w:t>
            </w:r>
            <w:r>
              <w:rPr>
                <w:rFonts w:cs="宋体"/>
                <w:sz w:val="18"/>
                <w:szCs w:val="18"/>
              </w:rPr>
              <w:t>徽商银行股份有限公司</w:t>
            </w:r>
            <w:r>
              <w:rPr>
                <w:rFonts w:cs="宋体"/>
                <w:sz w:val="18"/>
                <w:szCs w:val="18"/>
              </w:rPr>
              <w:t>(</w:t>
            </w:r>
            <w:r>
              <w:rPr>
                <w:rFonts w:cs="宋体"/>
                <w:sz w:val="18"/>
                <w:szCs w:val="18"/>
              </w:rPr>
              <w:t>特定分行专享</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、四川天府银行股份有限公司</w:t>
            </w:r>
            <w:r>
              <w:rPr>
                <w:rFonts w:cs="宋体"/>
                <w:sz w:val="18"/>
                <w:szCs w:val="18"/>
              </w:rPr>
              <w:t xml:space="preserve">( </w:t>
            </w:r>
            <w:r>
              <w:rPr>
                <w:rFonts w:cs="宋体"/>
                <w:sz w:val="18"/>
                <w:szCs w:val="18"/>
              </w:rPr>
              <w:t>新客新资金客户</w:t>
            </w:r>
            <w:r>
              <w:rPr>
                <w:rFonts w:cs="宋体"/>
                <w:sz w:val="18"/>
                <w:szCs w:val="18"/>
              </w:rPr>
              <w:t>)</w:t>
            </w:r>
            <w:r>
              <w:rPr>
                <w:rFonts w:cs="宋体"/>
                <w:sz w:val="18"/>
                <w:szCs w:val="18"/>
              </w:rPr>
              <w:t>、江苏张家港农村商业银行股份有限公司</w:t>
            </w:r>
            <w:r>
              <w:rPr>
                <w:rFonts w:cs="宋体"/>
                <w:sz w:val="18"/>
                <w:szCs w:val="18"/>
              </w:rPr>
              <w:t>(</w:t>
            </w:r>
            <w:r>
              <w:rPr>
                <w:rFonts w:cs="宋体"/>
                <w:sz w:val="18"/>
                <w:szCs w:val="18"/>
              </w:rPr>
              <w:t>特定客户</w:t>
            </w:r>
            <w:r>
              <w:rPr>
                <w:rFonts w:cs="宋体"/>
                <w:sz w:val="18"/>
                <w:szCs w:val="18"/>
              </w:rPr>
              <w:t>)</w:t>
            </w:r>
            <w:r>
              <w:rPr>
                <w:rFonts w:cs="宋体"/>
                <w:sz w:val="18"/>
                <w:szCs w:val="18"/>
              </w:rPr>
              <w:t>、烟台银行股份有限公司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私享客户</w:t>
            </w:r>
            <w:r>
              <w:rPr>
                <w:rFonts w:cs="宋体"/>
                <w:sz w:val="18"/>
                <w:szCs w:val="18"/>
              </w:rPr>
              <w:t>)</w:t>
            </w:r>
            <w:r>
              <w:rPr>
                <w:rFonts w:cs="宋体"/>
                <w:sz w:val="18"/>
                <w:szCs w:val="18"/>
              </w:rPr>
              <w:t>、蒙商银行股份有限公司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、长沙银行股份有限公司、郑州银行股份有限公司、日照银行股份有限公司、泰安银行股份有限公司、齐鲁银行股份有限公司</w:t>
            </w:r>
            <w:r>
              <w:rPr>
                <w:rFonts w:cs="宋体"/>
                <w:sz w:val="18"/>
                <w:szCs w:val="18"/>
              </w:rPr>
              <w:t>(</w:t>
            </w:r>
            <w:r>
              <w:rPr>
                <w:rFonts w:cs="宋体"/>
                <w:sz w:val="18"/>
                <w:szCs w:val="18"/>
              </w:rPr>
              <w:t>特邀客户</w:t>
            </w:r>
            <w:r>
              <w:rPr>
                <w:rFonts w:cs="宋体"/>
                <w:sz w:val="18"/>
                <w:szCs w:val="18"/>
              </w:rPr>
              <w:t xml:space="preserve"> )</w:t>
            </w:r>
            <w:r>
              <w:rPr>
                <w:rFonts w:cs="宋体"/>
                <w:sz w:val="18"/>
                <w:szCs w:val="18"/>
              </w:rPr>
              <w:t>、台州银行股份有限公司</w:t>
            </w:r>
            <w:r>
              <w:rPr>
                <w:rFonts w:cs="宋体"/>
                <w:sz w:val="18"/>
                <w:szCs w:val="18"/>
              </w:rPr>
              <w:t xml:space="preserve">( </w:t>
            </w:r>
            <w:r>
              <w:rPr>
                <w:rFonts w:cs="宋体"/>
                <w:sz w:val="18"/>
                <w:szCs w:val="18"/>
              </w:rPr>
              <w:t>新客专享</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军人客户</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、兰州银行股份有限公司、桂林银行股份有限公司</w:t>
            </w:r>
            <w:r>
              <w:rPr>
                <w:rFonts w:cs="宋体"/>
                <w:sz w:val="18"/>
                <w:szCs w:val="18"/>
              </w:rPr>
              <w:t xml:space="preserve">( </w:t>
            </w:r>
            <w:r>
              <w:rPr>
                <w:rFonts w:cs="宋体"/>
                <w:sz w:val="18"/>
                <w:szCs w:val="18"/>
              </w:rPr>
              <w:t>特供客户</w:t>
            </w:r>
            <w:r>
              <w:rPr>
                <w:rFonts w:cs="宋体"/>
                <w:sz w:val="18"/>
                <w:szCs w:val="18"/>
              </w:rPr>
              <w:t>)</w:t>
            </w:r>
            <w:r>
              <w:rPr>
                <w:rFonts w:cs="宋体"/>
                <w:sz w:val="18"/>
                <w:szCs w:val="18"/>
              </w:rPr>
              <w:t>、江苏泰兴农村商业银行股份有限公司、江苏响水农村商业银行股份有限公司</w:t>
            </w:r>
            <w:r>
              <w:rPr>
                <w:rFonts w:cs="宋体"/>
                <w:sz w:val="18"/>
                <w:szCs w:val="18"/>
              </w:rPr>
              <w:t>(</w:t>
            </w:r>
            <w:r>
              <w:rPr>
                <w:rFonts w:cs="宋体"/>
                <w:sz w:val="18"/>
                <w:szCs w:val="18"/>
              </w:rPr>
              <w:t>起点金额</w:t>
            </w:r>
            <w:r>
              <w:rPr>
                <w:rFonts w:cs="宋体"/>
                <w:sz w:val="18"/>
                <w:szCs w:val="18"/>
              </w:rPr>
              <w:t>50</w:t>
            </w:r>
            <w:r>
              <w:rPr>
                <w:rFonts w:cs="宋体"/>
                <w:sz w:val="18"/>
                <w:szCs w:val="18"/>
              </w:rPr>
              <w:t>万</w:t>
            </w:r>
            <w:r>
              <w:rPr>
                <w:rFonts w:cs="宋体"/>
                <w:sz w:val="18"/>
                <w:szCs w:val="18"/>
              </w:rPr>
              <w:t>)</w:t>
            </w:r>
            <w:r>
              <w:rPr>
                <w:rFonts w:cs="宋体"/>
                <w:sz w:val="18"/>
                <w:szCs w:val="18"/>
              </w:rPr>
              <w:t>、江苏靖江农村商业银行股份有限公司、江苏兴化农村</w:t>
            </w:r>
            <w:r>
              <w:rPr>
                <w:rFonts w:cs="宋体"/>
                <w:sz w:val="18"/>
                <w:szCs w:val="18"/>
              </w:rPr>
              <w:t>商业银行股份有限公司、江苏镇江农村商业银行股份有限公司</w:t>
            </w:r>
            <w:r>
              <w:rPr>
                <w:rFonts w:cs="宋体"/>
                <w:sz w:val="18"/>
                <w:szCs w:val="18"/>
              </w:rPr>
              <w:t>(100</w:t>
            </w:r>
            <w:r>
              <w:rPr>
                <w:rFonts w:cs="宋体"/>
                <w:sz w:val="18"/>
                <w:szCs w:val="18"/>
              </w:rPr>
              <w:t>万元起购</w:t>
            </w:r>
            <w:r>
              <w:rPr>
                <w:rFonts w:cs="宋体"/>
                <w:sz w:val="18"/>
                <w:szCs w:val="18"/>
              </w:rPr>
              <w:t>)</w:t>
            </w:r>
            <w:r>
              <w:rPr>
                <w:rFonts w:cs="宋体"/>
                <w:sz w:val="18"/>
                <w:szCs w:val="18"/>
              </w:rPr>
              <w:t>、江苏滨海农村商业银行股份有限公司、江苏射阳农村商业银行股份有限公司、江苏句容农村商业银行股份有限公司、江苏如东农村商业银行股份有限公司、江苏仪征农村商业银行股份有限公司</w:t>
            </w:r>
            <w:r>
              <w:rPr>
                <w:rFonts w:cs="宋体"/>
                <w:sz w:val="18"/>
                <w:szCs w:val="18"/>
              </w:rPr>
              <w:t>(50</w:t>
            </w:r>
            <w:r>
              <w:rPr>
                <w:rFonts w:cs="宋体"/>
                <w:sz w:val="18"/>
                <w:szCs w:val="18"/>
              </w:rPr>
              <w:t>万元起购</w:t>
            </w:r>
            <w:r>
              <w:rPr>
                <w:rFonts w:cs="宋体"/>
                <w:sz w:val="18"/>
                <w:szCs w:val="18"/>
              </w:rPr>
              <w:t xml:space="preserve"> )</w:t>
            </w:r>
            <w:r>
              <w:rPr>
                <w:rFonts w:cs="宋体"/>
                <w:sz w:val="18"/>
                <w:szCs w:val="18"/>
              </w:rPr>
              <w:t>。</w:t>
            </w:r>
          </w:p>
          <w:p w:rsidR="00151840" w:rsidRDefault="002A33A1">
            <w:pPr>
              <w:spacing w:line="200" w:lineRule="exact"/>
            </w:pPr>
            <w:r>
              <w:rPr>
                <w:rFonts w:cs="宋体"/>
                <w:sz w:val="18"/>
                <w:szCs w:val="18"/>
              </w:rPr>
              <w:t>D</w:t>
            </w:r>
            <w:r>
              <w:rPr>
                <w:rFonts w:cs="宋体"/>
                <w:sz w:val="18"/>
                <w:szCs w:val="18"/>
              </w:rPr>
              <w:t>份额：天津农村商业银行股份有限公司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rsidR="00151840" w:rsidRDefault="002A33A1">
            <w:pPr>
              <w:spacing w:line="200" w:lineRule="exact"/>
            </w:pPr>
            <w:r>
              <w:rPr>
                <w:rFonts w:cs="宋体"/>
                <w:sz w:val="18"/>
                <w:szCs w:val="18"/>
              </w:rPr>
              <w:t>F</w:t>
            </w:r>
            <w:r>
              <w:rPr>
                <w:rFonts w:cs="宋体"/>
                <w:sz w:val="18"/>
                <w:szCs w:val="18"/>
              </w:rPr>
              <w:t>份额：兴业银行股份有限公司</w:t>
            </w:r>
            <w:r>
              <w:rPr>
                <w:rFonts w:cs="宋体"/>
                <w:sz w:val="18"/>
                <w:szCs w:val="18"/>
              </w:rPr>
              <w:t>(</w:t>
            </w:r>
            <w:r>
              <w:rPr>
                <w:rFonts w:cs="宋体"/>
                <w:sz w:val="18"/>
                <w:szCs w:val="18"/>
              </w:rPr>
              <w:t>普通客户</w:t>
            </w:r>
            <w:r>
              <w:rPr>
                <w:rFonts w:cs="宋体"/>
                <w:sz w:val="18"/>
                <w:szCs w:val="18"/>
              </w:rPr>
              <w:t>)</w:t>
            </w:r>
            <w:r>
              <w:rPr>
                <w:rFonts w:cs="宋体"/>
                <w:sz w:val="18"/>
                <w:szCs w:val="18"/>
              </w:rPr>
              <w:t>。</w:t>
            </w:r>
          </w:p>
          <w:p w:rsidR="00151840" w:rsidRDefault="002A33A1">
            <w:pPr>
              <w:spacing w:line="200" w:lineRule="exact"/>
            </w:pPr>
            <w:r>
              <w:rPr>
                <w:rFonts w:cs="宋体"/>
                <w:sz w:val="18"/>
                <w:szCs w:val="18"/>
              </w:rPr>
              <w:t>G</w:t>
            </w:r>
            <w:r>
              <w:rPr>
                <w:rFonts w:cs="宋体"/>
                <w:sz w:val="18"/>
                <w:szCs w:val="18"/>
              </w:rPr>
              <w:t>份额：兴业银行股份有限公司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rsidR="00151840" w:rsidRDefault="002A33A1">
            <w:pPr>
              <w:spacing w:line="200" w:lineRule="exact"/>
            </w:pPr>
            <w:r>
              <w:rPr>
                <w:rFonts w:cs="宋体"/>
                <w:sz w:val="18"/>
                <w:szCs w:val="18"/>
              </w:rPr>
              <w:t>H</w:t>
            </w:r>
            <w:r>
              <w:rPr>
                <w:rFonts w:cs="宋体"/>
                <w:sz w:val="18"/>
                <w:szCs w:val="18"/>
              </w:rPr>
              <w:t>份额：广发银行股份有限公司所有个人客户。</w:t>
            </w:r>
          </w:p>
          <w:p w:rsidR="00151840" w:rsidRDefault="002A33A1">
            <w:pPr>
              <w:spacing w:line="200" w:lineRule="exact"/>
            </w:pPr>
            <w:r>
              <w:rPr>
                <w:rFonts w:cs="宋体"/>
                <w:sz w:val="18"/>
                <w:szCs w:val="18"/>
              </w:rPr>
              <w:t>J</w:t>
            </w:r>
            <w:r>
              <w:rPr>
                <w:rFonts w:cs="宋体"/>
                <w:sz w:val="18"/>
                <w:szCs w:val="18"/>
              </w:rPr>
              <w:t>份额：昆山鹿城村镇银行股份有限公司。</w:t>
            </w:r>
          </w:p>
          <w:p w:rsidR="00151840" w:rsidRDefault="002A33A1">
            <w:pPr>
              <w:spacing w:line="200" w:lineRule="exact"/>
            </w:pPr>
            <w:r>
              <w:rPr>
                <w:rFonts w:cs="宋体"/>
                <w:sz w:val="18"/>
                <w:szCs w:val="18"/>
              </w:rPr>
              <w:t>L</w:t>
            </w:r>
            <w:r>
              <w:rPr>
                <w:rFonts w:cs="宋体"/>
                <w:sz w:val="18"/>
                <w:szCs w:val="18"/>
              </w:rPr>
              <w:t>份额：江苏江南农村商业银行股份有限公司</w:t>
            </w:r>
            <w:r>
              <w:rPr>
                <w:rFonts w:cs="宋体"/>
                <w:sz w:val="18"/>
                <w:szCs w:val="18"/>
              </w:rPr>
              <w:t>(</w:t>
            </w:r>
            <w:r>
              <w:rPr>
                <w:rFonts w:cs="宋体"/>
                <w:sz w:val="18"/>
                <w:szCs w:val="18"/>
              </w:rPr>
              <w:t>高净值客户专属份额</w:t>
            </w:r>
            <w:r>
              <w:rPr>
                <w:rFonts w:cs="宋体"/>
                <w:sz w:val="18"/>
                <w:szCs w:val="18"/>
              </w:rPr>
              <w:t>)</w:t>
            </w:r>
            <w:r>
              <w:rPr>
                <w:rFonts w:cs="宋体"/>
                <w:sz w:val="18"/>
                <w:szCs w:val="18"/>
              </w:rPr>
              <w:t>、天津农村商业银行股份有限公司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、江苏扬州农村商业银行股份有限公司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w:t>
            </w:r>
          </w:p>
          <w:p w:rsidR="00151840" w:rsidRDefault="002A33A1">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151840" w:rsidRDefault="002A33A1">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151840">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投资</w:t>
            </w:r>
            <w:r>
              <w:rPr>
                <w:rFonts w:hint="eastAsia"/>
                <w:kern w:val="0"/>
                <w:sz w:val="18"/>
                <w:szCs w:val="18"/>
              </w:rPr>
              <w:t>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/J</w:t>
            </w:r>
            <w:r>
              <w:rPr>
                <w:rFonts w:cs="宋体"/>
                <w:sz w:val="18"/>
                <w:szCs w:val="18"/>
              </w:rPr>
              <w:t>份额</w:t>
            </w:r>
            <w:r>
              <w:rPr>
                <w:rFonts w:cs="宋体"/>
                <w:sz w:val="18"/>
                <w:szCs w:val="18"/>
              </w:rPr>
              <w:t>/L</w:t>
            </w:r>
            <w:r>
              <w:rPr>
                <w:rFonts w:cs="宋体"/>
                <w:sz w:val="18"/>
                <w:szCs w:val="18"/>
              </w:rPr>
              <w:t>份额：</w:t>
            </w:r>
          </w:p>
          <w:p w:rsidR="00151840" w:rsidRDefault="002A33A1">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151840" w:rsidRDefault="002A33A1">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151840" w:rsidRDefault="002A33A1">
            <w:pPr>
              <w:spacing w:line="200" w:lineRule="exact"/>
            </w:pPr>
            <w:r>
              <w:rPr>
                <w:rFonts w:cs="宋体"/>
                <w:sz w:val="18"/>
                <w:szCs w:val="18"/>
              </w:rPr>
              <w:t>H</w:t>
            </w:r>
            <w:r>
              <w:rPr>
                <w:rFonts w:cs="宋体"/>
                <w:sz w:val="18"/>
                <w:szCs w:val="18"/>
              </w:rPr>
              <w:t>份额：</w:t>
            </w:r>
          </w:p>
          <w:p w:rsidR="00151840" w:rsidRDefault="002A33A1">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151840" w:rsidRDefault="002A33A1">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151840" w:rsidRDefault="002A33A1">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15184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/H</w:t>
            </w:r>
            <w:r>
              <w:rPr>
                <w:rFonts w:cs="宋体"/>
                <w:sz w:val="18"/>
                <w:szCs w:val="18"/>
              </w:rPr>
              <w:t>份额</w:t>
            </w:r>
            <w:r>
              <w:rPr>
                <w:rFonts w:cs="宋体"/>
                <w:sz w:val="18"/>
                <w:szCs w:val="18"/>
              </w:rPr>
              <w:t>/J</w:t>
            </w:r>
            <w:r>
              <w:rPr>
                <w:rFonts w:cs="宋体"/>
                <w:sz w:val="18"/>
                <w:szCs w:val="18"/>
              </w:rPr>
              <w:t>份额</w:t>
            </w:r>
            <w:r>
              <w:rPr>
                <w:rFonts w:cs="宋体"/>
                <w:sz w:val="18"/>
                <w:szCs w:val="18"/>
              </w:rPr>
              <w:t>/L</w:t>
            </w:r>
            <w:r>
              <w:rPr>
                <w:rFonts w:cs="宋体"/>
                <w:sz w:val="18"/>
                <w:szCs w:val="18"/>
              </w:rPr>
              <w:t>份额：</w:t>
            </w:r>
          </w:p>
          <w:p w:rsidR="00151840" w:rsidRDefault="002A33A1">
            <w:pPr>
              <w:spacing w:line="200" w:lineRule="exact"/>
            </w:pPr>
            <w:r>
              <w:rPr>
                <w:rFonts w:cs="宋体"/>
                <w:sz w:val="18"/>
                <w:szCs w:val="18"/>
              </w:rPr>
              <w:t>暂不设置单个投资者持有金额上限；</w:t>
            </w:r>
          </w:p>
          <w:p w:rsidR="00151840" w:rsidRDefault="002A33A1">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151840" w:rsidRDefault="002A33A1">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15184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151840" w:rsidRDefault="002A33A1">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15184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12</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18</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15184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15184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rPr>
                <w:color w:val="000000"/>
                <w:kern w:val="0"/>
                <w:sz w:val="18"/>
                <w:szCs w:val="18"/>
              </w:rPr>
            </w:pPr>
            <w:r>
              <w:rPr>
                <w:rFonts w:hint="eastAsia"/>
                <w:color w:val="000000"/>
                <w:kern w:val="0"/>
                <w:sz w:val="18"/>
                <w:szCs w:val="18"/>
              </w:rPr>
              <w:t>同产品成立日</w:t>
            </w:r>
          </w:p>
        </w:tc>
      </w:tr>
      <w:tr w:rsidR="00151840">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11</w:t>
            </w:r>
            <w:r>
              <w:rPr>
                <w:rFonts w:hint="eastAsia"/>
                <w:kern w:val="0"/>
                <w:sz w:val="18"/>
                <w:szCs w:val="18"/>
              </w:rPr>
              <w:t>月</w:t>
            </w:r>
            <w:r>
              <w:rPr>
                <w:rFonts w:hint="eastAsia"/>
                <w:kern w:val="0"/>
                <w:sz w:val="18"/>
                <w:szCs w:val="18"/>
              </w:rPr>
              <w:t>19</w:t>
            </w:r>
            <w:r>
              <w:rPr>
                <w:rFonts w:hint="eastAsia"/>
                <w:kern w:val="0"/>
                <w:sz w:val="18"/>
                <w:szCs w:val="18"/>
              </w:rPr>
              <w:t>日</w:t>
            </w:r>
          </w:p>
        </w:tc>
      </w:tr>
      <w:tr w:rsidR="0015184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pP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19</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196</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151840">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2026</w:t>
            </w:r>
            <w:r>
              <w:rPr>
                <w:rFonts w:hint="eastAsia"/>
                <w:kern w:val="0"/>
                <w:sz w:val="18"/>
                <w:szCs w:val="18"/>
              </w:rPr>
              <w:t>年</w:t>
            </w:r>
            <w:r>
              <w:rPr>
                <w:rFonts w:hint="eastAsia"/>
                <w:kern w:val="0"/>
                <w:sz w:val="18"/>
                <w:szCs w:val="18"/>
              </w:rPr>
              <w:t>06</w:t>
            </w:r>
            <w:r>
              <w:rPr>
                <w:rFonts w:hint="eastAsia"/>
                <w:kern w:val="0"/>
                <w:sz w:val="18"/>
                <w:szCs w:val="18"/>
              </w:rPr>
              <w:t>月</w:t>
            </w:r>
            <w:r>
              <w:rPr>
                <w:rFonts w:hint="eastAsia"/>
                <w:kern w:val="0"/>
                <w:sz w:val="18"/>
                <w:szCs w:val="18"/>
              </w:rPr>
              <w:t>03</w:t>
            </w:r>
            <w:r>
              <w:rPr>
                <w:rFonts w:hint="eastAsia"/>
                <w:kern w:val="0"/>
                <w:sz w:val="18"/>
                <w:szCs w:val="18"/>
              </w:rPr>
              <w:t>日</w:t>
            </w:r>
          </w:p>
        </w:tc>
      </w:tr>
      <w:tr w:rsidR="0015184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w:t>
            </w:r>
            <w:r>
              <w:rPr>
                <w:rFonts w:cs="宋体"/>
                <w:color w:val="000000"/>
                <w:sz w:val="18"/>
                <w:szCs w:val="18"/>
              </w:rPr>
              <w:t>R</w:t>
            </w:r>
            <w:r>
              <w:rPr>
                <w:rFonts w:cs="宋体"/>
                <w:color w:val="000000"/>
                <w:sz w:val="18"/>
                <w:szCs w:val="18"/>
              </w:rPr>
              <w:t>为期末理财产品单位净值。（已扣除相关费用，到期兑付金额以去尾法保留两位小数）</w:t>
            </w:r>
          </w:p>
        </w:tc>
      </w:tr>
      <w:tr w:rsidR="0015184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pPr>
            <w:r>
              <w:rPr>
                <w:rFonts w:cs="宋体"/>
                <w:sz w:val="18"/>
                <w:szCs w:val="18"/>
              </w:rPr>
              <w:t>本理财产品存续期间不进行分红。</w:t>
            </w:r>
          </w:p>
          <w:p w:rsidR="00151840" w:rsidRDefault="002A33A1">
            <w:pPr>
              <w:spacing w:line="200" w:lineRule="exact"/>
            </w:pPr>
            <w:r>
              <w:rPr>
                <w:rFonts w:cs="宋体"/>
                <w:sz w:val="18"/>
                <w:szCs w:val="18"/>
              </w:rPr>
              <w:t>产品到期后，理财产品管理人和代销机构将根据理财资金所投资资产实际运作情况向投资者分配到期款项。</w:t>
            </w:r>
          </w:p>
        </w:tc>
      </w:tr>
      <w:tr w:rsidR="00151840">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151840">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jc w:val="left"/>
            </w:pPr>
            <w:r>
              <w:rPr>
                <w:rFonts w:cs="宋体"/>
                <w:sz w:val="18"/>
                <w:szCs w:val="18"/>
              </w:rPr>
              <w:t>本理财产品募集的资金投资于以下金融资产和金融工具，包括但不限于：</w:t>
            </w:r>
          </w:p>
          <w:p w:rsidR="00151840" w:rsidRDefault="002A33A1">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151840" w:rsidRDefault="002A33A1">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151840" w:rsidRDefault="002A33A1">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w:t>
            </w:r>
            <w:r>
              <w:rPr>
                <w:rFonts w:cs="宋体"/>
                <w:sz w:val="18"/>
                <w:szCs w:val="18"/>
              </w:rPr>
              <w:t>资等资产，以及符合监管要求的其他非标准化债权类资产；</w:t>
            </w:r>
          </w:p>
          <w:p w:rsidR="00151840" w:rsidRDefault="002A33A1">
            <w:pPr>
              <w:spacing w:line="200" w:lineRule="exact"/>
              <w:jc w:val="left"/>
            </w:pPr>
            <w:r>
              <w:rPr>
                <w:rFonts w:cs="宋体"/>
                <w:sz w:val="18"/>
                <w:szCs w:val="18"/>
              </w:rPr>
              <w:t>4.</w:t>
            </w:r>
            <w:r>
              <w:rPr>
                <w:rFonts w:cs="宋体"/>
                <w:sz w:val="18"/>
                <w:szCs w:val="18"/>
              </w:rPr>
              <w:t>投资范围为上述资产的信托计划、资产管理计划等资产管理产品；</w:t>
            </w:r>
          </w:p>
          <w:p w:rsidR="00151840" w:rsidRDefault="002A33A1">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151840" w:rsidRDefault="002A33A1">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15184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151840" w:rsidRDefault="002A33A1">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15184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151840">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pPr>
            <w:r>
              <w:rPr>
                <w:rFonts w:cs="宋体"/>
                <w:b/>
                <w:sz w:val="18"/>
                <w:szCs w:val="18"/>
              </w:rPr>
              <w:t>本理财产品拟投资以下备选非标准化债权类资产：</w:t>
            </w:r>
          </w:p>
          <w:p w:rsidR="00151840" w:rsidRDefault="002A33A1">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151840" w:rsidRDefault="002A33A1">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151840" w:rsidRDefault="002A33A1">
            <w:pPr>
              <w:spacing w:line="200" w:lineRule="exact"/>
            </w:pPr>
            <w:r>
              <w:rPr>
                <w:rFonts w:cs="宋体"/>
                <w:sz w:val="18"/>
                <w:szCs w:val="18"/>
              </w:rPr>
              <w:t>3.</w:t>
            </w:r>
            <w:r>
              <w:rPr>
                <w:rFonts w:cs="宋体"/>
                <w:sz w:val="18"/>
                <w:szCs w:val="18"/>
              </w:rPr>
              <w:t>资产支持计划：资产类型为保险资产管理公司设立的资产支持计划，底层资产为</w:t>
            </w:r>
            <w:r>
              <w:rPr>
                <w:rFonts w:cs="宋体"/>
                <w:sz w:val="18"/>
                <w:szCs w:val="18"/>
              </w:rPr>
              <w:t>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151840" w:rsidRDefault="002A33A1">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151840" w:rsidRDefault="002A33A1">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151840" w:rsidRDefault="002A33A1">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151840" w:rsidRDefault="002A33A1">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151840" w:rsidRDefault="002A33A1">
            <w:pPr>
              <w:spacing w:line="200" w:lineRule="exact"/>
            </w:pPr>
            <w:r>
              <w:rPr>
                <w:rFonts w:cs="宋体"/>
                <w:sz w:val="18"/>
                <w:szCs w:val="18"/>
              </w:rPr>
              <w:t>8.</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151840" w:rsidRDefault="002A33A1">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151840" w:rsidRDefault="002A33A1">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r>
              <w:rPr>
                <w:rFonts w:cs="宋体"/>
                <w:sz w:val="18"/>
                <w:szCs w:val="18"/>
              </w:rPr>
              <w:t>。</w:t>
            </w:r>
          </w:p>
          <w:p w:rsidR="00151840" w:rsidRDefault="002A33A1">
            <w:pPr>
              <w:spacing w:line="200" w:lineRule="exact"/>
            </w:pPr>
            <w:r>
              <w:rPr>
                <w:rFonts w:cs="宋体"/>
                <w:sz w:val="18"/>
                <w:szCs w:val="18"/>
              </w:rPr>
              <w:t>11.</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151840" w:rsidRDefault="002A33A1">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151840" w:rsidRDefault="002A33A1">
            <w:pPr>
              <w:spacing w:line="200" w:lineRule="exact"/>
            </w:pPr>
            <w:r>
              <w:rPr>
                <w:rFonts w:cs="宋体"/>
                <w:sz w:val="18"/>
                <w:szCs w:val="18"/>
              </w:rPr>
              <w:t>13.</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151840" w:rsidRDefault="002A33A1">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151840" w:rsidRDefault="002A33A1">
            <w:pPr>
              <w:spacing w:line="200" w:lineRule="exact"/>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151840" w:rsidRDefault="002A33A1">
            <w:pPr>
              <w:spacing w:line="200" w:lineRule="exact"/>
            </w:pPr>
            <w:r>
              <w:rPr>
                <w:rFonts w:cs="宋体"/>
                <w:sz w:val="18"/>
                <w:szCs w:val="18"/>
              </w:rPr>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w:t>
            </w:r>
            <w:r>
              <w:rPr>
                <w:rFonts w:cs="宋体"/>
                <w:sz w:val="18"/>
                <w:szCs w:val="18"/>
              </w:rPr>
              <w:t>到期日。</w:t>
            </w:r>
          </w:p>
          <w:p w:rsidR="00151840" w:rsidRDefault="002A33A1">
            <w:pPr>
              <w:spacing w:line="200" w:lineRule="exact"/>
            </w:pPr>
            <w:r>
              <w:rPr>
                <w:rFonts w:cs="宋体"/>
                <w:b/>
                <w:sz w:val="18"/>
                <w:szCs w:val="18"/>
              </w:rPr>
              <w:t>以上资产剩余期限均不超过产品期限。</w:t>
            </w:r>
          </w:p>
          <w:p w:rsidR="00151840" w:rsidRDefault="002A33A1">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15184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pPr>
            <w:r>
              <w:rPr>
                <w:rFonts w:cs="宋体"/>
                <w:sz w:val="18"/>
                <w:szCs w:val="18"/>
              </w:rPr>
              <w:t>A</w:t>
            </w:r>
            <w:r>
              <w:rPr>
                <w:rFonts w:cs="宋体"/>
                <w:sz w:val="18"/>
                <w:szCs w:val="18"/>
              </w:rPr>
              <w:t>份额：业绩比较基准为</w:t>
            </w:r>
            <w:r>
              <w:rPr>
                <w:rFonts w:cs="宋体"/>
                <w:sz w:val="18"/>
                <w:szCs w:val="18"/>
              </w:rPr>
              <w:t>1.83%(</w:t>
            </w:r>
            <w:r>
              <w:rPr>
                <w:rFonts w:cs="宋体"/>
                <w:sz w:val="18"/>
                <w:szCs w:val="18"/>
              </w:rPr>
              <w:t>年化</w:t>
            </w:r>
            <w:r>
              <w:rPr>
                <w:rFonts w:cs="宋体"/>
                <w:sz w:val="18"/>
                <w:szCs w:val="18"/>
              </w:rPr>
              <w:t>)</w:t>
            </w:r>
            <w:r>
              <w:rPr>
                <w:rFonts w:cs="宋体"/>
                <w:sz w:val="18"/>
                <w:szCs w:val="18"/>
              </w:rPr>
              <w:t>。</w:t>
            </w:r>
          </w:p>
          <w:p w:rsidR="00151840" w:rsidRDefault="002A33A1">
            <w:pPr>
              <w:spacing w:line="200" w:lineRule="exact"/>
            </w:pPr>
            <w:r>
              <w:rPr>
                <w:rFonts w:cs="宋体"/>
                <w:sz w:val="18"/>
                <w:szCs w:val="18"/>
              </w:rPr>
              <w:t>B</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rsidR="00151840" w:rsidRDefault="002A33A1">
            <w:pPr>
              <w:spacing w:line="200" w:lineRule="exact"/>
            </w:pPr>
            <w:r>
              <w:rPr>
                <w:rFonts w:cs="宋体"/>
                <w:sz w:val="18"/>
                <w:szCs w:val="18"/>
              </w:rPr>
              <w:t>C</w:t>
            </w:r>
            <w:r>
              <w:rPr>
                <w:rFonts w:cs="宋体"/>
                <w:sz w:val="18"/>
                <w:szCs w:val="18"/>
              </w:rPr>
              <w:t>份额：业绩比较基准为</w:t>
            </w:r>
            <w:r>
              <w:rPr>
                <w:rFonts w:cs="宋体"/>
                <w:sz w:val="18"/>
                <w:szCs w:val="18"/>
              </w:rPr>
              <w:t>2.03%(</w:t>
            </w:r>
            <w:r>
              <w:rPr>
                <w:rFonts w:cs="宋体"/>
                <w:sz w:val="18"/>
                <w:szCs w:val="18"/>
              </w:rPr>
              <w:t>年化</w:t>
            </w:r>
            <w:r>
              <w:rPr>
                <w:rFonts w:cs="宋体"/>
                <w:sz w:val="18"/>
                <w:szCs w:val="18"/>
              </w:rPr>
              <w:t>)</w:t>
            </w:r>
            <w:r>
              <w:rPr>
                <w:rFonts w:cs="宋体"/>
                <w:sz w:val="18"/>
                <w:szCs w:val="18"/>
              </w:rPr>
              <w:t>。</w:t>
            </w:r>
          </w:p>
          <w:p w:rsidR="00151840" w:rsidRDefault="002A33A1">
            <w:pPr>
              <w:spacing w:line="200" w:lineRule="exact"/>
            </w:pPr>
            <w:r>
              <w:rPr>
                <w:rFonts w:cs="宋体"/>
                <w:sz w:val="18"/>
                <w:szCs w:val="18"/>
              </w:rPr>
              <w:t>D</w:t>
            </w:r>
            <w:r>
              <w:rPr>
                <w:rFonts w:cs="宋体"/>
                <w:sz w:val="18"/>
                <w:szCs w:val="18"/>
              </w:rPr>
              <w:t>份额：业绩比较基准为</w:t>
            </w:r>
            <w:r>
              <w:rPr>
                <w:rFonts w:cs="宋体"/>
                <w:sz w:val="18"/>
                <w:szCs w:val="18"/>
              </w:rPr>
              <w:t>2.13%(</w:t>
            </w:r>
            <w:r>
              <w:rPr>
                <w:rFonts w:cs="宋体"/>
                <w:sz w:val="18"/>
                <w:szCs w:val="18"/>
              </w:rPr>
              <w:t>年化</w:t>
            </w:r>
            <w:r>
              <w:rPr>
                <w:rFonts w:cs="宋体"/>
                <w:sz w:val="18"/>
                <w:szCs w:val="18"/>
              </w:rPr>
              <w:t>)</w:t>
            </w:r>
            <w:r>
              <w:rPr>
                <w:rFonts w:cs="宋体"/>
                <w:sz w:val="18"/>
                <w:szCs w:val="18"/>
              </w:rPr>
              <w:t>。</w:t>
            </w:r>
          </w:p>
          <w:p w:rsidR="00151840" w:rsidRDefault="002A33A1">
            <w:pPr>
              <w:spacing w:line="200" w:lineRule="exact"/>
            </w:pPr>
            <w:r>
              <w:rPr>
                <w:rFonts w:cs="宋体"/>
                <w:sz w:val="18"/>
                <w:szCs w:val="18"/>
              </w:rPr>
              <w:t>F</w:t>
            </w:r>
            <w:r>
              <w:rPr>
                <w:rFonts w:cs="宋体"/>
                <w:sz w:val="18"/>
                <w:szCs w:val="18"/>
              </w:rPr>
              <w:t>份额：业绩比较基准为</w:t>
            </w:r>
            <w:r>
              <w:rPr>
                <w:rFonts w:cs="宋体"/>
                <w:sz w:val="18"/>
                <w:szCs w:val="18"/>
              </w:rPr>
              <w:t>1.88%(</w:t>
            </w:r>
            <w:r>
              <w:rPr>
                <w:rFonts w:cs="宋体"/>
                <w:sz w:val="18"/>
                <w:szCs w:val="18"/>
              </w:rPr>
              <w:t>年化</w:t>
            </w:r>
            <w:r>
              <w:rPr>
                <w:rFonts w:cs="宋体"/>
                <w:sz w:val="18"/>
                <w:szCs w:val="18"/>
              </w:rPr>
              <w:t>)</w:t>
            </w:r>
            <w:r>
              <w:rPr>
                <w:rFonts w:cs="宋体"/>
                <w:sz w:val="18"/>
                <w:szCs w:val="18"/>
              </w:rPr>
              <w:t>。</w:t>
            </w:r>
          </w:p>
          <w:p w:rsidR="00151840" w:rsidRDefault="002A33A1">
            <w:pPr>
              <w:spacing w:line="200" w:lineRule="exact"/>
            </w:pPr>
            <w:r>
              <w:rPr>
                <w:rFonts w:cs="宋体"/>
                <w:sz w:val="18"/>
                <w:szCs w:val="18"/>
              </w:rPr>
              <w:t>G</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rsidR="00151840" w:rsidRDefault="002A33A1">
            <w:pPr>
              <w:spacing w:line="200" w:lineRule="exact"/>
            </w:pPr>
            <w:r>
              <w:rPr>
                <w:rFonts w:cs="宋体"/>
                <w:sz w:val="18"/>
                <w:szCs w:val="18"/>
              </w:rPr>
              <w:t>H</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rsidR="00151840" w:rsidRDefault="002A33A1">
            <w:pPr>
              <w:spacing w:line="200" w:lineRule="exact"/>
            </w:pPr>
            <w:r>
              <w:rPr>
                <w:rFonts w:cs="宋体"/>
                <w:sz w:val="18"/>
                <w:szCs w:val="18"/>
              </w:rPr>
              <w:t>J</w:t>
            </w:r>
            <w:r>
              <w:rPr>
                <w:rFonts w:cs="宋体"/>
                <w:sz w:val="18"/>
                <w:szCs w:val="18"/>
              </w:rPr>
              <w:t>份额：业绩比较基准为</w:t>
            </w:r>
            <w:r>
              <w:rPr>
                <w:rFonts w:cs="宋体"/>
                <w:sz w:val="18"/>
                <w:szCs w:val="18"/>
              </w:rPr>
              <w:t>1.83%(</w:t>
            </w:r>
            <w:r>
              <w:rPr>
                <w:rFonts w:cs="宋体"/>
                <w:sz w:val="18"/>
                <w:szCs w:val="18"/>
              </w:rPr>
              <w:t>年化</w:t>
            </w:r>
            <w:r>
              <w:rPr>
                <w:rFonts w:cs="宋体"/>
                <w:sz w:val="18"/>
                <w:szCs w:val="18"/>
              </w:rPr>
              <w:t>)</w:t>
            </w:r>
            <w:r>
              <w:rPr>
                <w:rFonts w:cs="宋体"/>
                <w:sz w:val="18"/>
                <w:szCs w:val="18"/>
              </w:rPr>
              <w:t>。</w:t>
            </w:r>
          </w:p>
          <w:p w:rsidR="00151840" w:rsidRDefault="002A33A1">
            <w:pPr>
              <w:spacing w:line="200" w:lineRule="exact"/>
            </w:pPr>
            <w:r>
              <w:rPr>
                <w:rFonts w:cs="宋体"/>
                <w:sz w:val="18"/>
                <w:szCs w:val="18"/>
              </w:rPr>
              <w:t>L</w:t>
            </w:r>
            <w:r>
              <w:rPr>
                <w:rFonts w:cs="宋体"/>
                <w:sz w:val="18"/>
                <w:szCs w:val="18"/>
              </w:rPr>
              <w:t>份额：业绩比较基准为</w:t>
            </w:r>
            <w:r>
              <w:rPr>
                <w:rFonts w:cs="宋体"/>
                <w:sz w:val="18"/>
                <w:szCs w:val="18"/>
              </w:rPr>
              <w:t>2.08%(</w:t>
            </w:r>
            <w:r>
              <w:rPr>
                <w:rFonts w:cs="宋体"/>
                <w:sz w:val="18"/>
                <w:szCs w:val="18"/>
              </w:rPr>
              <w:t>年化</w:t>
            </w:r>
            <w:r>
              <w:rPr>
                <w:rFonts w:cs="宋体"/>
                <w:sz w:val="18"/>
                <w:szCs w:val="18"/>
              </w:rPr>
              <w:t>)</w:t>
            </w:r>
            <w:r>
              <w:rPr>
                <w:rFonts w:cs="宋体"/>
                <w:sz w:val="18"/>
                <w:szCs w:val="18"/>
              </w:rPr>
              <w:t>。</w:t>
            </w:r>
          </w:p>
          <w:p w:rsidR="00151840" w:rsidRDefault="002A33A1">
            <w:pPr>
              <w:spacing w:line="200" w:lineRule="exact"/>
            </w:pPr>
            <w:r>
              <w:rPr>
                <w:rFonts w:cs="宋体"/>
                <w:sz w:val="18"/>
                <w:szCs w:val="18"/>
              </w:rPr>
              <w:t>本产品不同份额针对不同的销售机构及客群进行销售，设置有不同的销售费和管理费，导致业绩基准测算结果不同。</w:t>
            </w:r>
          </w:p>
          <w:p w:rsidR="00151840" w:rsidRDefault="002A33A1">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w:t>
            </w:r>
            <w:r>
              <w:rPr>
                <w:rFonts w:cs="宋体"/>
                <w:sz w:val="18"/>
                <w:szCs w:val="18"/>
              </w:rPr>
              <w:t>产品约定的投资策略基础上，管理人设定了本理财产品投资周期内的业绩比较基准。</w:t>
            </w:r>
          </w:p>
          <w:p w:rsidR="00151840" w:rsidRDefault="002A33A1">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15184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151840" w:rsidRDefault="002A33A1">
            <w:pPr>
              <w:spacing w:line="200" w:lineRule="exact"/>
            </w:pPr>
            <w:r>
              <w:rPr>
                <w:rFonts w:cs="宋体"/>
                <w:b/>
                <w:sz w:val="18"/>
                <w:szCs w:val="18"/>
              </w:rPr>
              <w:t>赎回费：本理财产品暂不收取赎回费。</w:t>
            </w:r>
          </w:p>
          <w:p w:rsidR="00151840" w:rsidRDefault="002A33A1">
            <w:pPr>
              <w:spacing w:line="200" w:lineRule="exact"/>
            </w:pPr>
            <w:r>
              <w:rPr>
                <w:rFonts w:cs="宋体"/>
                <w:b/>
                <w:sz w:val="18"/>
                <w:szCs w:val="18"/>
              </w:rPr>
              <w:t>销售费：本理财产品按前一日理财产品资产净值收取销售费，按日计提。</w:t>
            </w:r>
          </w:p>
          <w:p w:rsidR="00151840" w:rsidRDefault="002A33A1">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151840" w:rsidRDefault="002A33A1">
            <w:pPr>
              <w:spacing w:line="200" w:lineRule="exact"/>
            </w:pPr>
            <w:r>
              <w:rPr>
                <w:rFonts w:cs="宋体"/>
                <w:b/>
                <w:sz w:val="18"/>
                <w:szCs w:val="18"/>
              </w:rPr>
              <w:t>B</w:t>
            </w:r>
            <w:r>
              <w:rPr>
                <w:rFonts w:cs="宋体"/>
                <w:b/>
                <w:sz w:val="18"/>
                <w:szCs w:val="18"/>
              </w:rPr>
              <w:t>份额：销售费年化</w:t>
            </w:r>
            <w:r>
              <w:rPr>
                <w:rFonts w:cs="宋体"/>
                <w:b/>
                <w:sz w:val="18"/>
                <w:szCs w:val="18"/>
              </w:rPr>
              <w:t>0.15%</w:t>
            </w:r>
          </w:p>
          <w:p w:rsidR="00151840" w:rsidRDefault="002A33A1">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151840" w:rsidRDefault="002A33A1">
            <w:pPr>
              <w:spacing w:line="200" w:lineRule="exact"/>
            </w:pPr>
            <w:r>
              <w:rPr>
                <w:rFonts w:cs="宋体"/>
                <w:b/>
                <w:sz w:val="18"/>
                <w:szCs w:val="18"/>
              </w:rPr>
              <w:t>D</w:t>
            </w:r>
            <w:r>
              <w:rPr>
                <w:rFonts w:cs="宋体"/>
                <w:b/>
                <w:sz w:val="18"/>
                <w:szCs w:val="18"/>
              </w:rPr>
              <w:t>份额：销售费年化</w:t>
            </w:r>
            <w:r>
              <w:rPr>
                <w:rFonts w:cs="宋体"/>
                <w:b/>
                <w:sz w:val="18"/>
                <w:szCs w:val="18"/>
              </w:rPr>
              <w:t>0%</w:t>
            </w:r>
          </w:p>
          <w:p w:rsidR="00151840" w:rsidRDefault="002A33A1">
            <w:pPr>
              <w:spacing w:line="200" w:lineRule="exact"/>
            </w:pPr>
            <w:r>
              <w:rPr>
                <w:rFonts w:cs="宋体"/>
                <w:b/>
                <w:sz w:val="18"/>
                <w:szCs w:val="18"/>
              </w:rPr>
              <w:t>F</w:t>
            </w:r>
            <w:r>
              <w:rPr>
                <w:rFonts w:cs="宋体"/>
                <w:b/>
                <w:sz w:val="18"/>
                <w:szCs w:val="18"/>
              </w:rPr>
              <w:t>份额：销售费年化</w:t>
            </w:r>
            <w:r>
              <w:rPr>
                <w:rFonts w:cs="宋体"/>
                <w:b/>
                <w:sz w:val="18"/>
                <w:szCs w:val="18"/>
              </w:rPr>
              <w:t>0.25%</w:t>
            </w:r>
          </w:p>
          <w:p w:rsidR="00151840" w:rsidRDefault="002A33A1">
            <w:pPr>
              <w:spacing w:line="200" w:lineRule="exact"/>
            </w:pPr>
            <w:r>
              <w:rPr>
                <w:rFonts w:cs="宋体"/>
                <w:b/>
                <w:sz w:val="18"/>
                <w:szCs w:val="18"/>
              </w:rPr>
              <w:t>G</w:t>
            </w:r>
            <w:r>
              <w:rPr>
                <w:rFonts w:cs="宋体"/>
                <w:b/>
                <w:sz w:val="18"/>
                <w:szCs w:val="18"/>
              </w:rPr>
              <w:t>份额：销售费年化</w:t>
            </w:r>
            <w:r>
              <w:rPr>
                <w:rFonts w:cs="宋体"/>
                <w:b/>
                <w:sz w:val="18"/>
                <w:szCs w:val="18"/>
              </w:rPr>
              <w:t>0.2%</w:t>
            </w:r>
          </w:p>
          <w:p w:rsidR="00151840" w:rsidRDefault="002A33A1">
            <w:pPr>
              <w:spacing w:line="200" w:lineRule="exact"/>
            </w:pPr>
            <w:r>
              <w:rPr>
                <w:rFonts w:cs="宋体"/>
                <w:b/>
                <w:sz w:val="18"/>
                <w:szCs w:val="18"/>
              </w:rPr>
              <w:t>H</w:t>
            </w:r>
            <w:r>
              <w:rPr>
                <w:rFonts w:cs="宋体"/>
                <w:b/>
                <w:sz w:val="18"/>
                <w:szCs w:val="18"/>
              </w:rPr>
              <w:t>份额：销售费年化</w:t>
            </w:r>
            <w:r>
              <w:rPr>
                <w:rFonts w:cs="宋体"/>
                <w:b/>
                <w:sz w:val="18"/>
                <w:szCs w:val="18"/>
              </w:rPr>
              <w:t>0.15%</w:t>
            </w:r>
          </w:p>
          <w:p w:rsidR="00151840" w:rsidRDefault="002A33A1">
            <w:pPr>
              <w:spacing w:line="200" w:lineRule="exact"/>
            </w:pPr>
            <w:r>
              <w:rPr>
                <w:rFonts w:cs="宋体"/>
                <w:b/>
                <w:sz w:val="18"/>
                <w:szCs w:val="18"/>
              </w:rPr>
              <w:t>J</w:t>
            </w:r>
            <w:r>
              <w:rPr>
                <w:rFonts w:cs="宋体"/>
                <w:b/>
                <w:sz w:val="18"/>
                <w:szCs w:val="18"/>
              </w:rPr>
              <w:t>份额：销售费年化</w:t>
            </w:r>
            <w:r>
              <w:rPr>
                <w:rFonts w:cs="宋体"/>
                <w:b/>
                <w:sz w:val="18"/>
                <w:szCs w:val="18"/>
              </w:rPr>
              <w:t>0.2%</w:t>
            </w:r>
          </w:p>
          <w:p w:rsidR="00151840" w:rsidRDefault="002A33A1">
            <w:pPr>
              <w:spacing w:line="200" w:lineRule="exact"/>
            </w:pPr>
            <w:r>
              <w:rPr>
                <w:rFonts w:cs="宋体"/>
                <w:b/>
                <w:sz w:val="18"/>
                <w:szCs w:val="18"/>
              </w:rPr>
              <w:t>L</w:t>
            </w:r>
            <w:r>
              <w:rPr>
                <w:rFonts w:cs="宋体"/>
                <w:b/>
                <w:sz w:val="18"/>
                <w:szCs w:val="18"/>
              </w:rPr>
              <w:t>份额：销售费年化</w:t>
            </w:r>
            <w:r>
              <w:rPr>
                <w:rFonts w:cs="宋体"/>
                <w:b/>
                <w:sz w:val="18"/>
                <w:szCs w:val="18"/>
              </w:rPr>
              <w:t>0.05%</w:t>
            </w:r>
          </w:p>
          <w:p w:rsidR="00151840" w:rsidRDefault="002A33A1">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151840" w:rsidRDefault="002A33A1">
            <w:pPr>
              <w:spacing w:line="200" w:lineRule="exact"/>
            </w:pPr>
            <w:r>
              <w:rPr>
                <w:rFonts w:cs="宋体"/>
                <w:b/>
                <w:sz w:val="18"/>
                <w:szCs w:val="18"/>
              </w:rPr>
              <w:t>固定管理费：本理财产品按前一日理财产品资产净值收取固定管理费，按日计提。</w:t>
            </w:r>
          </w:p>
          <w:p w:rsidR="00151840" w:rsidRDefault="002A33A1">
            <w:pPr>
              <w:spacing w:line="200" w:lineRule="exact"/>
            </w:pPr>
            <w:r>
              <w:rPr>
                <w:rFonts w:cs="宋体"/>
                <w:b/>
                <w:sz w:val="18"/>
                <w:szCs w:val="18"/>
              </w:rPr>
              <w:t>A</w:t>
            </w:r>
            <w:r>
              <w:rPr>
                <w:rFonts w:cs="宋体"/>
                <w:b/>
                <w:sz w:val="18"/>
                <w:szCs w:val="18"/>
              </w:rPr>
              <w:t>份额：固定管理费年化</w:t>
            </w:r>
            <w:r>
              <w:rPr>
                <w:rFonts w:cs="宋体"/>
                <w:b/>
                <w:sz w:val="18"/>
                <w:szCs w:val="18"/>
              </w:rPr>
              <w:t>0.18%</w:t>
            </w:r>
          </w:p>
          <w:p w:rsidR="00151840" w:rsidRDefault="002A33A1">
            <w:pPr>
              <w:spacing w:line="200" w:lineRule="exact"/>
            </w:pPr>
            <w:r>
              <w:rPr>
                <w:rFonts w:cs="宋体"/>
                <w:b/>
                <w:sz w:val="18"/>
                <w:szCs w:val="18"/>
              </w:rPr>
              <w:t>B</w:t>
            </w:r>
            <w:r>
              <w:rPr>
                <w:rFonts w:cs="宋体"/>
                <w:b/>
                <w:sz w:val="18"/>
                <w:szCs w:val="18"/>
              </w:rPr>
              <w:t>份额：固定管理费年化</w:t>
            </w:r>
            <w:r>
              <w:rPr>
                <w:rFonts w:cs="宋体"/>
                <w:b/>
                <w:sz w:val="18"/>
                <w:szCs w:val="18"/>
              </w:rPr>
              <w:t>0.13%</w:t>
            </w:r>
          </w:p>
          <w:p w:rsidR="00151840" w:rsidRDefault="002A33A1">
            <w:pPr>
              <w:spacing w:line="200" w:lineRule="exact"/>
            </w:pPr>
            <w:r>
              <w:rPr>
                <w:rFonts w:cs="宋体"/>
                <w:b/>
                <w:sz w:val="18"/>
                <w:szCs w:val="18"/>
              </w:rPr>
              <w:t>C</w:t>
            </w:r>
            <w:r>
              <w:rPr>
                <w:rFonts w:cs="宋体"/>
                <w:b/>
                <w:sz w:val="18"/>
                <w:szCs w:val="18"/>
              </w:rPr>
              <w:t>份额：固定管理费年化</w:t>
            </w:r>
            <w:r>
              <w:rPr>
                <w:rFonts w:cs="宋体"/>
                <w:b/>
                <w:sz w:val="18"/>
                <w:szCs w:val="18"/>
              </w:rPr>
              <w:t>0.13%</w:t>
            </w:r>
          </w:p>
          <w:p w:rsidR="00151840" w:rsidRDefault="002A33A1">
            <w:pPr>
              <w:spacing w:line="200" w:lineRule="exact"/>
            </w:pPr>
            <w:r>
              <w:rPr>
                <w:rFonts w:cs="宋体"/>
                <w:b/>
                <w:sz w:val="18"/>
                <w:szCs w:val="18"/>
              </w:rPr>
              <w:t>D</w:t>
            </w:r>
            <w:r>
              <w:rPr>
                <w:rFonts w:cs="宋体"/>
                <w:b/>
                <w:sz w:val="18"/>
                <w:szCs w:val="18"/>
              </w:rPr>
              <w:t>份额：固定管理费年化</w:t>
            </w:r>
            <w:r>
              <w:rPr>
                <w:rFonts w:cs="宋体"/>
                <w:b/>
                <w:sz w:val="18"/>
                <w:szCs w:val="18"/>
              </w:rPr>
              <w:t>0.08%</w:t>
            </w:r>
          </w:p>
          <w:p w:rsidR="00151840" w:rsidRDefault="002A33A1">
            <w:pPr>
              <w:spacing w:line="200" w:lineRule="exact"/>
            </w:pPr>
            <w:r>
              <w:rPr>
                <w:rFonts w:cs="宋体"/>
                <w:b/>
                <w:sz w:val="18"/>
                <w:szCs w:val="18"/>
              </w:rPr>
              <w:t>F</w:t>
            </w:r>
            <w:r>
              <w:rPr>
                <w:rFonts w:cs="宋体"/>
                <w:b/>
                <w:sz w:val="18"/>
                <w:szCs w:val="18"/>
              </w:rPr>
              <w:t>份额：固定管理费年化</w:t>
            </w:r>
            <w:r>
              <w:rPr>
                <w:rFonts w:cs="宋体"/>
                <w:b/>
                <w:sz w:val="18"/>
                <w:szCs w:val="18"/>
              </w:rPr>
              <w:t>0.08%</w:t>
            </w:r>
          </w:p>
          <w:p w:rsidR="00151840" w:rsidRDefault="002A33A1">
            <w:pPr>
              <w:spacing w:line="200" w:lineRule="exact"/>
            </w:pPr>
            <w:r>
              <w:rPr>
                <w:rFonts w:cs="宋体"/>
                <w:b/>
                <w:sz w:val="18"/>
                <w:szCs w:val="18"/>
              </w:rPr>
              <w:t>G</w:t>
            </w:r>
            <w:r>
              <w:rPr>
                <w:rFonts w:cs="宋体"/>
                <w:b/>
                <w:sz w:val="18"/>
                <w:szCs w:val="18"/>
              </w:rPr>
              <w:t>份额：固定管理费年化</w:t>
            </w:r>
            <w:r>
              <w:rPr>
                <w:rFonts w:cs="宋体"/>
                <w:b/>
                <w:sz w:val="18"/>
                <w:szCs w:val="18"/>
              </w:rPr>
              <w:t>0.08%</w:t>
            </w:r>
          </w:p>
          <w:p w:rsidR="00151840" w:rsidRDefault="002A33A1">
            <w:pPr>
              <w:spacing w:line="200" w:lineRule="exact"/>
            </w:pPr>
            <w:r>
              <w:rPr>
                <w:rFonts w:cs="宋体"/>
                <w:b/>
                <w:sz w:val="18"/>
                <w:szCs w:val="18"/>
              </w:rPr>
              <w:t>H</w:t>
            </w:r>
            <w:r>
              <w:rPr>
                <w:rFonts w:cs="宋体"/>
                <w:b/>
                <w:sz w:val="18"/>
                <w:szCs w:val="18"/>
              </w:rPr>
              <w:t>份额：固定管理费年化</w:t>
            </w:r>
            <w:r>
              <w:rPr>
                <w:rFonts w:cs="宋体"/>
                <w:b/>
                <w:sz w:val="18"/>
                <w:szCs w:val="18"/>
              </w:rPr>
              <w:t>0.13%</w:t>
            </w:r>
          </w:p>
          <w:p w:rsidR="00151840" w:rsidRDefault="002A33A1">
            <w:pPr>
              <w:spacing w:line="200" w:lineRule="exact"/>
            </w:pPr>
            <w:r>
              <w:rPr>
                <w:rFonts w:cs="宋体"/>
                <w:b/>
                <w:sz w:val="18"/>
                <w:szCs w:val="18"/>
              </w:rPr>
              <w:t>J</w:t>
            </w:r>
            <w:r>
              <w:rPr>
                <w:rFonts w:cs="宋体"/>
                <w:b/>
                <w:sz w:val="18"/>
                <w:szCs w:val="18"/>
              </w:rPr>
              <w:t>份额：固定管理费年化</w:t>
            </w:r>
            <w:r>
              <w:rPr>
                <w:rFonts w:cs="宋体"/>
                <w:b/>
                <w:sz w:val="18"/>
                <w:szCs w:val="18"/>
              </w:rPr>
              <w:t>0.18%</w:t>
            </w:r>
          </w:p>
          <w:p w:rsidR="00151840" w:rsidRDefault="002A33A1">
            <w:pPr>
              <w:spacing w:line="200" w:lineRule="exact"/>
            </w:pPr>
            <w:r>
              <w:rPr>
                <w:rFonts w:cs="宋体"/>
                <w:b/>
                <w:sz w:val="18"/>
                <w:szCs w:val="18"/>
              </w:rPr>
              <w:t>L</w:t>
            </w:r>
            <w:r>
              <w:rPr>
                <w:rFonts w:cs="宋体"/>
                <w:b/>
                <w:sz w:val="18"/>
                <w:szCs w:val="18"/>
              </w:rPr>
              <w:t>份额：固定管理费年化</w:t>
            </w:r>
            <w:r>
              <w:rPr>
                <w:rFonts w:cs="宋体"/>
                <w:b/>
                <w:sz w:val="18"/>
                <w:szCs w:val="18"/>
              </w:rPr>
              <w:t>0.08%</w:t>
            </w:r>
          </w:p>
          <w:p w:rsidR="00151840" w:rsidRDefault="002A33A1">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151840" w:rsidRDefault="002A33A1">
            <w:pPr>
              <w:spacing w:line="200" w:lineRule="exact"/>
            </w:pPr>
            <w:r>
              <w:rPr>
                <w:rFonts w:cs="宋体"/>
                <w:b/>
                <w:sz w:val="18"/>
                <w:szCs w:val="18"/>
              </w:rPr>
              <w:t>托管费：</w:t>
            </w:r>
          </w:p>
          <w:p w:rsidR="00151840" w:rsidRDefault="002A33A1">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151840" w:rsidRDefault="002A33A1">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151840" w:rsidRDefault="002A33A1">
            <w:pPr>
              <w:spacing w:line="200" w:lineRule="exact"/>
            </w:pPr>
            <w:r>
              <w:rPr>
                <w:rFonts w:cs="宋体"/>
                <w:b/>
                <w:sz w:val="18"/>
                <w:szCs w:val="18"/>
              </w:rPr>
              <w:t>业绩报酬：</w:t>
            </w:r>
          </w:p>
          <w:p w:rsidR="00151840" w:rsidRDefault="002A33A1">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1.83%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151840" w:rsidRDefault="002A33A1">
            <w:pPr>
              <w:spacing w:line="200" w:lineRule="exact"/>
            </w:pPr>
            <w:r>
              <w:rPr>
                <w:rFonts w:cs="宋体"/>
                <w:b/>
                <w:sz w:val="18"/>
                <w:szCs w:val="18"/>
              </w:rPr>
              <w:t>B</w:t>
            </w:r>
            <w:r>
              <w:rPr>
                <w:rFonts w:cs="宋体"/>
                <w:b/>
                <w:sz w:val="18"/>
                <w:szCs w:val="18"/>
              </w:rPr>
              <w:t>份额：到期兑付</w:t>
            </w:r>
            <w:r>
              <w:rPr>
                <w:rFonts w:cs="宋体"/>
                <w:b/>
                <w:sz w:val="18"/>
                <w:szCs w:val="18"/>
              </w:rPr>
              <w:t>时，当期产品投资的实际资产组合收益（扣除销售费、固定管理费、托管费等相关费用）超过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151840" w:rsidRDefault="002A33A1">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2.03%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151840" w:rsidRDefault="002A33A1">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份额：到期兑付时，当期产品投资的实际资产组合收益（扣除销售费、固定管理费、托管费等相关费用）超过</w:t>
            </w:r>
            <w:r>
              <w:rPr>
                <w:rFonts w:cs="宋体"/>
                <w:b/>
                <w:sz w:val="18"/>
                <w:szCs w:val="18"/>
              </w:rPr>
              <w:t>2.13%</w:t>
            </w:r>
            <w:r>
              <w:rPr>
                <w:rFonts w:cs="宋体"/>
                <w:b/>
                <w:sz w:val="18"/>
                <w:szCs w:val="18"/>
              </w:rPr>
              <w:t>（年化，即产品该份额对应的业</w:t>
            </w:r>
            <w:r>
              <w:rPr>
                <w:rFonts w:cs="宋体"/>
                <w:b/>
                <w:sz w:val="18"/>
                <w:szCs w:val="18"/>
              </w:rPr>
              <w:t>绩报酬计提基准）时，超过部分管理人将按</w:t>
            </w:r>
            <w:r>
              <w:rPr>
                <w:rFonts w:cs="宋体"/>
                <w:b/>
                <w:sz w:val="18"/>
                <w:szCs w:val="18"/>
              </w:rPr>
              <w:t>60%</w:t>
            </w:r>
            <w:r>
              <w:rPr>
                <w:rFonts w:cs="宋体"/>
                <w:b/>
                <w:sz w:val="18"/>
                <w:szCs w:val="18"/>
              </w:rPr>
              <w:t>收取业绩报酬。</w:t>
            </w:r>
          </w:p>
          <w:p w:rsidR="00151840" w:rsidRDefault="002A33A1">
            <w:pPr>
              <w:spacing w:line="200" w:lineRule="exact"/>
            </w:pPr>
            <w:r>
              <w:rPr>
                <w:rFonts w:cs="宋体"/>
                <w:b/>
                <w:sz w:val="18"/>
                <w:szCs w:val="18"/>
              </w:rPr>
              <w:t>F</w:t>
            </w:r>
            <w:r>
              <w:rPr>
                <w:rFonts w:cs="宋体"/>
                <w:b/>
                <w:sz w:val="18"/>
                <w:szCs w:val="18"/>
              </w:rPr>
              <w:t>份额：到期兑付时，当期产品投资的实际资产组合收益（扣除销售费、固定管理费、托管费等相关费用）超过</w:t>
            </w:r>
            <w:r>
              <w:rPr>
                <w:rFonts w:cs="宋体"/>
                <w:b/>
                <w:sz w:val="18"/>
                <w:szCs w:val="18"/>
              </w:rPr>
              <w:t>1.88%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151840" w:rsidRDefault="002A33A1">
            <w:pPr>
              <w:spacing w:line="200" w:lineRule="exact"/>
            </w:pPr>
            <w:r>
              <w:rPr>
                <w:rFonts w:cs="宋体"/>
                <w:b/>
                <w:sz w:val="18"/>
                <w:szCs w:val="18"/>
              </w:rPr>
              <w:t>G</w:t>
            </w:r>
            <w:r>
              <w:rPr>
                <w:rFonts w:cs="宋体"/>
                <w:b/>
                <w:sz w:val="18"/>
                <w:szCs w:val="18"/>
              </w:rPr>
              <w:t>份额：到期兑付时，当期产品投资的实际资产组合收益（扣除销售费、固定管理费、托管费等相关费用）超过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151840" w:rsidRDefault="002A33A1">
            <w:pPr>
              <w:spacing w:line="200" w:lineRule="exact"/>
            </w:pPr>
            <w:r>
              <w:rPr>
                <w:rFonts w:cs="宋体"/>
                <w:b/>
                <w:sz w:val="18"/>
                <w:szCs w:val="18"/>
              </w:rPr>
              <w:t>H</w:t>
            </w:r>
            <w:r>
              <w:rPr>
                <w:rFonts w:cs="宋体"/>
                <w:b/>
                <w:sz w:val="18"/>
                <w:szCs w:val="18"/>
              </w:rPr>
              <w:t>份额：到期兑付时，当期产品投资的实际资产组合收益（扣除销售</w:t>
            </w:r>
            <w:r>
              <w:rPr>
                <w:rFonts w:cs="宋体"/>
                <w:b/>
                <w:sz w:val="18"/>
                <w:szCs w:val="18"/>
              </w:rPr>
              <w:t>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151840" w:rsidRDefault="002A33A1">
            <w:pPr>
              <w:spacing w:line="200" w:lineRule="exact"/>
            </w:pPr>
            <w:r>
              <w:rPr>
                <w:rFonts w:cs="宋体"/>
                <w:b/>
                <w:sz w:val="18"/>
                <w:szCs w:val="18"/>
              </w:rPr>
              <w:t>J</w:t>
            </w:r>
            <w:r>
              <w:rPr>
                <w:rFonts w:cs="宋体"/>
                <w:b/>
                <w:sz w:val="18"/>
                <w:szCs w:val="18"/>
              </w:rPr>
              <w:t>份额：到期兑付时，当期产品投资的实际资产组合收益（扣除销售费、固定管理费、托管费等相关费用）超过</w:t>
            </w:r>
            <w:r>
              <w:rPr>
                <w:rFonts w:cs="宋体"/>
                <w:b/>
                <w:sz w:val="18"/>
                <w:szCs w:val="18"/>
              </w:rPr>
              <w:t>1.83%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151840" w:rsidRDefault="002A33A1">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份额：到期兑付时，当期产品投资的实际资产组合收益（扣除销售费、固定管理费、托管费等相关费用）超过</w:t>
            </w:r>
            <w:r>
              <w:rPr>
                <w:rFonts w:cs="宋体"/>
                <w:b/>
                <w:sz w:val="18"/>
                <w:szCs w:val="18"/>
              </w:rPr>
              <w:t>2.08%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151840" w:rsidRDefault="002A33A1">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151840" w:rsidRDefault="002A33A1">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151840" w:rsidRDefault="002A33A1">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w:t>
            </w:r>
            <w:r>
              <w:rPr>
                <w:rFonts w:cs="宋体"/>
                <w:b/>
                <w:sz w:val="18"/>
                <w:szCs w:val="18"/>
              </w:rPr>
              <w:t>本理财产品将每日计提暂估的业绩报酬（如有）。</w:t>
            </w:r>
          </w:p>
          <w:p w:rsidR="00151840" w:rsidRDefault="002A33A1">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151840" w:rsidRDefault="002A33A1">
            <w:pPr>
              <w:spacing w:line="200" w:lineRule="exact"/>
            </w:pPr>
            <w:r>
              <w:rPr>
                <w:rFonts w:cs="宋体"/>
                <w:b/>
                <w:sz w:val="18"/>
                <w:szCs w:val="18"/>
              </w:rPr>
              <w:t>计算本区间业绩报酬的公式如下：</w:t>
            </w:r>
          </w:p>
          <w:p w:rsidR="00151840" w:rsidRDefault="002A33A1">
            <w:pPr>
              <w:spacing w:line="200" w:lineRule="exact"/>
            </w:pPr>
            <w:r>
              <w:rPr>
                <w:rFonts w:cs="宋体"/>
                <w:b/>
                <w:sz w:val="18"/>
                <w:szCs w:val="18"/>
              </w:rPr>
              <w:t>A={B-C*D*(1+E*F/365)}*G</w:t>
            </w:r>
            <w:r>
              <w:rPr>
                <w:rFonts w:cs="宋体"/>
                <w:b/>
                <w:sz w:val="18"/>
                <w:szCs w:val="18"/>
              </w:rPr>
              <w:t>。</w:t>
            </w:r>
          </w:p>
          <w:p w:rsidR="00151840" w:rsidRDefault="002A33A1">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w:t>
            </w:r>
            <w:r>
              <w:rPr>
                <w:rFonts w:cs="宋体"/>
                <w:b/>
                <w:sz w:val="18"/>
                <w:szCs w:val="18"/>
              </w:rPr>
              <w:t>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p w:rsidR="00151840" w:rsidRDefault="002A33A1">
            <w:pPr>
              <w:spacing w:line="200" w:lineRule="exact"/>
            </w:pPr>
            <w:r>
              <w:rPr>
                <w:rFonts w:cs="宋体"/>
                <w:b/>
                <w:sz w:val="18"/>
                <w:szCs w:val="18"/>
              </w:rPr>
              <w:t>3.</w:t>
            </w:r>
            <w:r>
              <w:rPr>
                <w:rFonts w:cs="宋体"/>
                <w:b/>
                <w:sz w:val="18"/>
                <w:szCs w:val="18"/>
              </w:rPr>
              <w:t>本理财产品所有份额的固定管理费自本理财产品成立日（含）至</w:t>
            </w:r>
            <w:r>
              <w:rPr>
                <w:rFonts w:cs="宋体"/>
                <w:b/>
                <w:sz w:val="18"/>
                <w:szCs w:val="18"/>
              </w:rPr>
              <w:t>2025</w:t>
            </w:r>
            <w:r>
              <w:rPr>
                <w:rFonts w:cs="宋体"/>
                <w:b/>
                <w:sz w:val="18"/>
                <w:szCs w:val="18"/>
              </w:rPr>
              <w:t>年</w:t>
            </w:r>
            <w:r>
              <w:rPr>
                <w:rFonts w:cs="宋体"/>
                <w:b/>
                <w:sz w:val="18"/>
                <w:szCs w:val="18"/>
              </w:rPr>
              <w:t>12</w:t>
            </w:r>
            <w:r>
              <w:rPr>
                <w:rFonts w:cs="宋体"/>
                <w:b/>
                <w:sz w:val="18"/>
                <w:szCs w:val="18"/>
              </w:rPr>
              <w:t>月</w:t>
            </w:r>
            <w:r>
              <w:rPr>
                <w:rFonts w:cs="宋体"/>
                <w:b/>
                <w:sz w:val="18"/>
                <w:szCs w:val="18"/>
              </w:rPr>
              <w:t>31</w:t>
            </w:r>
            <w:r>
              <w:rPr>
                <w:rFonts w:cs="宋体"/>
                <w:b/>
                <w:sz w:val="18"/>
                <w:szCs w:val="18"/>
              </w:rPr>
              <w:t>日（含）期间优惠至</w:t>
            </w:r>
            <w:r>
              <w:rPr>
                <w:rFonts w:cs="宋体"/>
                <w:b/>
                <w:sz w:val="18"/>
                <w:szCs w:val="18"/>
              </w:rPr>
              <w:t>0.01%</w:t>
            </w:r>
            <w:r>
              <w:rPr>
                <w:rFonts w:cs="宋体"/>
                <w:b/>
                <w:sz w:val="18"/>
                <w:szCs w:val="18"/>
              </w:rPr>
              <w:t>。</w:t>
            </w:r>
          </w:p>
        </w:tc>
      </w:tr>
      <w:tr w:rsidR="00151840">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pPr>
            <w:r>
              <w:rPr>
                <w:rFonts w:cs="宋体"/>
                <w:sz w:val="18"/>
                <w:szCs w:val="18"/>
              </w:rPr>
              <w:t>具体详见本理财产品风险揭示书。</w:t>
            </w:r>
          </w:p>
        </w:tc>
      </w:tr>
      <w:tr w:rsidR="00151840">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151840" w:rsidRDefault="002A33A1">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151840" w:rsidRDefault="002A33A1">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151840" w:rsidRDefault="002A33A1">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151840" w:rsidRDefault="002A33A1">
            <w:pPr>
              <w:spacing w:line="200" w:lineRule="exact"/>
              <w:jc w:val="left"/>
            </w:pPr>
            <w:r>
              <w:rPr>
                <w:rFonts w:cs="宋体"/>
                <w:color w:val="000000"/>
                <w:sz w:val="18"/>
                <w:szCs w:val="18"/>
              </w:rPr>
              <w:t>4.</w:t>
            </w:r>
            <w:r>
              <w:rPr>
                <w:rFonts w:cs="宋体"/>
                <w:color w:val="000000"/>
                <w:sz w:val="18"/>
                <w:szCs w:val="18"/>
              </w:rPr>
              <w:t>按照理财产品销售文件约定的投资范围</w:t>
            </w:r>
            <w:r>
              <w:rPr>
                <w:rFonts w:cs="宋体"/>
                <w:color w:val="000000"/>
                <w:sz w:val="18"/>
                <w:szCs w:val="18"/>
              </w:rPr>
              <w:t>和权限，负责理财产品资金的运用和管理，向投资者进行收益分配；</w:t>
            </w:r>
          </w:p>
          <w:p w:rsidR="00151840" w:rsidRDefault="002A33A1">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151840" w:rsidRDefault="002A33A1">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151840" w:rsidRDefault="002A33A1">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15184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w:t>
            </w:r>
            <w:r>
              <w:rPr>
                <w:rFonts w:cs="宋体"/>
                <w:sz w:val="18"/>
                <w:szCs w:val="18"/>
              </w:rPr>
              <w:t>、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w:t>
            </w:r>
            <w:r>
              <w:rPr>
                <w:rFonts w:cs="宋体"/>
                <w:sz w:val="18"/>
                <w:szCs w:val="18"/>
              </w:rPr>
              <w:t>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w:t>
            </w:r>
            <w:r>
              <w:rPr>
                <w:rFonts w:cs="宋体"/>
                <w:sz w:val="18"/>
                <w:szCs w:val="18"/>
              </w:rPr>
              <w:t>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w:t>
            </w:r>
            <w:r>
              <w:rPr>
                <w:rFonts w:cs="宋体"/>
                <w:sz w:val="18"/>
                <w:szCs w:val="18"/>
              </w:rPr>
              <w:t>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w:t>
            </w:r>
            <w:r>
              <w:rPr>
                <w:rFonts w:cs="宋体"/>
                <w:sz w:val="18"/>
                <w:szCs w:val="18"/>
              </w:rPr>
              <w:t>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江苏海安农村商业银行股份有限公司、青岛农村商业银行股份有限公司。管理人有权调整本理财产品的销售机构并进行信息披露。</w:t>
            </w:r>
          </w:p>
          <w:p w:rsidR="00151840" w:rsidRDefault="002A33A1">
            <w:pPr>
              <w:spacing w:line="200" w:lineRule="exact"/>
              <w:jc w:val="left"/>
            </w:pPr>
            <w:r>
              <w:rPr>
                <w:rFonts w:cs="宋体"/>
                <w:sz w:val="18"/>
                <w:szCs w:val="18"/>
              </w:rPr>
              <w:t>销售机构主要职责如下：</w:t>
            </w:r>
          </w:p>
          <w:p w:rsidR="00151840" w:rsidRDefault="002A33A1">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151840" w:rsidRDefault="002A33A1">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rsidR="00151840" w:rsidRDefault="002A33A1">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151840" w:rsidRDefault="002A33A1">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151840" w:rsidRDefault="002A33A1">
            <w:pPr>
              <w:spacing w:line="200" w:lineRule="exact"/>
              <w:jc w:val="left"/>
            </w:pPr>
            <w:r>
              <w:rPr>
                <w:rFonts w:cs="宋体"/>
                <w:sz w:val="18"/>
                <w:szCs w:val="18"/>
              </w:rPr>
              <w:t>5.</w:t>
            </w:r>
            <w:r>
              <w:rPr>
                <w:rFonts w:cs="宋体"/>
                <w:sz w:val="18"/>
                <w:szCs w:val="18"/>
              </w:rPr>
              <w:t>建立健全投资者权益保护管理体系，加强投资者适当性管理；</w:t>
            </w:r>
          </w:p>
          <w:p w:rsidR="00151840" w:rsidRDefault="002A33A1">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151840">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pPr>
            <w:r>
              <w:rPr>
                <w:rFonts w:cs="宋体"/>
                <w:sz w:val="18"/>
                <w:szCs w:val="18"/>
              </w:rPr>
              <w:t>本理财产品托管人为南京银行股份有限公司，主要职责如下：</w:t>
            </w:r>
          </w:p>
          <w:p w:rsidR="00151840" w:rsidRDefault="002A33A1">
            <w:pPr>
              <w:spacing w:line="200" w:lineRule="exact"/>
            </w:pPr>
            <w:r>
              <w:rPr>
                <w:rFonts w:cs="宋体"/>
                <w:sz w:val="18"/>
                <w:szCs w:val="18"/>
              </w:rPr>
              <w:t>1.</w:t>
            </w:r>
            <w:r>
              <w:rPr>
                <w:rFonts w:cs="宋体"/>
                <w:sz w:val="18"/>
                <w:szCs w:val="18"/>
              </w:rPr>
              <w:t>安全保管理财产品财产；</w:t>
            </w:r>
          </w:p>
          <w:p w:rsidR="00151840" w:rsidRDefault="002A33A1">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151840" w:rsidRDefault="002A33A1">
            <w:pPr>
              <w:spacing w:line="200" w:lineRule="exact"/>
            </w:pPr>
            <w:r>
              <w:rPr>
                <w:rFonts w:cs="宋体"/>
                <w:sz w:val="18"/>
                <w:szCs w:val="18"/>
              </w:rPr>
              <w:t>3.</w:t>
            </w:r>
            <w:r>
              <w:rPr>
                <w:rFonts w:cs="宋体"/>
                <w:sz w:val="18"/>
                <w:szCs w:val="18"/>
              </w:rPr>
              <w:t>按照托管协议约定和管理人的投资指令，及时办理清算、交割事宜；</w:t>
            </w:r>
          </w:p>
          <w:p w:rsidR="00151840" w:rsidRDefault="002A33A1">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151840" w:rsidRDefault="002A33A1">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151840" w:rsidRDefault="002A33A1">
            <w:pPr>
              <w:spacing w:line="200" w:lineRule="exact"/>
            </w:pPr>
            <w:r>
              <w:rPr>
                <w:rFonts w:cs="宋体"/>
                <w:sz w:val="18"/>
                <w:szCs w:val="18"/>
              </w:rPr>
              <w:t>6.</w:t>
            </w:r>
            <w:r>
              <w:rPr>
                <w:rFonts w:cs="宋体"/>
                <w:sz w:val="18"/>
                <w:szCs w:val="18"/>
              </w:rPr>
              <w:t>办理与理财产品托管业务活动相关的信息披露事项，包括披露理财产品托管协议、对理</w:t>
            </w:r>
            <w:r>
              <w:rPr>
                <w:rFonts w:cs="宋体"/>
                <w:sz w:val="18"/>
                <w:szCs w:val="18"/>
              </w:rPr>
              <w:t>财产品信息披露文件中的理财产品财务会计报告等出具意见，以及在公募理财产品半年度和年度报告中出具理财托管机构报告等；</w:t>
            </w:r>
          </w:p>
          <w:p w:rsidR="00151840" w:rsidRDefault="002A33A1">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151840" w:rsidRDefault="002A33A1">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151840" w:rsidRDefault="002A33A1">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151840">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w:t>
            </w:r>
            <w:r>
              <w:rPr>
                <w:rFonts w:cs="宋体"/>
                <w:sz w:val="18"/>
                <w:szCs w:val="18"/>
              </w:rPr>
              <w:t>合作机构签署的合同为准。</w:t>
            </w:r>
          </w:p>
          <w:p w:rsidR="00151840" w:rsidRDefault="002A33A1">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合作机构为理财产品所投资资产管理产品的发行机构，主要承担资产管理产品的管理人职责：平安资产管理有限责任公司、太平洋资产管理有限责任公司、太平资产管理有限公司、中国人保资产管理有限公司。</w:t>
            </w:r>
          </w:p>
          <w:p w:rsidR="00151840" w:rsidRDefault="002A33A1">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w:t>
            </w:r>
            <w:r>
              <w:rPr>
                <w:rFonts w:cs="宋体"/>
                <w:sz w:val="18"/>
                <w:szCs w:val="18"/>
              </w:rPr>
              <w:t>托有限责任公司、泰康资产管理有限责任公司、天津信托有限责任公司、中粮信托有限责任公司、中信信托有限责任公司、鑫元基金管理有限公司。</w:t>
            </w:r>
          </w:p>
          <w:p w:rsidR="00151840" w:rsidRDefault="002A33A1">
            <w:pPr>
              <w:spacing w:line="200" w:lineRule="exact"/>
            </w:pPr>
            <w:r>
              <w:rPr>
                <w:rFonts w:cs="宋体"/>
                <w:sz w:val="18"/>
                <w:szCs w:val="18"/>
              </w:rPr>
              <w:t>若上述合作机构及其职责发生调整，管理人将在本理财产品的定期报告中进行信息披露。</w:t>
            </w:r>
          </w:p>
          <w:p w:rsidR="00151840" w:rsidRDefault="002A33A1">
            <w:pPr>
              <w:spacing w:line="200" w:lineRule="exact"/>
            </w:pPr>
            <w:r>
              <w:rPr>
                <w:rFonts w:cs="宋体"/>
                <w:sz w:val="18"/>
                <w:szCs w:val="18"/>
              </w:rPr>
              <w:t>上述投资合作机构简介：</w:t>
            </w:r>
          </w:p>
          <w:p w:rsidR="00151840" w:rsidRDefault="002A33A1">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151840" w:rsidRDefault="002A33A1">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151840" w:rsidRDefault="002A33A1">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151840" w:rsidRDefault="002A33A1">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151840" w:rsidRDefault="002A33A1">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151840" w:rsidRDefault="002A33A1">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151840" w:rsidRDefault="002A33A1">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151840" w:rsidRDefault="002A33A1">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151840" w:rsidRDefault="002A33A1">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151840" w:rsidRDefault="002A33A1">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151840" w:rsidRDefault="002A33A1">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151840" w:rsidRDefault="002A33A1">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151840" w:rsidRDefault="002A33A1">
            <w:pPr>
              <w:spacing w:line="200" w:lineRule="exact"/>
            </w:pPr>
            <w:r>
              <w:rPr>
                <w:rFonts w:cs="宋体"/>
                <w:sz w:val="18"/>
                <w:szCs w:val="18"/>
              </w:rPr>
              <w:t>太平资产管理有限公司成立于</w:t>
            </w:r>
            <w:r>
              <w:rPr>
                <w:rFonts w:cs="宋体"/>
                <w:sz w:val="18"/>
                <w:szCs w:val="18"/>
              </w:rPr>
              <w:t>2006</w:t>
            </w:r>
            <w:r>
              <w:rPr>
                <w:rFonts w:cs="宋体"/>
                <w:sz w:val="18"/>
                <w:szCs w:val="18"/>
              </w:rPr>
              <w:t>年</w:t>
            </w:r>
            <w:r>
              <w:rPr>
                <w:rFonts w:cs="宋体"/>
                <w:sz w:val="18"/>
                <w:szCs w:val="18"/>
              </w:rPr>
              <w:t>09</w:t>
            </w:r>
            <w:r>
              <w:rPr>
                <w:rFonts w:cs="宋体"/>
                <w:sz w:val="18"/>
                <w:szCs w:val="18"/>
              </w:rPr>
              <w:t>月</w:t>
            </w:r>
            <w:r>
              <w:rPr>
                <w:rFonts w:cs="宋体"/>
                <w:sz w:val="18"/>
                <w:szCs w:val="18"/>
              </w:rPr>
              <w:t>01</w:t>
            </w:r>
            <w:r>
              <w:rPr>
                <w:rFonts w:cs="宋体"/>
                <w:sz w:val="18"/>
                <w:szCs w:val="18"/>
              </w:rPr>
              <w:t>日，注册资本金</w:t>
            </w:r>
            <w:r>
              <w:rPr>
                <w:rFonts w:cs="宋体"/>
                <w:sz w:val="18"/>
                <w:szCs w:val="18"/>
              </w:rPr>
              <w:t>10</w:t>
            </w:r>
            <w:r>
              <w:rPr>
                <w:rFonts w:cs="宋体"/>
                <w:sz w:val="18"/>
                <w:szCs w:val="18"/>
              </w:rPr>
              <w:t>亿元。</w:t>
            </w:r>
          </w:p>
          <w:p w:rsidR="00151840" w:rsidRDefault="002A33A1">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151840" w:rsidRDefault="002A33A1">
            <w:pPr>
              <w:spacing w:line="200" w:lineRule="exact"/>
            </w:pPr>
            <w:r>
              <w:rPr>
                <w:rFonts w:cs="宋体"/>
                <w:sz w:val="18"/>
                <w:szCs w:val="18"/>
              </w:rPr>
              <w:t>中国人保资产管理有限公司成立于</w:t>
            </w:r>
            <w:r>
              <w:rPr>
                <w:rFonts w:cs="宋体"/>
                <w:sz w:val="18"/>
                <w:szCs w:val="18"/>
              </w:rPr>
              <w:t>2003</w:t>
            </w:r>
            <w:r>
              <w:rPr>
                <w:rFonts w:cs="宋体"/>
                <w:sz w:val="18"/>
                <w:szCs w:val="18"/>
              </w:rPr>
              <w:t>年</w:t>
            </w:r>
            <w:r>
              <w:rPr>
                <w:rFonts w:cs="宋体"/>
                <w:sz w:val="18"/>
                <w:szCs w:val="18"/>
              </w:rPr>
              <w:t>07</w:t>
            </w:r>
            <w:r>
              <w:rPr>
                <w:rFonts w:cs="宋体"/>
                <w:sz w:val="18"/>
                <w:szCs w:val="18"/>
              </w:rPr>
              <w:t>月</w:t>
            </w:r>
            <w:r>
              <w:rPr>
                <w:rFonts w:cs="宋体"/>
                <w:sz w:val="18"/>
                <w:szCs w:val="18"/>
              </w:rPr>
              <w:t>16</w:t>
            </w:r>
            <w:r>
              <w:rPr>
                <w:rFonts w:cs="宋体"/>
                <w:sz w:val="18"/>
                <w:szCs w:val="18"/>
              </w:rPr>
              <w:t>日，注册资本金</w:t>
            </w:r>
            <w:r>
              <w:rPr>
                <w:rFonts w:cs="宋体"/>
                <w:sz w:val="18"/>
                <w:szCs w:val="18"/>
              </w:rPr>
              <w:t>12.98</w:t>
            </w:r>
            <w:r>
              <w:rPr>
                <w:rFonts w:cs="宋体"/>
                <w:sz w:val="18"/>
                <w:szCs w:val="18"/>
              </w:rPr>
              <w:t>亿元。</w:t>
            </w:r>
          </w:p>
          <w:p w:rsidR="00151840" w:rsidRDefault="002A33A1">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rsidR="00151840" w:rsidRDefault="002A33A1">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151840" w:rsidRDefault="002A33A1">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151840">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151840" w:rsidRDefault="002A33A1">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151840" w:rsidRDefault="002A33A1">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151840" w:rsidRDefault="002A33A1">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15184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151840" w:rsidRDefault="002A33A1">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151840" w:rsidRDefault="002A33A1">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151840" w:rsidRDefault="002A33A1">
      <w:pPr>
        <w:pStyle w:val="Normalc9493ccd"/>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151840" w:rsidRDefault="002A33A1">
      <w:pPr>
        <w:pStyle w:val="Normal4a36be1d4a36be1d"/>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151840" w:rsidRDefault="002A33A1">
      <w:pPr>
        <w:pStyle w:val="Normal4a36be1d4a36be1d"/>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151840" w:rsidRDefault="002A33A1">
      <w:pPr>
        <w:pStyle w:val="Normal4a36be1d4a36be1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151840" w:rsidRDefault="002A33A1">
      <w:pPr>
        <w:pStyle w:val="Normal4a36be1d4a36be1d"/>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151840" w:rsidRDefault="002A33A1">
      <w:pPr>
        <w:pStyle w:val="Normal4a36be1d4a36be1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w:t>
      </w:r>
      <w:r>
        <w:rPr>
          <w:color w:val="3D3D3D"/>
          <w:kern w:val="0"/>
          <w:sz w:val="15"/>
          <w:szCs w:val="15"/>
        </w:rPr>
        <w:t>：指本理财产品对应的《投资者权益须知》以及对该文件的有效修改或补充。</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151840" w:rsidRDefault="002A33A1">
      <w:pPr>
        <w:pStyle w:val="Normal4a36be1d4a36be1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w:t>
      </w:r>
      <w:r>
        <w:rPr>
          <w:color w:val="3D3D3D"/>
          <w:kern w:val="0"/>
          <w:sz w:val="15"/>
          <w:szCs w:val="15"/>
        </w:rPr>
        <w:t>前终止权的日期，即本理财产品被提前终止、开始停止计算收益的日期。</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w:t>
      </w:r>
      <w:r>
        <w:rPr>
          <w:color w:val="3D3D3D"/>
          <w:kern w:val="0"/>
          <w:sz w:val="15"/>
          <w:szCs w:val="15"/>
        </w:rPr>
        <w:t>请。</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151840" w:rsidRDefault="002A33A1">
      <w:pPr>
        <w:pStyle w:val="Normal4a36be1d4a36be1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151840" w:rsidRDefault="002A33A1">
      <w:pPr>
        <w:pStyle w:val="Normal4a36be1d4a36be1d"/>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南银理财珠联璧合鑫逸稳半年</w:t>
      </w:r>
      <w:r>
        <w:rPr>
          <w:b/>
          <w:bCs/>
          <w:color w:val="3D3D3D"/>
          <w:kern w:val="0"/>
          <w:sz w:val="15"/>
          <w:szCs w:val="15"/>
        </w:rPr>
        <w:t>151</w:t>
      </w:r>
      <w:r>
        <w:rPr>
          <w:b/>
          <w:bCs/>
          <w:color w:val="3D3D3D"/>
          <w:kern w:val="0"/>
          <w:sz w:val="15"/>
          <w:szCs w:val="15"/>
        </w:rPr>
        <w:t>期封闭式公募人民币理财产品</w:t>
      </w:r>
      <w:r>
        <w:rPr>
          <w:rFonts w:hint="eastAsia"/>
          <w:color w:val="3D3D3D"/>
          <w:kern w:val="0"/>
          <w:sz w:val="15"/>
          <w:szCs w:val="15"/>
        </w:rPr>
        <w:t>。</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151840" w:rsidRDefault="002A33A1">
      <w:pPr>
        <w:pStyle w:val="Normal4a36be1d4a36be1d"/>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r>
        <w:rPr>
          <w:color w:val="3D3D3D"/>
          <w:kern w:val="0"/>
          <w:sz w:val="15"/>
          <w:szCs w:val="15"/>
        </w:rPr>
        <w:t>。</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151840" w:rsidRDefault="002A33A1">
      <w:pPr>
        <w:pStyle w:val="Normal4a36be1d4a36be1d"/>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151840" w:rsidRDefault="002A33A1">
      <w:pPr>
        <w:pStyle w:val="Normal4a36be1d4a36be1d"/>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151840" w:rsidRDefault="002A33A1">
      <w:pPr>
        <w:pStyle w:val="Normal4a36be1d4a36be1d"/>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151840" w:rsidRDefault="002A33A1">
      <w:pPr>
        <w:pStyle w:val="1ec295339ec29533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151840" w:rsidRDefault="002A33A1">
      <w:pPr>
        <w:pStyle w:val="1ec295339ec29533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w:t>
      </w:r>
      <w:r>
        <w:rPr>
          <w:color w:val="3D3D3D"/>
          <w:kern w:val="0"/>
          <w:sz w:val="15"/>
          <w:szCs w:val="15"/>
        </w:rPr>
        <w:t>争、军事行动、任何种类的恐怖活动、暴动、公众示威或抗议；</w:t>
      </w:r>
    </w:p>
    <w:p w:rsidR="00151840" w:rsidRDefault="002A33A1">
      <w:pPr>
        <w:pStyle w:val="1ec295339ec29533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151840" w:rsidRDefault="002A33A1">
      <w:pPr>
        <w:pStyle w:val="1ec295339ec29533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151840" w:rsidRDefault="002A33A1">
      <w:pPr>
        <w:pStyle w:val="1ec295339ec29533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151840" w:rsidRDefault="002A33A1">
      <w:pPr>
        <w:pStyle w:val="1ec295339ec29533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151840" w:rsidRDefault="002A33A1">
      <w:pPr>
        <w:pStyle w:val="Normal4a36be1d4a36be1d"/>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151840" w:rsidRDefault="002A33A1">
      <w:pPr>
        <w:pStyle w:val="Normal4a36be1d4a36be1d"/>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151840" w:rsidRDefault="002A33A1">
      <w:pPr>
        <w:pStyle w:val="Normal4a36be1d4a36be1d"/>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151840" w:rsidRDefault="002A33A1">
      <w:pPr>
        <w:pStyle w:val="Normalc9493ccd"/>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151840" w:rsidRDefault="002A33A1">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w:t>
      </w:r>
      <w:r>
        <w:rPr>
          <w:rFonts w:cs="宋体"/>
          <w:sz w:val="15"/>
          <w:szCs w:val="20"/>
        </w:rPr>
        <w:t>净值为</w:t>
      </w:r>
      <w:r>
        <w:rPr>
          <w:sz w:val="15"/>
          <w:szCs w:val="20"/>
        </w:rPr>
        <w:t>1.0000</w:t>
      </w:r>
      <w:r>
        <w:rPr>
          <w:rFonts w:cs="宋体"/>
          <w:sz w:val="15"/>
          <w:szCs w:val="20"/>
        </w:rPr>
        <w:t>元，折算份额</w:t>
      </w:r>
      <w:r>
        <w:rPr>
          <w:sz w:val="15"/>
          <w:szCs w:val="20"/>
        </w:rPr>
        <w:t>100,000</w:t>
      </w:r>
      <w:r>
        <w:rPr>
          <w:rFonts w:cs="宋体"/>
          <w:sz w:val="15"/>
          <w:szCs w:val="20"/>
        </w:rPr>
        <w:t>份。</w:t>
      </w:r>
    </w:p>
    <w:p w:rsidR="00151840" w:rsidRDefault="002A33A1">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151840" w:rsidRDefault="002A33A1">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151840" w:rsidRDefault="002A33A1">
      <w:pPr>
        <w:pStyle w:val="Normalc9493ccd"/>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w:t>
      </w:r>
      <w:r>
        <w:rPr>
          <w:rFonts w:hint="eastAsia"/>
          <w:b/>
          <w:bCs/>
          <w:kern w:val="0"/>
          <w:sz w:val="15"/>
          <w:szCs w:val="15"/>
        </w:rPr>
        <w:t>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151840" w:rsidRDefault="002A33A1">
      <w:pPr>
        <w:pStyle w:val="Normalc9493ccd"/>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151840" w:rsidRDefault="002A33A1">
      <w:pPr>
        <w:pStyle w:val="Normalc9493ccd"/>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151840" w:rsidRDefault="002A33A1">
      <w:pPr>
        <w:spacing w:line="200" w:lineRule="exact"/>
        <w:ind w:firstLine="300"/>
      </w:pPr>
      <w:r>
        <w:rPr>
          <w:rFonts w:cs="宋体"/>
          <w:sz w:val="15"/>
          <w:szCs w:val="20"/>
        </w:rPr>
        <w:t>（一）估值日</w:t>
      </w:r>
    </w:p>
    <w:p w:rsidR="00151840" w:rsidRDefault="002A33A1">
      <w:pPr>
        <w:spacing w:line="200" w:lineRule="exact"/>
        <w:ind w:firstLine="300"/>
      </w:pPr>
      <w:r>
        <w:rPr>
          <w:rFonts w:cs="宋体"/>
          <w:sz w:val="15"/>
          <w:szCs w:val="20"/>
        </w:rPr>
        <w:t>本理财产品每个工作日进行估值。</w:t>
      </w:r>
    </w:p>
    <w:p w:rsidR="00151840" w:rsidRDefault="002A33A1">
      <w:pPr>
        <w:spacing w:line="200" w:lineRule="exact"/>
        <w:ind w:firstLine="300"/>
      </w:pPr>
      <w:r>
        <w:rPr>
          <w:rFonts w:cs="宋体"/>
          <w:sz w:val="15"/>
          <w:szCs w:val="20"/>
        </w:rPr>
        <w:t>（二）估值对象</w:t>
      </w:r>
    </w:p>
    <w:p w:rsidR="00151840" w:rsidRDefault="002A33A1">
      <w:pPr>
        <w:spacing w:line="200" w:lineRule="exact"/>
        <w:ind w:firstLine="300"/>
      </w:pPr>
      <w:r>
        <w:rPr>
          <w:rFonts w:cs="宋体"/>
          <w:sz w:val="15"/>
          <w:szCs w:val="20"/>
        </w:rPr>
        <w:t>本理财产品所拥有的所有资产及负债。</w:t>
      </w:r>
    </w:p>
    <w:p w:rsidR="00151840" w:rsidRDefault="002A33A1">
      <w:pPr>
        <w:spacing w:line="200" w:lineRule="exact"/>
        <w:ind w:firstLine="300"/>
      </w:pPr>
      <w:r>
        <w:rPr>
          <w:rFonts w:cs="宋体"/>
          <w:sz w:val="15"/>
          <w:szCs w:val="20"/>
        </w:rPr>
        <w:t>（三）估值目的</w:t>
      </w:r>
    </w:p>
    <w:p w:rsidR="00151840" w:rsidRDefault="002A33A1">
      <w:pPr>
        <w:spacing w:line="200" w:lineRule="exact"/>
        <w:ind w:firstLine="300"/>
      </w:pPr>
      <w:r>
        <w:rPr>
          <w:rFonts w:cs="宋体"/>
          <w:sz w:val="15"/>
          <w:szCs w:val="20"/>
        </w:rPr>
        <w:t>客观、准确反映理财产品的价值。</w:t>
      </w:r>
    </w:p>
    <w:p w:rsidR="00151840" w:rsidRDefault="002A33A1">
      <w:pPr>
        <w:spacing w:line="200" w:lineRule="exact"/>
        <w:ind w:firstLine="300"/>
      </w:pPr>
      <w:r>
        <w:rPr>
          <w:rFonts w:cs="宋体"/>
          <w:sz w:val="15"/>
          <w:szCs w:val="20"/>
        </w:rPr>
        <w:t>（四）估值原则</w:t>
      </w:r>
    </w:p>
    <w:p w:rsidR="00151840" w:rsidRDefault="002A33A1">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151840" w:rsidRDefault="002A33A1">
      <w:pPr>
        <w:spacing w:line="200" w:lineRule="exact"/>
        <w:ind w:firstLine="300"/>
      </w:pPr>
      <w:r>
        <w:rPr>
          <w:rFonts w:cs="宋体"/>
          <w:sz w:val="15"/>
          <w:szCs w:val="20"/>
        </w:rPr>
        <w:t>（五）估值方法</w:t>
      </w:r>
    </w:p>
    <w:p w:rsidR="00151840" w:rsidRDefault="002A33A1">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151840" w:rsidRDefault="002A33A1">
      <w:pPr>
        <w:spacing w:line="200" w:lineRule="exact"/>
        <w:ind w:firstLine="440"/>
      </w:pPr>
      <w:r>
        <w:rPr>
          <w:rFonts w:cs="宋体"/>
          <w:sz w:val="18"/>
          <w:szCs w:val="20"/>
        </w:rPr>
        <w:t>1.</w:t>
      </w:r>
      <w:r>
        <w:rPr>
          <w:rFonts w:cs="宋体"/>
          <w:sz w:val="18"/>
          <w:szCs w:val="20"/>
        </w:rPr>
        <w:t>银行存款、回购等货币市场工具</w:t>
      </w:r>
    </w:p>
    <w:p w:rsidR="00151840" w:rsidRDefault="002A33A1">
      <w:pPr>
        <w:spacing w:line="200" w:lineRule="exact"/>
        <w:ind w:firstLine="440"/>
      </w:pPr>
      <w:r>
        <w:rPr>
          <w:rFonts w:cs="宋体"/>
          <w:sz w:val="18"/>
          <w:szCs w:val="20"/>
        </w:rPr>
        <w:t>以本金列示，逐日计提利息。</w:t>
      </w:r>
    </w:p>
    <w:p w:rsidR="00151840" w:rsidRDefault="002A33A1">
      <w:pPr>
        <w:spacing w:line="200" w:lineRule="exact"/>
        <w:ind w:firstLine="440"/>
      </w:pPr>
      <w:r>
        <w:rPr>
          <w:rFonts w:cs="宋体"/>
          <w:sz w:val="18"/>
          <w:szCs w:val="20"/>
        </w:rPr>
        <w:t>2.</w:t>
      </w:r>
      <w:r>
        <w:rPr>
          <w:rFonts w:cs="宋体"/>
          <w:sz w:val="18"/>
          <w:szCs w:val="20"/>
        </w:rPr>
        <w:t>债券类资产</w:t>
      </w:r>
    </w:p>
    <w:p w:rsidR="00151840" w:rsidRDefault="002A33A1">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151840" w:rsidRDefault="002A33A1">
      <w:pPr>
        <w:spacing w:line="200" w:lineRule="exact"/>
        <w:ind w:firstLine="440"/>
      </w:pPr>
      <w:r>
        <w:rPr>
          <w:rFonts w:cs="宋体"/>
          <w:sz w:val="18"/>
          <w:szCs w:val="20"/>
        </w:rPr>
        <w:t>3.</w:t>
      </w:r>
      <w:r>
        <w:rPr>
          <w:rFonts w:cs="宋体"/>
          <w:sz w:val="18"/>
          <w:szCs w:val="20"/>
        </w:rPr>
        <w:t>非标准化债权类资产</w:t>
      </w:r>
    </w:p>
    <w:p w:rsidR="00151840" w:rsidRDefault="002A33A1">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w:t>
      </w:r>
      <w:r>
        <w:rPr>
          <w:rFonts w:cs="宋体"/>
          <w:sz w:val="18"/>
          <w:szCs w:val="20"/>
        </w:rPr>
        <w:t>按照会计准则采用合理减值计量模型或第三方减值计量结果进行预期信用损失的减值计提。</w:t>
      </w:r>
    </w:p>
    <w:p w:rsidR="00151840" w:rsidRDefault="002A33A1">
      <w:pPr>
        <w:spacing w:line="200" w:lineRule="exact"/>
        <w:ind w:firstLine="440"/>
      </w:pPr>
      <w:r>
        <w:rPr>
          <w:rFonts w:cs="宋体"/>
          <w:sz w:val="18"/>
          <w:szCs w:val="20"/>
        </w:rPr>
        <w:t>4.</w:t>
      </w:r>
      <w:r>
        <w:rPr>
          <w:rFonts w:cs="宋体"/>
          <w:sz w:val="18"/>
          <w:szCs w:val="20"/>
        </w:rPr>
        <w:t>证券投资基金、资管计划、信托计划等资产</w:t>
      </w:r>
    </w:p>
    <w:p w:rsidR="00151840" w:rsidRDefault="002A33A1">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151840" w:rsidRDefault="002A33A1">
      <w:pPr>
        <w:spacing w:line="200" w:lineRule="exact"/>
        <w:ind w:firstLine="440"/>
      </w:pPr>
      <w:r>
        <w:rPr>
          <w:rFonts w:cs="宋体"/>
          <w:sz w:val="18"/>
          <w:szCs w:val="20"/>
        </w:rPr>
        <w:t>5.</w:t>
      </w:r>
      <w:r>
        <w:rPr>
          <w:rFonts w:cs="宋体"/>
          <w:sz w:val="18"/>
          <w:szCs w:val="20"/>
        </w:rPr>
        <w:t>股权类及其他资产</w:t>
      </w:r>
    </w:p>
    <w:p w:rsidR="00151840" w:rsidRDefault="002A33A1">
      <w:pPr>
        <w:spacing w:line="200" w:lineRule="exact"/>
        <w:ind w:firstLine="440"/>
      </w:pPr>
      <w:r>
        <w:rPr>
          <w:rFonts w:cs="宋体"/>
          <w:sz w:val="18"/>
          <w:szCs w:val="20"/>
        </w:rPr>
        <w:t>按照公允价值估值，优先采用市值法估值。</w:t>
      </w:r>
    </w:p>
    <w:p w:rsidR="00151840" w:rsidRDefault="002A33A1">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151840" w:rsidRDefault="002A33A1">
      <w:pPr>
        <w:spacing w:line="200" w:lineRule="exact"/>
        <w:ind w:firstLine="300"/>
      </w:pPr>
      <w:r>
        <w:rPr>
          <w:rFonts w:cs="宋体"/>
          <w:sz w:val="15"/>
          <w:szCs w:val="20"/>
        </w:rPr>
        <w:t>（六）估值错误及暂停估值</w:t>
      </w:r>
    </w:p>
    <w:p w:rsidR="00151840" w:rsidRDefault="002A33A1">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151840" w:rsidRDefault="002A33A1">
      <w:pPr>
        <w:pStyle w:val="Normalc9493ccd"/>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151840" w:rsidRDefault="002A33A1">
      <w:pPr>
        <w:pStyle w:val="Normalc9493ccd"/>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151840" w:rsidRDefault="002A33A1">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w:t>
      </w:r>
      <w:r>
        <w:rPr>
          <w:rFonts w:cs="宋体"/>
          <w:color w:val="3D3D3D"/>
          <w:sz w:val="15"/>
          <w:szCs w:val="20"/>
        </w:rPr>
        <w:t>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151840" w:rsidRDefault="002A33A1">
      <w:pPr>
        <w:pStyle w:val="Normalc9493ccd"/>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151840" w:rsidRDefault="002A33A1">
      <w:pPr>
        <w:pStyle w:val="Normalc9493ccd"/>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151840" w:rsidRDefault="002A33A1">
      <w:pPr>
        <w:pStyle w:val="Normalc9493ccd"/>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151840" w:rsidRDefault="002A33A1">
      <w:pPr>
        <w:pStyle w:val="Normalc9493cc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151840" w:rsidRDefault="002A33A1">
      <w:pPr>
        <w:pStyle w:val="Normalc9493ccd"/>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151840" w:rsidRDefault="002A33A1">
      <w:pPr>
        <w:pStyle w:val="Normalc9493cc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151840" w:rsidRDefault="002A33A1">
      <w:pPr>
        <w:pStyle w:val="Normalc9493ccd"/>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151840" w:rsidRDefault="002A33A1">
      <w:pPr>
        <w:pStyle w:val="Normalc9493cc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151840" w:rsidRDefault="002A33A1">
      <w:pPr>
        <w:pStyle w:val="Normalc9493ccd"/>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151840" w:rsidRDefault="002A33A1">
      <w:pPr>
        <w:pStyle w:val="Normalc9493cc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151840" w:rsidRDefault="002A33A1">
      <w:pPr>
        <w:pStyle w:val="Normalc9493ccd"/>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151840" w:rsidRDefault="002A33A1">
      <w:pPr>
        <w:pStyle w:val="Normalc9493cc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151840" w:rsidRDefault="002A33A1">
      <w:pPr>
        <w:pStyle w:val="Normalc9493ccd"/>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151840" w:rsidRDefault="002A33A1">
      <w:pPr>
        <w:pStyle w:val="Normalc9493cc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151840" w:rsidRDefault="002A33A1">
      <w:pPr>
        <w:pStyle w:val="Normalc9493ccd"/>
        <w:widowControl/>
        <w:spacing w:line="200" w:lineRule="exact"/>
        <w:ind w:firstLineChars="200" w:firstLine="300"/>
        <w:rPr>
          <w:color w:val="3D3D3D"/>
          <w:kern w:val="0"/>
          <w:sz w:val="15"/>
          <w:szCs w:val="15"/>
        </w:rPr>
      </w:pPr>
      <w:r>
        <w:rPr>
          <w:rFonts w:hint="eastAsia"/>
          <w:color w:val="3D3D3D"/>
          <w:kern w:val="0"/>
          <w:sz w:val="15"/>
          <w:szCs w:val="15"/>
        </w:rPr>
        <w:t>如本理财产</w:t>
      </w:r>
      <w:r>
        <w:rPr>
          <w:rFonts w:hint="eastAsia"/>
          <w:color w:val="3D3D3D"/>
          <w:kern w:val="0"/>
          <w:sz w:val="15"/>
          <w:szCs w:val="15"/>
        </w:rPr>
        <w:t>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rsidR="00151840" w:rsidRDefault="002A33A1">
      <w:pPr>
        <w:pStyle w:val="Normalc9493cc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151840" w:rsidRDefault="002A33A1">
      <w:pPr>
        <w:pStyle w:val="Normalc9493ccd"/>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w:t>
      </w:r>
      <w:r>
        <w:rPr>
          <w:rFonts w:hint="eastAsia"/>
          <w:color w:val="3D3D3D"/>
          <w:kern w:val="0"/>
          <w:sz w:val="15"/>
          <w:szCs w:val="15"/>
        </w:rPr>
        <w:t>易账户发生的交易明细记录等信息</w:t>
      </w:r>
      <w:r>
        <w:rPr>
          <w:rFonts w:hint="eastAsia"/>
          <w:color w:val="3D3D3D"/>
          <w:kern w:val="0"/>
          <w:sz w:val="15"/>
          <w:szCs w:val="15"/>
        </w:rPr>
        <w:t>。</w:t>
      </w:r>
    </w:p>
    <w:p w:rsidR="00151840" w:rsidRDefault="002A33A1">
      <w:pPr>
        <w:pStyle w:val="Normalc9493ccd"/>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151840" w:rsidRDefault="002A33A1">
      <w:pPr>
        <w:pStyle w:val="Normalc9493ccd"/>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151840" w:rsidRDefault="002A33A1">
      <w:pPr>
        <w:pStyle w:val="Normalc9493ccd"/>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rsidR="00151840" w:rsidRDefault="002A33A1">
      <w:pPr>
        <w:pStyle w:val="Normalc9493ccd"/>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151840" w:rsidRDefault="002A33A1">
      <w:pPr>
        <w:pStyle w:val="Normalc9493ccd"/>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151840" w:rsidRDefault="002A33A1">
      <w:pPr>
        <w:pStyle w:val="Normalc9493ccd"/>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151840" w:rsidRDefault="002A33A1">
      <w:pPr>
        <w:pStyle w:val="Normalc9493ccd"/>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151840" w:rsidRDefault="002A33A1">
      <w:pPr>
        <w:pStyle w:val="Normalc9493ccd"/>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151840" w:rsidRDefault="002A33A1">
      <w:pPr>
        <w:pStyle w:val="Normalc9493ccd"/>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151840" w:rsidRDefault="002A33A1">
      <w:pPr>
        <w:pStyle w:val="Normalc9493ccd"/>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151840" w:rsidRDefault="002A33A1">
      <w:pPr>
        <w:pStyle w:val="Normalc9493ccd"/>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151840" w:rsidRDefault="002A33A1">
      <w:pPr>
        <w:pStyle w:val="Normalc9493ccd"/>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151840" w:rsidRDefault="002A33A1">
      <w:pPr>
        <w:pStyle w:val="Normalc9493ccd"/>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151840" w:rsidRDefault="002A33A1">
      <w:pPr>
        <w:pStyle w:val="Normalc9493ccd"/>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151840" w:rsidRDefault="002A33A1">
      <w:pPr>
        <w:pStyle w:val="Normalc9493ccd"/>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151840" w:rsidRDefault="00151840">
      <w:pPr>
        <w:pStyle w:val="Normalc9493ccd"/>
        <w:widowControl/>
        <w:rPr>
          <w:b/>
          <w:bCs/>
          <w:color w:val="3D3D3D"/>
          <w:kern w:val="0"/>
          <w:sz w:val="15"/>
          <w:szCs w:val="15"/>
        </w:rPr>
      </w:pPr>
    </w:p>
    <w:p w:rsidR="00151840" w:rsidRDefault="002A33A1">
      <w:pPr>
        <w:pStyle w:val="Normalc9493ccd"/>
        <w:widowControl/>
        <w:rPr>
          <w:b/>
          <w:bCs/>
          <w:color w:val="3D3D3D"/>
          <w:kern w:val="0"/>
          <w:sz w:val="15"/>
          <w:szCs w:val="15"/>
        </w:rPr>
      </w:pPr>
      <w:r>
        <w:rPr>
          <w:rFonts w:hint="eastAsia"/>
          <w:b/>
          <w:bCs/>
          <w:color w:val="3D3D3D"/>
          <w:kern w:val="0"/>
          <w:sz w:val="15"/>
          <w:szCs w:val="15"/>
        </w:rPr>
        <w:t>风险提示：</w:t>
      </w:r>
    </w:p>
    <w:p w:rsidR="00151840" w:rsidRDefault="002A33A1">
      <w:pPr>
        <w:pStyle w:val="Normalc9493ccd"/>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p>
      <w:r>
        <w:br w:type="page"/>
      </w:r>
    </w:p>
    <w:p w14:paraId="157B085A" w14:textId="77777777" w:rsidR="00470404" w:rsidRDefault="00470404">
      <w:pPr>
        <w:spacing w:line="0" w:lineRule="atLeast"/>
        <w:jc w:val="center"/>
        <w:rPr>
          <w:rFonts w:ascii="方正黑体_GBK" w:eastAsia="方正黑体_GBK" w:hAnsi="Times New Roman"/>
          <w:b/>
          <w:bCs/>
          <w:sz w:val="24"/>
          <w:szCs w:val="15"/>
        </w:rPr>
      </w:pPr>
      <w:bookmarkStart w:id="1" w:name="_GoBack"/>
      <w:bookmarkEnd w:id="1"/>
    </w:p>
    <w:p w14:paraId="3436DEA4" w14:textId="77777777" w:rsidR="00470404" w:rsidRDefault="00470404">
      <w:pPr>
        <w:spacing w:line="0" w:lineRule="atLeast"/>
        <w:jc w:val="center"/>
        <w:rPr>
          <w:rFonts w:ascii="方正黑体_GBK" w:eastAsia="方正黑体_GBK" w:hAnsi="Times New Roman"/>
          <w:b/>
          <w:bCs/>
          <w:sz w:val="24"/>
          <w:szCs w:val="15"/>
        </w:rPr>
      </w:pPr>
    </w:p>
    <w:p w14:paraId="0FA2726F" w14:textId="77777777" w:rsidR="00470404" w:rsidRDefault="00470404">
      <w:pPr>
        <w:spacing w:line="0" w:lineRule="atLeast"/>
        <w:jc w:val="center"/>
        <w:rPr>
          <w:rFonts w:ascii="方正黑体_GBK" w:eastAsia="方正黑体_GBK" w:hAnsi="Times New Roman"/>
          <w:b/>
          <w:bCs/>
          <w:sz w:val="24"/>
          <w:szCs w:val="15"/>
        </w:rPr>
      </w:pPr>
    </w:p>
    <w:p w14:paraId="05E11E65" w14:textId="77777777" w:rsidR="00470404" w:rsidRDefault="00470404">
      <w:pPr>
        <w:spacing w:line="0" w:lineRule="atLeast"/>
        <w:jc w:val="center"/>
        <w:rPr>
          <w:rFonts w:ascii="方正黑体_GBK" w:eastAsia="方正黑体_GBK" w:hAnsi="Times New Roman"/>
          <w:b/>
          <w:bCs/>
          <w:sz w:val="24"/>
          <w:szCs w:val="15"/>
        </w:rPr>
      </w:pPr>
    </w:p>
    <w:p w14:paraId="7D4A08DB" w14:textId="77777777" w:rsidR="00470404" w:rsidRDefault="00470404">
      <w:pPr>
        <w:spacing w:line="0" w:lineRule="atLeast"/>
        <w:jc w:val="center"/>
        <w:rPr>
          <w:rFonts w:ascii="方正黑体_GBK" w:eastAsia="方正黑体_GBK" w:hAnsi="Times New Roman"/>
          <w:b/>
          <w:bCs/>
          <w:sz w:val="24"/>
          <w:szCs w:val="15"/>
        </w:rPr>
      </w:pPr>
    </w:p>
    <w:p w14:paraId="3A298E25" w14:textId="77777777" w:rsidR="00470404" w:rsidRDefault="00470404">
      <w:pPr>
        <w:spacing w:line="0" w:lineRule="atLeast"/>
        <w:jc w:val="center"/>
        <w:rPr>
          <w:rFonts w:ascii="方正黑体_GBK" w:eastAsia="方正黑体_GBK" w:hAnsi="Times New Roman"/>
          <w:b/>
          <w:bCs/>
          <w:sz w:val="24"/>
          <w:szCs w:val="15"/>
        </w:rPr>
      </w:pPr>
    </w:p>
    <w:p w14:paraId="09329E85" w14:textId="77777777" w:rsidR="00470404" w:rsidRDefault="00470404">
      <w:pPr>
        <w:spacing w:line="0" w:lineRule="atLeast"/>
        <w:jc w:val="center"/>
        <w:rPr>
          <w:rFonts w:ascii="方正黑体_GBK" w:eastAsia="方正黑体_GBK" w:hAnsi="Times New Roman"/>
          <w:b/>
          <w:bCs/>
          <w:sz w:val="24"/>
          <w:szCs w:val="15"/>
        </w:rPr>
      </w:pPr>
    </w:p>
    <w:p w14:paraId="143FA78C" w14:textId="77777777" w:rsidR="00470404" w:rsidRDefault="00470404">
      <w:pPr>
        <w:spacing w:line="0" w:lineRule="atLeast"/>
        <w:jc w:val="center"/>
        <w:rPr>
          <w:rFonts w:ascii="方正黑体_GBK" w:eastAsia="方正黑体_GBK" w:hAnsi="Times New Roman"/>
          <w:b/>
          <w:bCs/>
          <w:sz w:val="24"/>
          <w:szCs w:val="15"/>
        </w:rPr>
      </w:pPr>
    </w:p>
    <w:p w14:paraId="515CFE60" w14:textId="77777777" w:rsidR="00470404" w:rsidRDefault="00470404">
      <w:pPr>
        <w:spacing w:line="0" w:lineRule="atLeast"/>
        <w:jc w:val="center"/>
        <w:rPr>
          <w:rFonts w:ascii="方正黑体_GBK" w:eastAsia="方正黑体_GBK" w:hAnsi="Times New Roman"/>
          <w:b/>
          <w:bCs/>
          <w:sz w:val="24"/>
          <w:szCs w:val="15"/>
        </w:rPr>
      </w:pPr>
    </w:p>
    <w:p w14:paraId="2FC10E02" w14:textId="77777777" w:rsidR="00470404" w:rsidRDefault="00FB533B">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2E91640B" w14:textId="77777777" w:rsidR="00470404" w:rsidRDefault="00470404">
      <w:pPr>
        <w:tabs>
          <w:tab w:val="left" w:pos="0"/>
        </w:tabs>
        <w:jc w:val="center"/>
        <w:rPr>
          <w:rFonts w:ascii="方正黑体_GBK" w:eastAsia="方正黑体_GBK" w:hAnsi="Times New Roman"/>
          <w:szCs w:val="21"/>
        </w:rPr>
      </w:pPr>
    </w:p>
    <w:p w14:paraId="71E79509" w14:textId="77777777" w:rsidR="00470404" w:rsidRDefault="00470404">
      <w:pPr>
        <w:tabs>
          <w:tab w:val="left" w:pos="0"/>
        </w:tabs>
        <w:jc w:val="center"/>
        <w:rPr>
          <w:rFonts w:ascii="方正黑体_GBK" w:eastAsia="方正黑体_GBK" w:hAnsi="Times New Roman"/>
          <w:szCs w:val="21"/>
        </w:rPr>
      </w:pPr>
    </w:p>
    <w:p w14:paraId="697BCF88" w14:textId="77777777" w:rsidR="00470404" w:rsidRDefault="00470404">
      <w:pPr>
        <w:tabs>
          <w:tab w:val="left" w:pos="0"/>
        </w:tabs>
        <w:jc w:val="center"/>
        <w:rPr>
          <w:rFonts w:ascii="方正黑体_GBK" w:eastAsia="方正黑体_GBK" w:hAnsi="Times New Roman"/>
          <w:szCs w:val="21"/>
        </w:rPr>
      </w:pPr>
    </w:p>
    <w:p w14:paraId="141B1B9A" w14:textId="77777777" w:rsidR="00470404" w:rsidRDefault="00470404">
      <w:pPr>
        <w:tabs>
          <w:tab w:val="left" w:pos="0"/>
        </w:tabs>
        <w:jc w:val="center"/>
        <w:rPr>
          <w:rFonts w:ascii="方正黑体_GBK" w:eastAsia="方正黑体_GBK" w:hAnsi="Times New Roman"/>
          <w:szCs w:val="21"/>
        </w:rPr>
      </w:pPr>
    </w:p>
    <w:p w14:paraId="7FCB0189" w14:textId="77777777" w:rsidR="00470404" w:rsidRDefault="00470404">
      <w:pPr>
        <w:tabs>
          <w:tab w:val="left" w:pos="0"/>
        </w:tabs>
        <w:jc w:val="center"/>
        <w:rPr>
          <w:rFonts w:ascii="方正黑体_GBK" w:eastAsia="方正黑体_GBK" w:hAnsi="Times New Roman"/>
          <w:szCs w:val="21"/>
        </w:rPr>
      </w:pPr>
    </w:p>
    <w:p w14:paraId="3D825ECA" w14:textId="77777777" w:rsidR="00470404" w:rsidRDefault="00470404">
      <w:pPr>
        <w:tabs>
          <w:tab w:val="left" w:pos="0"/>
        </w:tabs>
        <w:jc w:val="center"/>
        <w:rPr>
          <w:rFonts w:ascii="方正黑体_GBK" w:eastAsia="方正黑体_GBK" w:hAnsi="Times New Roman"/>
          <w:szCs w:val="21"/>
        </w:rPr>
      </w:pPr>
    </w:p>
    <w:p w14:paraId="30E393DD" w14:textId="77777777" w:rsidR="00470404" w:rsidRDefault="00470404">
      <w:pPr>
        <w:tabs>
          <w:tab w:val="left" w:pos="0"/>
        </w:tabs>
        <w:jc w:val="center"/>
        <w:rPr>
          <w:rFonts w:ascii="方正黑体_GBK" w:eastAsia="方正黑体_GBK" w:hAnsi="Times New Roman"/>
          <w:szCs w:val="21"/>
        </w:rPr>
      </w:pPr>
    </w:p>
    <w:p w14:paraId="2F9F9337" w14:textId="77777777" w:rsidR="00470404" w:rsidRDefault="00470404">
      <w:pPr>
        <w:tabs>
          <w:tab w:val="left" w:pos="0"/>
        </w:tabs>
        <w:jc w:val="center"/>
        <w:rPr>
          <w:rFonts w:ascii="方正黑体_GBK" w:eastAsia="方正黑体_GBK" w:hAnsi="Times New Roman"/>
          <w:szCs w:val="21"/>
        </w:rPr>
      </w:pPr>
    </w:p>
    <w:p w14:paraId="7EB665FB" w14:textId="77777777" w:rsidR="00470404" w:rsidRDefault="00FB533B">
      <w:pPr>
        <w:tabs>
          <w:tab w:val="left" w:pos="0"/>
        </w:tabs>
        <w:jc w:val="center"/>
        <w:rPr>
          <w:rFonts w:ascii="方正黑体_GBK" w:eastAsia="方正黑体_GBK" w:hAnsi="Times New Roman"/>
          <w:szCs w:val="21"/>
          <w:u w:val="single"/>
        </w:rPr>
      </w:pPr>
      <w:r>
        <w:rPr>
          <w:rFonts w:ascii="方正黑体_GBK" w:eastAsia="方正黑体_GBK" w:hAnsi="Times New Roman" w:hint="eastAsia"/>
          <w:szCs w:val="21"/>
        </w:rPr>
        <w:t>编制单位：</w:t>
      </w:r>
      <w:r>
        <w:rPr>
          <w:rFonts w:ascii="方正黑体_GBK" w:eastAsia="方正黑体_GBK" w:hAnsi="Times New Roman" w:hint="eastAsia"/>
          <w:szCs w:val="21"/>
          <w:u w:val="single"/>
        </w:rPr>
        <w:t>南银理财有限责任公司</w:t>
      </w:r>
    </w:p>
    <w:p w14:paraId="497DA317" w14:textId="77777777" w:rsidR="00470404" w:rsidRDefault="00FB533B">
      <w:pPr>
        <w:tabs>
          <w:tab w:val="left" w:pos="0"/>
        </w:tabs>
        <w:jc w:val="center"/>
        <w:rPr>
          <w:rFonts w:ascii="方正黑体_GBK" w:eastAsia="方正黑体_GBK" w:hAnsi="Times New Roman"/>
          <w:szCs w:val="21"/>
          <w:u w:val="single"/>
        </w:rPr>
        <w:sectPr w:rsidR="00470404">
          <w:headerReference w:type="default" r:id="rId7"/>
          <w:pgSz w:w="11906" w:h="16838"/>
          <w:pgMar w:top="720" w:right="720" w:bottom="720" w:left="720" w:header="510" w:footer="624" w:gutter="0"/>
          <w:cols w:space="720"/>
          <w:docGrid w:type="lines" w:linePitch="312"/>
        </w:sectPr>
      </w:pPr>
      <w:r>
        <w:rPr>
          <w:rFonts w:ascii="方正黑体_GBK" w:eastAsia="方正黑体_GBK" w:hAnsi="Times New Roman" w:hint="eastAsia"/>
          <w:szCs w:val="21"/>
        </w:rPr>
        <w:t>版次号：</w:t>
      </w:r>
      <w:r>
        <w:rPr>
          <w:rFonts w:ascii="方正黑体_GBK" w:eastAsia="方正黑体_GBK" w:hAnsi="Times New Roman" w:hint="eastAsia"/>
          <w:szCs w:val="21"/>
          <w:u w:val="single"/>
        </w:rPr>
        <w:t>2021</w:t>
      </w:r>
      <w:r>
        <w:rPr>
          <w:rFonts w:ascii="方正黑体_GBK" w:eastAsia="方正黑体_GBK" w:hAnsi="Times New Roman" w:hint="eastAsia"/>
          <w:szCs w:val="21"/>
          <w:u w:val="single"/>
        </w:rPr>
        <w:t>第</w:t>
      </w:r>
      <w:r>
        <w:rPr>
          <w:rFonts w:ascii="方正黑体_GBK" w:eastAsia="方正黑体_GBK" w:hAnsi="Times New Roman" w:hint="eastAsia"/>
          <w:szCs w:val="21"/>
          <w:u w:val="single"/>
        </w:rPr>
        <w:t>2</w:t>
      </w:r>
      <w:r>
        <w:rPr>
          <w:rFonts w:ascii="方正黑体_GBK" w:eastAsia="方正黑体_GBK" w:hAnsi="Times New Roman" w:hint="eastAsia"/>
          <w:szCs w:val="21"/>
          <w:u w:val="single"/>
        </w:rPr>
        <w:t>版</w:t>
      </w:r>
    </w:p>
    <w:p w14:paraId="78288497" w14:textId="77777777" w:rsidR="00470404" w:rsidRDefault="00470404">
      <w:pPr>
        <w:rPr>
          <w:rFonts w:ascii="方正黑体_GBK" w:eastAsia="方正黑体_GBK" w:hAnsi="Times New Roman"/>
          <w:b/>
          <w:bCs/>
          <w:szCs w:val="21"/>
        </w:rPr>
      </w:pPr>
    </w:p>
    <w:p w14:paraId="1B1E6BA8" w14:textId="77777777" w:rsidR="00470404" w:rsidRDefault="00FB533B">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风险提示：</w:t>
      </w:r>
    </w:p>
    <w:p w14:paraId="56268CBB" w14:textId="77777777" w:rsidR="00470404" w:rsidRDefault="00FB533B">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本理财产品是净值型理财产品，不保证本金和收益，投资者的本金与收益可能会因市场变动而蒙受重大损失，投资者应仔细阅读本理财产品销售协议书条款和对应期次的《理财产品说明书》《理财产品风险揭示书》</w:t>
      </w:r>
      <w:bookmarkStart w:id="2" w:name="_Hlk41679176"/>
      <w:r>
        <w:rPr>
          <w:rFonts w:ascii="方正黑体_GBK" w:eastAsia="方正黑体_GBK" w:hAnsi="Times New Roman" w:hint="eastAsia"/>
          <w:b/>
          <w:bCs/>
          <w:szCs w:val="21"/>
        </w:rPr>
        <w:t>《投资者权益须知》</w:t>
      </w:r>
      <w:bookmarkEnd w:id="2"/>
      <w:r>
        <w:rPr>
          <w:rFonts w:ascii="方正黑体_GBK" w:eastAsia="方正黑体_GBK" w:hAnsi="Times New Roman" w:hint="eastAsia"/>
          <w:b/>
          <w:bCs/>
          <w:szCs w:val="21"/>
        </w:rPr>
        <w:t>《理财产品投资协议书》，充分认识投资风险，谨慎投资。</w:t>
      </w:r>
    </w:p>
    <w:p w14:paraId="08718261" w14:textId="77777777" w:rsidR="00470404" w:rsidRDefault="00470404">
      <w:pPr>
        <w:tabs>
          <w:tab w:val="left" w:pos="7920"/>
          <w:tab w:val="left" w:pos="8100"/>
        </w:tabs>
        <w:spacing w:line="0" w:lineRule="atLeast"/>
        <w:rPr>
          <w:rFonts w:ascii="方正黑体_GBK" w:eastAsia="方正黑体_GBK" w:hAnsi="Times New Roman"/>
          <w:b/>
          <w:bCs/>
        </w:rPr>
      </w:pPr>
    </w:p>
    <w:p w14:paraId="6D1AF41A" w14:textId="77777777" w:rsidR="00470404" w:rsidRDefault="00470404">
      <w:pPr>
        <w:spacing w:line="0" w:lineRule="atLeast"/>
        <w:jc w:val="center"/>
        <w:rPr>
          <w:rFonts w:ascii="方正黑体_GBK" w:eastAsia="方正黑体_GBK" w:hAnsi="Times New Roman"/>
          <w:b/>
          <w:bCs/>
          <w:sz w:val="24"/>
          <w:szCs w:val="15"/>
        </w:rPr>
      </w:pPr>
    </w:p>
    <w:p w14:paraId="72B3157C" w14:textId="77777777" w:rsidR="00470404" w:rsidRDefault="00FB533B">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53431CCE" w14:textId="77777777" w:rsidR="00470404" w:rsidRDefault="00470404">
      <w:pPr>
        <w:spacing w:line="200" w:lineRule="exact"/>
        <w:ind w:firstLineChars="200" w:firstLine="300"/>
        <w:rPr>
          <w:rFonts w:ascii="方正黑体_GBK" w:eastAsia="方正黑体_GBK" w:hAnsi="Times New Roman"/>
          <w:sz w:val="15"/>
          <w:szCs w:val="15"/>
        </w:rPr>
      </w:pPr>
    </w:p>
    <w:p w14:paraId="4BAD9FDC" w14:textId="77777777" w:rsidR="00470404" w:rsidRDefault="00FB533B">
      <w:pPr>
        <w:spacing w:line="200" w:lineRule="exact"/>
        <w:ind w:firstLineChars="200" w:firstLine="300"/>
        <w:rPr>
          <w:rFonts w:ascii="方正黑体_GBK" w:eastAsia="方正黑体_GBK" w:hAnsi="Times New Roman"/>
          <w:sz w:val="15"/>
          <w:szCs w:val="15"/>
        </w:rPr>
      </w:pPr>
      <w:r>
        <w:rPr>
          <w:rFonts w:ascii="方正黑体_GBK" w:eastAsia="方正黑体_GBK" w:hAnsi="Times New Roman" w:hint="eastAsia"/>
          <w:sz w:val="15"/>
          <w:szCs w:val="15"/>
        </w:rPr>
        <w:t>经甲方（南银理财有限责任公司，以下简称“南银理财”、“</w:t>
      </w:r>
      <w:r>
        <w:rPr>
          <w:rFonts w:ascii="方正黑体_GBK" w:eastAsia="方正黑体_GBK" w:hAnsi="Times New Roman" w:hint="eastAsia"/>
          <w:color w:val="3D3D3D"/>
          <w:sz w:val="15"/>
          <w:szCs w:val="15"/>
        </w:rPr>
        <w:t>管理人”、“产品管理人”或“理财产品管理人</w:t>
      </w:r>
      <w:r>
        <w:rPr>
          <w:rFonts w:ascii="方正黑体_GBK" w:eastAsia="方正黑体_GBK" w:hAnsi="Times New Roman" w:hint="eastAsia"/>
          <w:sz w:val="15"/>
          <w:szCs w:val="15"/>
        </w:rPr>
        <w:t>”）与乙方（以下简称“投资者”）双方平等友好协商，本着平等自愿、诚实守信的原则，就乙方购买甲方管理的理财产品的有关事宜达成协议如下：</w:t>
      </w:r>
    </w:p>
    <w:p w14:paraId="174647E0" w14:textId="77777777" w:rsidR="00470404" w:rsidRDefault="00FB533B">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名词释义</w:t>
      </w:r>
    </w:p>
    <w:p w14:paraId="5E55ED34" w14:textId="77777777" w:rsidR="00470404" w:rsidRDefault="00FB533B">
      <w:pPr>
        <w:pStyle w:val="10"/>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本协议项下用词与对应期次的《理财产品说明书》中相关用词含义一致，本协议另有说明的除外。</w:t>
      </w:r>
    </w:p>
    <w:p w14:paraId="1CAF1926" w14:textId="77777777" w:rsidR="00470404" w:rsidRDefault="00FB533B">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w:t>
      </w:r>
    </w:p>
    <w:p w14:paraId="23FCE534" w14:textId="77777777" w:rsidR="00470404" w:rsidRDefault="00FB533B">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w:t>
      </w:r>
      <w:r>
        <w:rPr>
          <w:rFonts w:ascii="Times New Roman" w:hAnsi="Times New Roman" w:hint="eastAsia"/>
          <w:spacing w:val="10"/>
          <w:sz w:val="15"/>
          <w:szCs w:val="15"/>
        </w:rPr>
        <w:t>张家港农村商业银行股份有限公司</w:t>
      </w:r>
      <w:r>
        <w:rPr>
          <w:rFonts w:ascii="方正黑体_GBK" w:eastAsia="方正黑体_GBK" w:hAnsi="Times New Roman" w:hint="eastAsia"/>
          <w:spacing w:val="10"/>
          <w:sz w:val="15"/>
          <w:szCs w:val="15"/>
        </w:rPr>
        <w:t>】作为本理财产品的销售机构，负责本理财产品的销售。</w:t>
      </w:r>
    </w:p>
    <w:p w14:paraId="4C9F21AB" w14:textId="77777777" w:rsidR="00470404" w:rsidRDefault="00FB533B">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甲方的权利与义务：</w:t>
      </w:r>
    </w:p>
    <w:p w14:paraId="3D62B843" w14:textId="77777777" w:rsidR="00470404" w:rsidRDefault="00FB533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甲方应当履行恪尽职守、勤勉尽责、诚实守信、有效管理的义务。</w:t>
      </w:r>
    </w:p>
    <w:p w14:paraId="675BDEF4" w14:textId="77777777" w:rsidR="00470404" w:rsidRDefault="00FB533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甲方应当按照理财产品销售文件的约定向投资者分配收益。</w:t>
      </w:r>
    </w:p>
    <w:p w14:paraId="0A045FFC" w14:textId="77777777" w:rsidR="00470404" w:rsidRDefault="00FB533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甲方应当按照法律法规、理财产品销售文件的约定履行信息披露义务。</w:t>
      </w:r>
    </w:p>
    <w:p w14:paraId="32B4C4D3" w14:textId="77777777" w:rsidR="00470404" w:rsidRDefault="00FB533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甲方应当确保理财业务与其他业务相分离，理财产品之间相分离，理财业务操作与其他业务操作相分离。</w:t>
      </w:r>
    </w:p>
    <w:p w14:paraId="5F3D4D89" w14:textId="77777777" w:rsidR="00470404" w:rsidRDefault="00FB533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甲方应当遵守市场交易和公平交易原则，不得在理财产品之间、理财产品投资者之间或者理财产品投资者与其他市场主体之间进行利益输送。</w:t>
      </w:r>
    </w:p>
    <w:p w14:paraId="305BD8E5" w14:textId="77777777" w:rsidR="00470404" w:rsidRDefault="00FB533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甲方应当选择具有证券投资基金托管业务资格的金融机构、银行业理财登记托管机构或者国务院银行业监督管理机构认可的其他机构托管理财产品。</w:t>
      </w:r>
    </w:p>
    <w:p w14:paraId="271392A4" w14:textId="77777777" w:rsidR="00470404" w:rsidRDefault="00FB533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在本协议约定的投资范围和权限内，甲方拥有管理和运用理财资金的权利，并有权按照对应期次《理财产品说</w:t>
      </w:r>
      <w:r>
        <w:rPr>
          <w:rFonts w:ascii="方正黑体_GBK" w:eastAsia="方正黑体_GBK" w:hAnsi="Times New Roman" w:hint="eastAsia"/>
          <w:spacing w:val="10"/>
          <w:sz w:val="15"/>
          <w:szCs w:val="15"/>
        </w:rPr>
        <w:t>明书》的约定收取相应费用、业绩报酬。</w:t>
      </w:r>
    </w:p>
    <w:p w14:paraId="53393C87" w14:textId="77777777" w:rsidR="00470404" w:rsidRDefault="00FB533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4D77D3C1" w14:textId="77777777" w:rsidR="00470404" w:rsidRDefault="00FB533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作为理财产品管理人，全权负责理财产品资金的运用和理财产品资产的管理，有权参加与理财产品所投资资产相关的所有会议，并对相关事项进行表决；甲方应代表乙方利益，按照法律法规和监管部门相关规定</w:t>
      </w:r>
      <w:r>
        <w:rPr>
          <w:rFonts w:ascii="方正黑体_GBK" w:eastAsia="方正黑体_GBK" w:hAnsi="Times New Roman" w:hint="eastAsia"/>
          <w:spacing w:val="10"/>
          <w:sz w:val="15"/>
          <w:szCs w:val="15"/>
        </w:rPr>
        <w:t>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仲裁、申请保全</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执行等，由此产生的费用由理财产品承担，在实际发生时列支。</w:t>
      </w:r>
    </w:p>
    <w:p w14:paraId="418443DF" w14:textId="77777777" w:rsidR="00470404" w:rsidRDefault="00FB533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甲方有权根据产品运作的需要选任必要的业务合作机构。</w:t>
      </w:r>
    </w:p>
    <w:p w14:paraId="2D4DAFB3" w14:textId="77777777" w:rsidR="00470404" w:rsidRDefault="00FB533B">
      <w:pPr>
        <w:numPr>
          <w:ilvl w:val="0"/>
          <w:numId w:val="6"/>
        </w:numPr>
        <w:spacing w:line="200" w:lineRule="exact"/>
        <w:ind w:firstLineChars="200" w:firstLine="301"/>
        <w:rPr>
          <w:rFonts w:ascii="方正黑体_GBK" w:eastAsia="方正黑体_GBK" w:hAnsi="Times New Roman"/>
          <w:b/>
          <w:bCs/>
          <w:spacing w:val="10"/>
          <w:sz w:val="15"/>
          <w:szCs w:val="15"/>
        </w:rPr>
      </w:pPr>
      <w:r>
        <w:rPr>
          <w:rFonts w:ascii="方正黑体_GBK" w:eastAsia="方正黑体_GBK" w:hint="eastAsia"/>
          <w:b/>
          <w:bCs/>
          <w:color w:val="000000"/>
          <w:kern w:val="0"/>
          <w:sz w:val="15"/>
          <w:szCs w:val="11"/>
        </w:rPr>
        <w:t>投资者特此同意并授权</w:t>
      </w:r>
      <w:r>
        <w:rPr>
          <w:rFonts w:ascii="方正黑体_GBK" w:eastAsia="方正黑体_GBK" w:hAnsi="Times New Roman" w:hint="eastAsia"/>
          <w:b/>
          <w:bCs/>
          <w:spacing w:val="10"/>
          <w:sz w:val="15"/>
          <w:szCs w:val="15"/>
        </w:rPr>
        <w:t>甲方及销售机构</w:t>
      </w:r>
      <w:r>
        <w:rPr>
          <w:rFonts w:ascii="方正黑体_GBK" w:eastAsia="方正黑体_GBK" w:hint="eastAsia"/>
          <w:b/>
          <w:bCs/>
          <w:color w:val="000000"/>
          <w:kern w:val="0"/>
          <w:sz w:val="15"/>
          <w:szCs w:val="11"/>
        </w:rPr>
        <w:t>有权按照法律法规规定，遵循正当、必要的原则，收集、使用投资者个人信息，包括但不限于根据法律法规规定、监管或有权机关要求、理财业</w:t>
      </w:r>
      <w:r>
        <w:rPr>
          <w:rFonts w:ascii="方正黑体_GBK" w:eastAsia="方正黑体_GBK" w:hint="eastAsia"/>
          <w:b/>
          <w:bCs/>
          <w:color w:val="000000"/>
          <w:kern w:val="0"/>
          <w:sz w:val="15"/>
          <w:szCs w:val="11"/>
        </w:rPr>
        <w:t>务需要等采集、处理及使用投资者身份、持有理财产品、理财产品交易等信息，以及</w:t>
      </w:r>
      <w:r>
        <w:rPr>
          <w:rFonts w:ascii="方正黑体_GBK" w:eastAsia="方正黑体_GBK" w:hAnsi="Times New Roman" w:hint="eastAsia"/>
          <w:b/>
          <w:bCs/>
          <w:color w:val="000000"/>
          <w:kern w:val="0"/>
          <w:sz w:val="15"/>
          <w:szCs w:val="11"/>
        </w:rPr>
        <w:t>在办理与理财产品相关事项</w:t>
      </w:r>
      <w:r>
        <w:rPr>
          <w:rFonts w:ascii="方正黑体_GBK" w:eastAsia="方正黑体_GBK" w:hint="eastAsia"/>
          <w:b/>
          <w:bCs/>
          <w:color w:val="000000"/>
          <w:kern w:val="0"/>
          <w:sz w:val="15"/>
          <w:szCs w:val="11"/>
        </w:rPr>
        <w:t>需要</w:t>
      </w:r>
      <w:r>
        <w:rPr>
          <w:rFonts w:ascii="方正黑体_GBK" w:eastAsia="方正黑体_GBK" w:hAnsi="Times New Roman" w:hint="eastAsia"/>
          <w:b/>
          <w:bCs/>
          <w:color w:val="000000"/>
          <w:kern w:val="0"/>
          <w:sz w:val="15"/>
          <w:szCs w:val="11"/>
        </w:rPr>
        <w:t>的情况下向服务机构及其他</w:t>
      </w:r>
      <w:r>
        <w:rPr>
          <w:rFonts w:ascii="方正黑体_GBK" w:eastAsia="方正黑体_GBK" w:hint="eastAsia"/>
          <w:b/>
          <w:bCs/>
          <w:color w:val="000000"/>
          <w:kern w:val="0"/>
          <w:sz w:val="15"/>
          <w:szCs w:val="11"/>
        </w:rPr>
        <w:t>管理人或销售机构</w:t>
      </w:r>
      <w:r>
        <w:rPr>
          <w:rFonts w:ascii="方正黑体_GBK" w:eastAsia="方正黑体_GBK" w:hAnsi="Times New Roman" w:hint="eastAsia"/>
          <w:b/>
          <w:bCs/>
          <w:color w:val="000000"/>
          <w:kern w:val="0"/>
          <w:sz w:val="15"/>
          <w:szCs w:val="11"/>
        </w:rPr>
        <w:t>认为必要的业务合作机构提供</w:t>
      </w:r>
      <w:r>
        <w:rPr>
          <w:rFonts w:ascii="方正黑体_GBK" w:eastAsia="方正黑体_GBK" w:hint="eastAsia"/>
          <w:b/>
          <w:bCs/>
          <w:color w:val="000000"/>
          <w:kern w:val="0"/>
          <w:sz w:val="15"/>
          <w:szCs w:val="11"/>
        </w:rPr>
        <w:t>投资者相关</w:t>
      </w:r>
      <w:r>
        <w:rPr>
          <w:rFonts w:ascii="方正黑体_GBK" w:eastAsia="方正黑体_GBK" w:hAnsi="Times New Roman" w:hint="eastAsia"/>
          <w:b/>
          <w:bCs/>
          <w:color w:val="000000"/>
          <w:kern w:val="0"/>
          <w:sz w:val="15"/>
          <w:szCs w:val="11"/>
        </w:rPr>
        <w:t>信息</w:t>
      </w:r>
      <w:r>
        <w:rPr>
          <w:rFonts w:ascii="方正黑体_GBK" w:eastAsia="方正黑体_GBK" w:hint="eastAsia"/>
          <w:b/>
          <w:bCs/>
          <w:color w:val="000000"/>
          <w:kern w:val="0"/>
          <w:sz w:val="15"/>
          <w:szCs w:val="11"/>
        </w:rPr>
        <w:t>。甲方及销售机构保证信息采集、处理及使用的安全性和合法性</w:t>
      </w:r>
      <w:r>
        <w:rPr>
          <w:rFonts w:ascii="方正黑体_GBK" w:eastAsia="方正黑体_GBK" w:hAnsi="Times New Roman" w:hint="eastAsia"/>
          <w:b/>
          <w:bCs/>
          <w:color w:val="000000"/>
          <w:kern w:val="0"/>
          <w:sz w:val="15"/>
          <w:szCs w:val="11"/>
        </w:rPr>
        <w:t>。</w:t>
      </w:r>
    </w:p>
    <w:p w14:paraId="69447281" w14:textId="77777777" w:rsidR="00470404" w:rsidRDefault="00FB533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甲方无义务对第三人支付本理财产品清算分配金额及相关权益，法律法规另有规定的除外。</w:t>
      </w:r>
    </w:p>
    <w:p w14:paraId="12027BF1" w14:textId="77777777" w:rsidR="00470404" w:rsidRDefault="00FB533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甲方以其固有财产先行垫付因处理本理财产品相关事务所支出的理财产品费用及税费的，对理财产品资金享有优先受偿的权利。</w:t>
      </w:r>
    </w:p>
    <w:p w14:paraId="5B85EB82" w14:textId="77777777" w:rsidR="00470404" w:rsidRDefault="00FB533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甲方有权根据本理财产品销售文件的约定提前终止或延长本理财产品的存续期限。</w:t>
      </w:r>
    </w:p>
    <w:p w14:paraId="1591B84C" w14:textId="77777777" w:rsidR="00470404" w:rsidRDefault="00FB533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甲方有权调整本理财产品的认购或申购起点、单笔认购或申购上限等要素。</w:t>
      </w:r>
    </w:p>
    <w:p w14:paraId="6611F1EC" w14:textId="77777777" w:rsidR="00470404" w:rsidRDefault="00FB533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甲方有权根据相关规定及销售文件的约定，变更销售文件内容。</w:t>
      </w:r>
    </w:p>
    <w:p w14:paraId="0C1E78E4" w14:textId="77777777" w:rsidR="00470404" w:rsidRDefault="00FB533B">
      <w:pPr>
        <w:numPr>
          <w:ilvl w:val="0"/>
          <w:numId w:val="6"/>
        </w:numPr>
        <w:spacing w:line="200" w:lineRule="exact"/>
        <w:ind w:firstLineChars="200" w:firstLine="341"/>
        <w:rPr>
          <w:rFonts w:ascii="方正黑体_GBK" w:eastAsia="方正黑体_GBK" w:hAnsi="Times New Roman"/>
          <w:b/>
          <w:bCs/>
          <w:spacing w:val="10"/>
          <w:sz w:val="15"/>
          <w:szCs w:val="15"/>
        </w:rPr>
      </w:pPr>
      <w:bookmarkStart w:id="3" w:name="_Hlk41902117"/>
      <w:r>
        <w:rPr>
          <w:rFonts w:ascii="方正黑体_GBK" w:eastAsia="方正黑体_GBK" w:hAnsi="Times New Roman" w:hint="eastAsia"/>
          <w:b/>
          <w:bCs/>
          <w:spacing w:val="10"/>
          <w:sz w:val="15"/>
          <w:szCs w:val="15"/>
        </w:rPr>
        <w:t>如由于乙方授权指定账户发生资金余额不足、挂失、换卡、长期不动户等特殊情况或被有权机关采取冻结、扣划等强制措施或出现其他异常情形，导致认购或申购不成功，以及在本理财产品存续期内，有权机关要求甲方或销售机构配合对乙方理财产品份额、理财账户、授权指定账户进行查封、冻结或扣划的，甲方或销售机构有权根据实际情况采取任何措施配合，包括但不限于全部或部分终止理财交易、停止向投资者支付投资本金及投资</w:t>
      </w:r>
      <w:r>
        <w:rPr>
          <w:rFonts w:ascii="方正黑体_GBK" w:eastAsia="方正黑体_GBK" w:hAnsi="Times New Roman" w:hint="eastAsia"/>
          <w:b/>
          <w:bCs/>
          <w:spacing w:val="10"/>
          <w:sz w:val="15"/>
          <w:szCs w:val="15"/>
        </w:rPr>
        <w:t>收益</w:t>
      </w:r>
      <w:r>
        <w:rPr>
          <w:rFonts w:ascii="方正黑体_GBK" w:eastAsia="方正黑体_GBK" w:hAnsi="Times New Roman" w:hint="eastAsia"/>
          <w:b/>
          <w:spacing w:val="10"/>
          <w:sz w:val="15"/>
        </w:rPr>
        <w:t>，由此产生的一切损失及费用将由乙方承担，甲方或销售机构有权将此损失及费用从乙方的授权指定账户、理财本金及收益中扣除</w:t>
      </w:r>
      <w:r>
        <w:rPr>
          <w:rFonts w:ascii="方正黑体_GBK" w:eastAsia="方正黑体_GBK" w:hAnsi="Times New Roman" w:hint="eastAsia"/>
          <w:b/>
          <w:bCs/>
          <w:spacing w:val="10"/>
          <w:sz w:val="15"/>
          <w:szCs w:val="15"/>
        </w:rPr>
        <w:t>。</w:t>
      </w:r>
    </w:p>
    <w:p w14:paraId="6D95C3F3" w14:textId="77777777" w:rsidR="00470404" w:rsidRDefault="00FB533B">
      <w:pPr>
        <w:numPr>
          <w:ilvl w:val="0"/>
          <w:numId w:val="6"/>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为甲方的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销售机构未及时足额划付资金，或销售机构清算账户内资金被依法冻结或扣划</w:t>
      </w:r>
      <w:r>
        <w:rPr>
          <w:rFonts w:ascii="方正黑体_GBK" w:eastAsia="方正黑体_GBK" w:hAnsi="Times New Roman" w:hint="eastAsia"/>
          <w:b/>
          <w:bCs/>
          <w:spacing w:val="10"/>
          <w:sz w:val="15"/>
          <w:szCs w:val="15"/>
        </w:rPr>
        <w:t>，或销售机构清算账户处于被挂失、冻结、注销或其他非正常状态等原因而导致交易失败，由销售机构与投资者依法协商解决。</w:t>
      </w:r>
    </w:p>
    <w:p w14:paraId="2359338A" w14:textId="77777777" w:rsidR="00470404" w:rsidRDefault="00FB533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甲方或销售机构发现或有合理理由怀疑乙方或其资金存在洗钱、恐怖融资、逃税等嫌疑，甲方有权提前终止本协议。</w:t>
      </w:r>
    </w:p>
    <w:p w14:paraId="3E5E0315" w14:textId="77777777" w:rsidR="00470404" w:rsidRDefault="00FB533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甲方在此特别披露：</w:t>
      </w:r>
      <w:r>
        <w:rPr>
          <w:rFonts w:ascii="方正黑体_GBK" w:eastAsia="方正黑体_GBK" w:hAnsi="Times New Roman" w:hint="eastAsia"/>
          <w:b/>
          <w:bCs/>
          <w:spacing w:val="10"/>
          <w:sz w:val="15"/>
          <w:szCs w:val="15"/>
        </w:rPr>
        <w:t>若产品管理人的关联方担任理财产品的销售机构、托管人、合作机构的，产品管理人将按照法律法规和监管要求履行相应程序，乙方认购或申购理财产品即视为同意该等安排。</w:t>
      </w:r>
    </w:p>
    <w:bookmarkEnd w:id="3"/>
    <w:p w14:paraId="2A9B7E59" w14:textId="77777777" w:rsidR="00470404" w:rsidRDefault="00FB533B">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w:t>
      </w:r>
      <w:bookmarkStart w:id="4" w:name="_Hlk41902131"/>
      <w:r>
        <w:rPr>
          <w:rFonts w:ascii="方正黑体_GBK" w:eastAsia="方正黑体_GBK" w:hAnsi="Times New Roman" w:hint="eastAsia"/>
          <w:spacing w:val="10"/>
          <w:sz w:val="15"/>
          <w:szCs w:val="15"/>
        </w:rPr>
        <w:t>理财产品</w:t>
      </w:r>
      <w:bookmarkEnd w:id="4"/>
      <w:r>
        <w:rPr>
          <w:rFonts w:ascii="方正黑体_GBK" w:eastAsia="方正黑体_GBK" w:hAnsi="Times New Roman" w:hint="eastAsia"/>
          <w:spacing w:val="10"/>
          <w:sz w:val="15"/>
          <w:szCs w:val="15"/>
        </w:rPr>
        <w:t>销售文件约定的其他权利与义务。</w:t>
      </w:r>
    </w:p>
    <w:p w14:paraId="6F34A2BD" w14:textId="77777777" w:rsidR="00470404" w:rsidRDefault="00FB533B">
      <w:pPr>
        <w:spacing w:line="200" w:lineRule="exact"/>
        <w:ind w:left="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4.</w:t>
      </w:r>
      <w:r>
        <w:rPr>
          <w:rFonts w:ascii="方正黑体_GBK" w:eastAsia="方正黑体_GBK" w:hAnsi="Times New Roman" w:hint="eastAsia"/>
          <w:b/>
          <w:bCs/>
          <w:spacing w:val="10"/>
          <w:sz w:val="15"/>
          <w:szCs w:val="15"/>
        </w:rPr>
        <w:t>乙方的权利与义务：</w:t>
      </w:r>
    </w:p>
    <w:p w14:paraId="03F61B62" w14:textId="77777777" w:rsidR="00470404" w:rsidRDefault="00FB533B">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乙方应当保证其理财资金为合法拥有的自有资金</w:t>
      </w:r>
      <w:r>
        <w:rPr>
          <w:rFonts w:ascii="方正黑体_GBK" w:eastAsia="方正黑体_GBK" w:hAnsi="Times New Roman" w:hint="eastAsia"/>
          <w:spacing w:val="10"/>
          <w:sz w:val="15"/>
          <w:szCs w:val="15"/>
        </w:rPr>
        <w:t>，不存在涉嫌洗钱、恶意逃避税收征收管理等违法违规行为，保证可提供资金来源合法的证明文件</w:t>
      </w:r>
      <w:bookmarkStart w:id="5" w:name="_Hlk41902537"/>
      <w:r>
        <w:rPr>
          <w:rFonts w:ascii="方正黑体_GBK" w:eastAsia="方正黑体_GBK" w:hAnsi="Times New Roman" w:hint="eastAsia"/>
          <w:spacing w:val="10"/>
          <w:sz w:val="15"/>
          <w:szCs w:val="15"/>
        </w:rPr>
        <w:t>，配合甲方或销售机构为识别合格投资者等目的进行的尽职调查。</w:t>
      </w:r>
    </w:p>
    <w:bookmarkEnd w:id="5"/>
    <w:p w14:paraId="14293B3F" w14:textId="77777777" w:rsidR="00470404" w:rsidRDefault="00FB533B">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乙方不得使用贷款、发行债券等方式筹集的非自有资金购买理财产品。乙方将其自有资金用作本理财产品销售协议书条款项下理财交易并不违反相关法律、法规、规章、规定、法院裁定或命令的要求。</w:t>
      </w:r>
    </w:p>
    <w:p w14:paraId="070F6DBF" w14:textId="77777777" w:rsidR="00470404" w:rsidRDefault="00FB533B">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乙方保证具有完全民事行为能力，有完全适当的资格与能力订立并履行本协议。</w:t>
      </w:r>
    </w:p>
    <w:p w14:paraId="4543F6DF" w14:textId="77777777" w:rsidR="00470404" w:rsidRDefault="00FB533B">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乙方应接受销售机构对其投资风险承受能力进行的测评。（个人投资者适用）</w:t>
      </w:r>
    </w:p>
    <w:p w14:paraId="5E239E92" w14:textId="77777777" w:rsidR="00470404" w:rsidRDefault="00FB533B">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乙方是一家按照中国法律正式注册并有效存续的法人或其他组织，具有拥有和支配其财产以及继续进行其正在进行之业务的全部权力和授权。（机构投资者适用）</w:t>
      </w:r>
    </w:p>
    <w:p w14:paraId="0389F203" w14:textId="77777777" w:rsidR="00470404" w:rsidRDefault="00FB533B">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乙方能够自行识别、判断和承担理财产品的相关风险；不存在法律法规、有权机关或主管机关禁止或限制购买理财产品的各种情形。乙方按其投资金额在本理财协议中享有相应的权利，承担相应的义务和风险。</w:t>
      </w:r>
    </w:p>
    <w:p w14:paraId="122190DC" w14:textId="77777777" w:rsidR="00470404" w:rsidRDefault="00FB533B">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乙方保证，乙方系符合监管规定要求的合格投资者。（私募产品投资者适用）</w:t>
      </w:r>
    </w:p>
    <w:p w14:paraId="4A45036E" w14:textId="77777777" w:rsidR="00470404" w:rsidRDefault="00FB533B">
      <w:pPr>
        <w:numPr>
          <w:ilvl w:val="0"/>
          <w:numId w:val="7"/>
        </w:numPr>
        <w:spacing w:line="200" w:lineRule="exact"/>
        <w:ind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乙方保证其已知悉甲方并非乙方的投资顾问或其他顾问，乙方并未依赖于甲方和</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或甲方的雇员、代理人或关联机构对其所作的</w:t>
      </w:r>
      <w:r>
        <w:rPr>
          <w:rFonts w:ascii="方正黑体_GBK" w:eastAsia="方正黑体_GBK" w:hAnsi="Times New Roman" w:hint="eastAsia"/>
          <w:b/>
          <w:bCs/>
          <w:spacing w:val="10"/>
          <w:sz w:val="15"/>
          <w:szCs w:val="15"/>
        </w:rPr>
        <w:t>任何陈述（不论口头或书面）而决定投资于理财产品。</w:t>
      </w:r>
    </w:p>
    <w:p w14:paraId="79998958" w14:textId="77777777" w:rsidR="00470404" w:rsidRDefault="00FB533B">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乙方保证签署和履行理财产品销售文件系其真实意思表示，其有权利签署本协议和履行本协议所述的义务，并已为此采取一切所需的行为。</w:t>
      </w:r>
    </w:p>
    <w:p w14:paraId="49E8187C" w14:textId="77777777" w:rsidR="00470404" w:rsidRDefault="00FB533B">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乙方保证执行及交付任何文件或履行本协议项下的义务，均不会违反</w:t>
      </w:r>
      <w:r>
        <w:rPr>
          <w:rFonts w:ascii="方正黑体_GBK" w:eastAsia="方正黑体_GBK" w:hAnsi="Times New Roman" w:hint="eastAsia"/>
          <w:spacing w:val="10"/>
          <w:sz w:val="15"/>
          <w:szCs w:val="15"/>
        </w:rPr>
        <w:t>(i)</w:t>
      </w:r>
      <w:r>
        <w:rPr>
          <w:rFonts w:ascii="方正黑体_GBK" w:eastAsia="方正黑体_GBK" w:hAnsi="Times New Roman" w:hint="eastAsia"/>
          <w:spacing w:val="10"/>
          <w:sz w:val="15"/>
          <w:szCs w:val="15"/>
        </w:rPr>
        <w:t>任何适用法律、法规、法令或法律限制，任何法院或其他政府机关所作出的适用于乙方或乙方任何资产的指令或判决；</w:t>
      </w:r>
      <w:r>
        <w:rPr>
          <w:rFonts w:ascii="方正黑体_GBK" w:eastAsia="方正黑体_GBK" w:hAnsi="Times New Roman" w:hint="eastAsia"/>
          <w:spacing w:val="10"/>
          <w:sz w:val="15"/>
          <w:szCs w:val="15"/>
        </w:rPr>
        <w:t>(ii)</w:t>
      </w:r>
      <w:r>
        <w:rPr>
          <w:rFonts w:ascii="方正黑体_GBK" w:eastAsia="方正黑体_GBK" w:hAnsi="Times New Roman" w:hint="eastAsia"/>
          <w:spacing w:val="10"/>
          <w:sz w:val="15"/>
          <w:szCs w:val="15"/>
        </w:rPr>
        <w:t>对乙方或乙方任何资产有约束力的任何协议条款</w:t>
      </w:r>
      <w:bookmarkStart w:id="6" w:name="_Hlk41902655"/>
      <w:r>
        <w:rPr>
          <w:rFonts w:ascii="方正黑体_GBK" w:eastAsia="方正黑体_GBK" w:hAnsi="Times New Roman" w:hint="eastAsia"/>
          <w:spacing w:val="10"/>
          <w:sz w:val="15"/>
          <w:szCs w:val="15"/>
        </w:rPr>
        <w:t>或其他法律文件</w:t>
      </w:r>
      <w:bookmarkEnd w:id="6"/>
      <w:r>
        <w:rPr>
          <w:rFonts w:ascii="方正黑体_GBK" w:eastAsia="方正黑体_GBK" w:hAnsi="Times New Roman" w:hint="eastAsia"/>
          <w:spacing w:val="10"/>
          <w:sz w:val="15"/>
          <w:szCs w:val="15"/>
        </w:rPr>
        <w:t>。乙方应在签署本协议的同时按照对应期次的《理财产品说明书》的约定在授权指定账户存入足额的资金以确保账户余额大于或等于认购或申购金额。</w:t>
      </w:r>
    </w:p>
    <w:p w14:paraId="33D407D1" w14:textId="77777777" w:rsidR="00470404" w:rsidRDefault="00FB533B">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乙方应按要求确定授权指定账户，用于本理财产品的理财资金划转及理财收益、到期清算分配资金的分配。</w:t>
      </w:r>
      <w:r>
        <w:rPr>
          <w:rFonts w:ascii="方正黑体_GBK" w:eastAsia="方正黑体_GBK" w:hAnsi="Times New Roman" w:hint="eastAsia"/>
          <w:b/>
          <w:spacing w:val="10"/>
          <w:sz w:val="15"/>
        </w:rPr>
        <w:t>本协议终止前，乙方不得将授权指定账户销户。若发生因乙方注销授权指定账户造成理财产品无法正常分配的，乙方承担由此产生的损失。</w:t>
      </w:r>
    </w:p>
    <w:p w14:paraId="7CAD71DB" w14:textId="77777777" w:rsidR="00470404" w:rsidRDefault="00FB533B">
      <w:pPr>
        <w:pStyle w:val="a3"/>
        <w:numPr>
          <w:ilvl w:val="0"/>
          <w:numId w:val="8"/>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b/>
          <w:spacing w:val="10"/>
          <w:sz w:val="15"/>
        </w:rPr>
        <w:t>本协议终止前，乙方应保证其授权指定账户处于正常状态，乙方授权指定账户发生资金余额不足、挂失、换卡、长期不动户等特殊情况或被有权机关采取冻结、扣划等强制措施或出现</w:t>
      </w:r>
      <w:r>
        <w:rPr>
          <w:rFonts w:ascii="方正黑体_GBK" w:eastAsia="方正黑体_GBK" w:hAnsi="Times New Roman" w:hint="eastAsia"/>
          <w:b/>
          <w:spacing w:val="10"/>
          <w:sz w:val="15"/>
        </w:rPr>
        <w:t>其他异常情形，导致认购或申购不成功，以及在本理财产品存续期内，有权机关要求甲方或销售机构配合对乙方理财产品份额、理财账户、授权指定账户进行查封、冻结或扣划的，乙方应配合甲方或销售机构根据实际情况采取的任何措施，包括但不限于全部或部分终止理财交易、停止向投资者支付投资本金及投资收益，由此产生的一切损失及费用将由乙方承担，甲方或销售机构有权将此损失及费用从乙方的授权指定账户、理财本金及收益中扣除。乙方无权要求甲方或销售机构对上述后果承担任何责任</w:t>
      </w:r>
      <w:r>
        <w:rPr>
          <w:rFonts w:ascii="方正黑体_GBK" w:eastAsia="方正黑体_GBK" w:hAnsi="Times New Roman" w:hint="eastAsia"/>
          <w:spacing w:val="10"/>
          <w:sz w:val="15"/>
          <w:szCs w:val="15"/>
        </w:rPr>
        <w:t>。</w:t>
      </w:r>
    </w:p>
    <w:p w14:paraId="5D8473EA" w14:textId="77777777" w:rsidR="00470404" w:rsidRDefault="00FB533B">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乙方应确保其提供的所有资料真实、完整、合法、有效，如果有任何变更</w:t>
      </w:r>
      <w:r>
        <w:rPr>
          <w:rFonts w:ascii="方正黑体_GBK" w:eastAsia="方正黑体_GBK" w:hAnsi="Times New Roman" w:hint="eastAsia"/>
          <w:b/>
          <w:bCs/>
          <w:spacing w:val="10"/>
          <w:sz w:val="15"/>
          <w:szCs w:val="15"/>
        </w:rPr>
        <w:t>，乙方应及时通知甲方</w:t>
      </w:r>
      <w:bookmarkStart w:id="7" w:name="_Hlk41902715"/>
      <w:r>
        <w:rPr>
          <w:rFonts w:ascii="方正黑体_GBK" w:eastAsia="方正黑体_GBK" w:hAnsi="Times New Roman" w:hint="eastAsia"/>
          <w:b/>
          <w:bCs/>
          <w:spacing w:val="10"/>
          <w:sz w:val="15"/>
          <w:szCs w:val="15"/>
        </w:rPr>
        <w:t>或销售机构</w:t>
      </w:r>
      <w:bookmarkEnd w:id="7"/>
      <w:r>
        <w:rPr>
          <w:rFonts w:ascii="方正黑体_GBK" w:eastAsia="方正黑体_GBK" w:hAnsi="Times New Roman" w:hint="eastAsia"/>
          <w:b/>
          <w:bCs/>
          <w:spacing w:val="10"/>
          <w:sz w:val="15"/>
          <w:szCs w:val="15"/>
        </w:rPr>
        <w:t>并办理变更手续。如因乙方未及时通知甲方或销售机构并办理相应的变更手续，由此导致的一切后果由乙方承担。</w:t>
      </w:r>
    </w:p>
    <w:p w14:paraId="46F2FB25" w14:textId="77777777" w:rsidR="00470404" w:rsidRDefault="00FB533B">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乙方承诺，不利用本理财业务及本理财产品说明书项下理财产品从事违法活动。</w:t>
      </w:r>
    </w:p>
    <w:p w14:paraId="5F8089AF" w14:textId="77777777" w:rsidR="00470404" w:rsidRDefault="00FB533B">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乙方承诺，未经产品管理人同意，乙方不以本理财产品说明书或产品说明书项下的任何权利、利益、权益为乙方和任何第三人的债务设定担保或其他权益</w:t>
      </w:r>
      <w:r>
        <w:rPr>
          <w:rFonts w:ascii="方正黑体_GBK" w:eastAsia="方正黑体_GBK" w:hAnsi="Times New Roman" w:hint="eastAsia"/>
          <w:spacing w:val="10"/>
          <w:sz w:val="15"/>
          <w:szCs w:val="15"/>
        </w:rPr>
        <w:t>。</w:t>
      </w:r>
    </w:p>
    <w:p w14:paraId="4297D966" w14:textId="77777777" w:rsidR="00470404" w:rsidRDefault="00FB533B">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乙方承诺，未经产品管理人同意，乙方不向任何第三人转让、赠与本理财产品说明书或本理财产品说明书项下的任何权利、义务、利益、权益</w:t>
      </w:r>
      <w:r>
        <w:rPr>
          <w:rFonts w:ascii="方正黑体_GBK" w:eastAsia="方正黑体_GBK" w:hAnsi="Times New Roman" w:hint="eastAsia"/>
          <w:spacing w:val="10"/>
          <w:sz w:val="15"/>
          <w:szCs w:val="15"/>
        </w:rPr>
        <w:t>。</w:t>
      </w:r>
      <w:bookmarkStart w:id="8" w:name="_Hlk41902728"/>
    </w:p>
    <w:p w14:paraId="42A708BA" w14:textId="77777777" w:rsidR="00470404" w:rsidRDefault="00FB533B">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乙方保证遵守国家反洗钱法律、法规及相关政策</w:t>
      </w:r>
      <w:r>
        <w:rPr>
          <w:rFonts w:ascii="方正黑体_GBK" w:eastAsia="方正黑体_GBK" w:hAnsi="Times New Roman" w:hint="eastAsia"/>
          <w:spacing w:val="10"/>
          <w:sz w:val="15"/>
          <w:szCs w:val="15"/>
        </w:rPr>
        <w:t>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ascii="方正黑体_GBK" w:eastAsia="方正黑体_GBK" w:hAnsi="Times New Roman" w:hint="eastAsia"/>
          <w:b/>
          <w:bCs/>
          <w:spacing w:val="10"/>
          <w:sz w:val="15"/>
          <w:szCs w:val="15"/>
        </w:rPr>
        <w:t>甲方或销售机构发现或有合理理由怀疑乙方或其资金存在洗钱、恐怖融资、逃税等嫌疑，甲方有权</w:t>
      </w:r>
      <w:r>
        <w:rPr>
          <w:rFonts w:ascii="方正黑体_GBK" w:eastAsia="方正黑体_GBK" w:hAnsi="Times New Roman" w:hint="eastAsia"/>
          <w:b/>
          <w:bCs/>
          <w:spacing w:val="10"/>
          <w:sz w:val="15"/>
          <w:szCs w:val="15"/>
        </w:rPr>
        <w:t>提前终止本协议，造成乙方损失的，甲方不承担责任。</w:t>
      </w:r>
    </w:p>
    <w:p w14:paraId="12EF8C0B" w14:textId="77777777" w:rsidR="00470404" w:rsidRDefault="00FB533B">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乙方已充分知悉对应期次理财产品风险等级</w:t>
      </w:r>
      <w:r>
        <w:rPr>
          <w:rFonts w:ascii="方正黑体_GBK" w:eastAsia="方正黑体_GBK" w:hAnsi="Times New Roman" w:hint="eastAsia"/>
          <w:b/>
          <w:bCs/>
          <w:spacing w:val="10"/>
          <w:sz w:val="15"/>
          <w:szCs w:val="15"/>
        </w:rPr>
        <w:t>（该产品通过代理销售机构渠道销售的，理财产品评级应当以代理销售机构最终披露的评级结果为准）</w:t>
      </w:r>
      <w:r>
        <w:rPr>
          <w:rFonts w:ascii="方正黑体_GBK" w:eastAsia="方正黑体_GBK" w:hAnsi="Times New Roman" w:hint="eastAsia"/>
          <w:spacing w:val="10"/>
          <w:sz w:val="15"/>
          <w:szCs w:val="15"/>
        </w:rPr>
        <w:t>，自愿购买甲方管理的本理财产品，接受甲方提供的投资理财服务。乙方已仔细阅读本理财产品《风险揭示书》，已充分知悉本理财产品风险等级，并确定以相应理财资金投资本理财产品，乙方承诺由此产生的相关风险由其自身承担。</w:t>
      </w:r>
    </w:p>
    <w:p w14:paraId="5E6EF1C4" w14:textId="77777777" w:rsidR="00470404" w:rsidRDefault="00FB533B">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乙方对因购买、持有本理财产品而知悉的甲方及销售机构保密信息承担保密义务，乙方承诺不以任何方式向任何第三方披露甲方的保密信息，法</w:t>
      </w:r>
      <w:r>
        <w:rPr>
          <w:rFonts w:ascii="方正黑体_GBK" w:eastAsia="方正黑体_GBK" w:hAnsi="Times New Roman" w:hint="eastAsia"/>
          <w:spacing w:val="10"/>
          <w:sz w:val="15"/>
          <w:szCs w:val="15"/>
        </w:rPr>
        <w:t>律法规另有规定的除外。</w:t>
      </w:r>
    </w:p>
    <w:p w14:paraId="2849ED73" w14:textId="77777777" w:rsidR="00470404" w:rsidRDefault="00FB533B">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color w:val="3D3D3D"/>
          <w:spacing w:val="10"/>
          <w:sz w:val="15"/>
          <w:szCs w:val="15"/>
        </w:rPr>
        <w:t>乙方承诺及时返还其在理财投资过程中取得的不当得利，乙方在此授权管理人或销售机构可直接从乙方开立在销售机构的任一账户中直接扣收不当得利部分而无需另行征得乙方同意，乙方不提出任何异议。</w:t>
      </w:r>
    </w:p>
    <w:p w14:paraId="6624A490" w14:textId="77777777" w:rsidR="00470404" w:rsidRDefault="00FB533B">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7ED5E976" w14:textId="77777777" w:rsidR="00470404" w:rsidRDefault="00FB533B">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法律法规规定及理财产品销售文件中约定的其他权利与义务。</w:t>
      </w:r>
      <w:bookmarkEnd w:id="8"/>
    </w:p>
    <w:p w14:paraId="5F9E753D" w14:textId="77777777" w:rsidR="00470404" w:rsidRDefault="00FB533B">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5.</w:t>
      </w:r>
      <w:r>
        <w:rPr>
          <w:rFonts w:ascii="方正黑体_GBK" w:eastAsia="方正黑体_GBK" w:hAnsi="Times New Roman" w:hint="eastAsia"/>
          <w:b/>
          <w:bCs/>
          <w:spacing w:val="10"/>
          <w:sz w:val="15"/>
          <w:szCs w:val="15"/>
        </w:rPr>
        <w:t>产品认购或申购、赎回</w:t>
      </w:r>
    </w:p>
    <w:p w14:paraId="0F285674" w14:textId="77777777" w:rsidR="00470404" w:rsidRDefault="00FB533B">
      <w:pPr>
        <w:numPr>
          <w:ilvl w:val="0"/>
          <w:numId w:val="9"/>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w:t>
      </w:r>
      <w:r>
        <w:rPr>
          <w:rFonts w:ascii="方正黑体_GBK" w:eastAsia="方正黑体_GBK" w:hAnsi="Times New Roman" w:hint="eastAsia"/>
          <w:spacing w:val="10"/>
          <w:sz w:val="15"/>
          <w:szCs w:val="15"/>
        </w:rPr>
        <w:t>参照《投资者权益须知》约定。</w:t>
      </w:r>
    </w:p>
    <w:p w14:paraId="1C69EA6A" w14:textId="77777777" w:rsidR="00470404" w:rsidRDefault="00FB533B">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理财产品认购或申购撤销申请：乙方在理财产品募集期或开放期或投资冷静期（私募产品适用）内，可以撤销理财产品相应的认购或申购申请。</w:t>
      </w:r>
    </w:p>
    <w:p w14:paraId="593938DB" w14:textId="77777777" w:rsidR="00470404" w:rsidRDefault="00FB533B">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不成立：若在募集期结束日，本理财产品发行规模未能达到对应期次的《理财产品说明书》规定的要求，甲方有权决定本理财产品不成立，甲方将按对应期次的《理财产品说明书》约定条款向乙方进行信息披露，销售机构及时解除对乙方授权指定账户中认购或申购资金的冻结或返还认购或申购资金。</w:t>
      </w:r>
    </w:p>
    <w:p w14:paraId="101982CA" w14:textId="77777777" w:rsidR="00470404" w:rsidRDefault="00FB533B">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理财产品投资品种、投资起点金额、收益支付方式：参照对应期次的《理财产品说明书》中的约定。</w:t>
      </w:r>
    </w:p>
    <w:p w14:paraId="282AFA96" w14:textId="77777777" w:rsidR="00470404" w:rsidRDefault="00FB533B">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理财产品赎回</w:t>
      </w:r>
      <w:bookmarkStart w:id="9" w:name="_Hlk41902781"/>
      <w:r>
        <w:rPr>
          <w:rFonts w:ascii="方正黑体_GBK" w:eastAsia="方正黑体_GBK" w:hAnsi="Times New Roman" w:hint="eastAsia"/>
          <w:spacing w:val="10"/>
          <w:sz w:val="15"/>
          <w:szCs w:val="15"/>
        </w:rPr>
        <w:t>资金支付</w:t>
      </w:r>
      <w:bookmarkEnd w:id="9"/>
      <w:r>
        <w:rPr>
          <w:rFonts w:ascii="方正黑体_GBK" w:eastAsia="方正黑体_GBK" w:hAnsi="Times New Roman" w:hint="eastAsia"/>
          <w:spacing w:val="10"/>
          <w:sz w:val="15"/>
          <w:szCs w:val="15"/>
        </w:rPr>
        <w:t>：在正常情况下，甲方将按照本协议及对应期次的《理财产品说明书》的相关约定</w:t>
      </w:r>
      <w:bookmarkStart w:id="10" w:name="_Hlk41902803"/>
      <w:r>
        <w:rPr>
          <w:rFonts w:ascii="方正黑体_GBK" w:eastAsia="方正黑体_GBK" w:hAnsi="Times New Roman" w:hint="eastAsia"/>
          <w:spacing w:val="10"/>
          <w:sz w:val="15"/>
          <w:szCs w:val="15"/>
        </w:rPr>
        <w:t>进行赎回资金</w:t>
      </w:r>
      <w:bookmarkEnd w:id="10"/>
      <w:r>
        <w:rPr>
          <w:rFonts w:ascii="方正黑体_GBK" w:eastAsia="方正黑体_GBK" w:hAnsi="Times New Roman" w:hint="eastAsia"/>
          <w:spacing w:val="10"/>
          <w:sz w:val="15"/>
          <w:szCs w:val="15"/>
        </w:rPr>
        <w:t>划付。</w:t>
      </w:r>
      <w:r>
        <w:rPr>
          <w:rFonts w:ascii="方正黑体_GBK" w:eastAsia="方正黑体_GBK" w:hAnsi="Times New Roman" w:hint="eastAsia"/>
          <w:b/>
          <w:bCs/>
          <w:spacing w:val="10"/>
          <w:sz w:val="15"/>
          <w:szCs w:val="15"/>
        </w:rPr>
        <w:t>如果发生特殊情形，造成本理财产品的投资资产无法及时、足额变现，甲方可以根据实际情况选择向乙方提前支付、延迟支付或者分次支付，并及时根据法律法规的要求向乙方披露支付方案。</w:t>
      </w:r>
    </w:p>
    <w:p w14:paraId="46B5EB3F" w14:textId="77777777" w:rsidR="00470404" w:rsidRDefault="00FB533B">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6.</w:t>
      </w:r>
      <w:r>
        <w:rPr>
          <w:rFonts w:ascii="方正黑体_GBK" w:eastAsia="方正黑体_GBK" w:hAnsi="Times New Roman" w:hint="eastAsia"/>
          <w:b/>
          <w:bCs/>
          <w:spacing w:val="10"/>
          <w:sz w:val="15"/>
          <w:szCs w:val="15"/>
        </w:rPr>
        <w:t>产品的终止</w:t>
      </w:r>
    </w:p>
    <w:p w14:paraId="513A158D" w14:textId="77777777" w:rsidR="00470404" w:rsidRDefault="00FB533B">
      <w:pPr>
        <w:spacing w:line="200" w:lineRule="exact"/>
        <w:ind w:firstLineChars="200" w:firstLine="300"/>
        <w:rPr>
          <w:rFonts w:ascii="方正黑体_GBK" w:eastAsia="方正黑体_GBK"/>
          <w:color w:val="3D3D3D"/>
          <w:kern w:val="0"/>
          <w:sz w:val="15"/>
          <w:szCs w:val="15"/>
        </w:rPr>
      </w:pPr>
      <w:r>
        <w:rPr>
          <w:rFonts w:ascii="方正黑体_GBK" w:eastAsia="方正黑体_GBK" w:hint="eastAsia"/>
          <w:color w:val="3D3D3D"/>
          <w:kern w:val="0"/>
          <w:sz w:val="15"/>
          <w:szCs w:val="15"/>
        </w:rPr>
        <w:t>若本理财产品未提前终止或延期终止，则到期日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终止日即为名义到期日；若本理财产品被提前终止，则到期日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终止日为提前终止权行使日；若本理财产品被延期终止，则到期日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终止日为延期终止日。</w:t>
      </w:r>
    </w:p>
    <w:p w14:paraId="6DFD7997" w14:textId="77777777" w:rsidR="00470404" w:rsidRDefault="00FB533B">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1</w:t>
      </w:r>
      <w:r>
        <w:rPr>
          <w:rFonts w:ascii="方正黑体_GBK" w:eastAsia="方正黑体_GBK" w:hAnsi="Times New Roman" w:hint="eastAsia"/>
          <w:b/>
          <w:bCs/>
          <w:spacing w:val="10"/>
          <w:sz w:val="15"/>
          <w:szCs w:val="15"/>
        </w:rPr>
        <w:t>）理财产品提前终止</w:t>
      </w:r>
    </w:p>
    <w:p w14:paraId="1A67A218" w14:textId="77777777" w:rsidR="00470404" w:rsidRDefault="00FB533B">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在理财产品存续期内，如发生以下事项时，南银理财可对本理财产品行使全部提前终止权：</w:t>
      </w:r>
    </w:p>
    <w:p w14:paraId="01AE6E1B" w14:textId="77777777" w:rsidR="00470404" w:rsidRDefault="00FB533B">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如因本理财产品资产运作模式、投资资产等与法律法规、规章的规定或者监管部门的要求等存在冲突导致理财产品必须提前终止的；</w:t>
      </w:r>
    </w:p>
    <w:p w14:paraId="08A7728F" w14:textId="77777777" w:rsidR="00470404" w:rsidRDefault="00FB533B">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国家有关法律、法规、规章、监管规定、政策的改变、紧急措施的出台、理财市场环境发生重大变化等导致理财产品必须</w:t>
      </w:r>
      <w:r>
        <w:rPr>
          <w:rFonts w:ascii="方正黑体_GBK" w:eastAsia="方正黑体_GBK" w:hAnsi="Times New Roman" w:hint="eastAsia"/>
          <w:bCs/>
          <w:spacing w:val="10"/>
          <w:sz w:val="15"/>
          <w:szCs w:val="15"/>
        </w:rPr>
        <w:t>提前终止的；</w:t>
      </w:r>
    </w:p>
    <w:p w14:paraId="5B8FB7F9" w14:textId="77777777" w:rsidR="00470404" w:rsidRDefault="00FB533B">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因不可抗力因素导致本理财产品必须提前终止的；</w:t>
      </w:r>
    </w:p>
    <w:p w14:paraId="319EF7C9" w14:textId="77777777" w:rsidR="00470404" w:rsidRDefault="00FB533B">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遇有市场出现剧烈波动、异常风险事件等情形导致理财产品收益出现大幅波动或严重影响理财产品的资产安全；</w:t>
      </w:r>
    </w:p>
    <w:p w14:paraId="51B16EF3" w14:textId="77777777" w:rsidR="00470404" w:rsidRDefault="00FB533B">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因投资者理财资金被有权机关扣划等原因导致理财产品剩余资产无法满足相关法律法规规定、所投资市场要求或协议等相关法律文件约定，或者继续存续无法实现投资目标；</w:t>
      </w:r>
    </w:p>
    <w:p w14:paraId="4FEC8BFC" w14:textId="77777777" w:rsidR="00470404" w:rsidRDefault="00FB533B">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因管理人解散、破产、撤销、被取消业务资格等原因无法继续履行相应职责导致产品无法继续运作；</w:t>
      </w:r>
    </w:p>
    <w:p w14:paraId="2F06FB26" w14:textId="77777777" w:rsidR="00470404" w:rsidRDefault="00FB533B">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理财产品所投资资产部分或全部提前偿付；</w:t>
      </w:r>
    </w:p>
    <w:p w14:paraId="257C791E" w14:textId="77777777" w:rsidR="00470404" w:rsidRDefault="00FB533B">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提前终止产品比维持产品运作更有利于保护产品持有人的权益；</w:t>
      </w:r>
    </w:p>
    <w:p w14:paraId="29FBB57D" w14:textId="77777777" w:rsidR="00470404" w:rsidRDefault="00FB533B">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南银理财合</w:t>
      </w:r>
      <w:r>
        <w:rPr>
          <w:rFonts w:ascii="方正黑体_GBK" w:eastAsia="方正黑体_GBK" w:hAnsi="Times New Roman" w:hint="eastAsia"/>
          <w:bCs/>
          <w:spacing w:val="10"/>
          <w:sz w:val="15"/>
          <w:szCs w:val="15"/>
        </w:rPr>
        <w:t>理认为应该提前终止本理财产品的其他情况。</w:t>
      </w:r>
    </w:p>
    <w:p w14:paraId="56DEC817" w14:textId="77777777" w:rsidR="00470404" w:rsidRDefault="00FB533B">
      <w:pPr>
        <w:pStyle w:val="10"/>
        <w:spacing w:line="200" w:lineRule="exact"/>
        <w:ind w:left="340" w:firstLineChars="0" w:firstLine="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南银理财如提前终止本理财产品，应根据本理财产品销售文件约定的方式进行信息披露。</w:t>
      </w:r>
    </w:p>
    <w:p w14:paraId="00D87035" w14:textId="77777777" w:rsidR="00470404" w:rsidRDefault="00FB533B">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2</w:t>
      </w:r>
      <w:r>
        <w:rPr>
          <w:rFonts w:ascii="方正黑体_GBK" w:eastAsia="方正黑体_GBK" w:hAnsi="Times New Roman" w:hint="eastAsia"/>
          <w:b/>
          <w:bCs/>
          <w:spacing w:val="10"/>
          <w:sz w:val="15"/>
          <w:szCs w:val="15"/>
        </w:rPr>
        <w:t>）理财产品的延期终止</w:t>
      </w:r>
    </w:p>
    <w:p w14:paraId="0E5D88FD" w14:textId="77777777" w:rsidR="00470404" w:rsidRDefault="00FB533B">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在理财产品存续期内，如发生以下事项时，南银理财有权推迟本理财产品终止日：</w:t>
      </w:r>
    </w:p>
    <w:p w14:paraId="5BAD4DB3" w14:textId="77777777" w:rsidR="00470404" w:rsidRDefault="00FB533B">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产品到期日遇非工作日，产品到期日顺延至下一工作日；</w:t>
      </w:r>
    </w:p>
    <w:p w14:paraId="71E2D3CC" w14:textId="77777777" w:rsidR="00470404" w:rsidRDefault="00FB533B">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因市场成交量不足、资产限制赎回、暂停交易、缺乏意愿交易对手等原因，导致产品所投资的资产无法及时全部变现；</w:t>
      </w:r>
    </w:p>
    <w:p w14:paraId="5A5FD70D" w14:textId="77777777" w:rsidR="00470404" w:rsidRDefault="00FB533B">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因资金在途等原因，导致未能及时收回资金；</w:t>
      </w:r>
    </w:p>
    <w:p w14:paraId="4CAA3D7F" w14:textId="77777777" w:rsidR="00470404" w:rsidRDefault="00FB533B">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因不可抗力等原因，导致管理人无法及时收回资金及</w:t>
      </w:r>
      <w:r>
        <w:rPr>
          <w:rFonts w:ascii="方正黑体_GBK" w:eastAsia="方正黑体_GBK" w:hAnsi="Times New Roman" w:hint="eastAsia"/>
          <w:bCs/>
          <w:spacing w:val="10"/>
          <w:sz w:val="15"/>
          <w:szCs w:val="15"/>
        </w:rPr>
        <w:t>/</w:t>
      </w:r>
      <w:r>
        <w:rPr>
          <w:rFonts w:ascii="方正黑体_GBK" w:eastAsia="方正黑体_GBK" w:hAnsi="Times New Roman" w:hint="eastAsia"/>
          <w:bCs/>
          <w:spacing w:val="10"/>
          <w:sz w:val="15"/>
          <w:szCs w:val="15"/>
        </w:rPr>
        <w:t>或进行理财资金清算分配的；</w:t>
      </w:r>
    </w:p>
    <w:p w14:paraId="2E276812" w14:textId="77777777" w:rsidR="00470404" w:rsidRDefault="00FB533B">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理财产品资产涉及诉讼（或仲裁），且预计诉讼（或仲裁）及执行程序于理财产品名义到期日尚未终结；</w:t>
      </w:r>
    </w:p>
    <w:p w14:paraId="4ECB3A46" w14:textId="77777777" w:rsidR="00470404" w:rsidRDefault="00FB533B">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其他管理人认为需要延期的情形；</w:t>
      </w:r>
    </w:p>
    <w:p w14:paraId="2653E67C" w14:textId="77777777" w:rsidR="00470404" w:rsidRDefault="00FB533B">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法律规定的及本理财产品销售文件约定的其他情形。</w:t>
      </w:r>
    </w:p>
    <w:p w14:paraId="0A4AA8BB" w14:textId="77777777" w:rsidR="00470404" w:rsidRDefault="00FB533B">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spacing w:val="10"/>
          <w:sz w:val="15"/>
          <w:szCs w:val="15"/>
        </w:rPr>
        <w:t>南银理财</w:t>
      </w:r>
      <w:r>
        <w:rPr>
          <w:rFonts w:ascii="方正黑体_GBK" w:eastAsia="方正黑体_GBK" w:hAnsi="Times New Roman" w:hint="eastAsia"/>
          <w:bCs/>
          <w:spacing w:val="10"/>
          <w:sz w:val="15"/>
          <w:szCs w:val="15"/>
        </w:rPr>
        <w:t>如推迟本理财产品到期日，应根据本理财产品销售文件约定的方式进行信息披露。</w:t>
      </w:r>
    </w:p>
    <w:p w14:paraId="0C64A5CD" w14:textId="77777777" w:rsidR="00470404" w:rsidRDefault="00FB533B">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不因投资者丧失民事行为能力、死亡、破产、解散等情形而终止。上述情况下，投资者于理财产品销售文件项下的权利以及义务由其法定继承人、承继人、继受人或者指定的受益人以及继任管理人等承担。甲方以及销售机构有权要求或配合投资者的法定继承人、承继人、继受人或者指定受益人以及继任管理人等相关主体办理相关变更手续。</w:t>
      </w:r>
    </w:p>
    <w:p w14:paraId="2D133E19" w14:textId="77777777" w:rsidR="00470404" w:rsidRDefault="00FB533B">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7.</w:t>
      </w:r>
      <w:r>
        <w:rPr>
          <w:rFonts w:ascii="方正黑体_GBK" w:eastAsia="方正黑体_GBK" w:hAnsi="Times New Roman" w:hint="eastAsia"/>
          <w:b/>
          <w:spacing w:val="10"/>
          <w:sz w:val="15"/>
          <w:szCs w:val="15"/>
        </w:rPr>
        <w:t>产品资产的清算</w:t>
      </w:r>
      <w:r>
        <w:rPr>
          <w:rFonts w:ascii="方正黑体_GBK" w:eastAsia="方正黑体_GBK" w:hAnsi="Times New Roman" w:hint="eastAsia"/>
          <w:b/>
          <w:spacing w:val="10"/>
          <w:sz w:val="15"/>
          <w:szCs w:val="15"/>
        </w:rPr>
        <w:t xml:space="preserve"> </w:t>
      </w:r>
    </w:p>
    <w:p w14:paraId="6F5A83EB" w14:textId="77777777" w:rsidR="00470404" w:rsidRDefault="00FB533B">
      <w:p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Cs/>
          <w:spacing w:val="10"/>
          <w:sz w:val="15"/>
          <w:szCs w:val="15"/>
        </w:rPr>
        <w:t>自本理财产品终止日至投资者理财本金及收益到账日之间为本理财产品的清算期，</w:t>
      </w:r>
      <w:r>
        <w:rPr>
          <w:rFonts w:ascii="方正黑体_GBK" w:eastAsia="方正黑体_GBK" w:hAnsi="Times New Roman" w:hint="eastAsia"/>
          <w:b/>
          <w:spacing w:val="10"/>
          <w:sz w:val="15"/>
          <w:szCs w:val="15"/>
        </w:rPr>
        <w:t>清算期不计算利息或投资收益</w:t>
      </w:r>
      <w:r>
        <w:rPr>
          <w:rFonts w:ascii="方正黑体_GBK" w:eastAsia="方正黑体_GBK" w:hAnsi="Times New Roman" w:hint="eastAsia"/>
          <w:bCs/>
          <w:spacing w:val="10"/>
          <w:sz w:val="15"/>
          <w:szCs w:val="15"/>
        </w:rPr>
        <w:t>。</w:t>
      </w:r>
      <w:r>
        <w:rPr>
          <w:rFonts w:ascii="方正黑体_GBK" w:eastAsia="方正黑体_GBK" w:hAnsi="Times New Roman" w:hint="eastAsia"/>
          <w:b/>
          <w:spacing w:val="10"/>
          <w:sz w:val="15"/>
          <w:szCs w:val="15"/>
        </w:rPr>
        <w:t>甲方将根据对应期次《理财产品说明书》的约定将理财产品清算变现，</w:t>
      </w:r>
      <w:r>
        <w:rPr>
          <w:rFonts w:ascii="方正黑体_GBK" w:eastAsia="方正黑体_GBK" w:hAnsi="Times New Roman" w:hint="eastAsia"/>
          <w:b/>
          <w:bCs/>
          <w:spacing w:val="10"/>
          <w:sz w:val="15"/>
          <w:szCs w:val="15"/>
        </w:rPr>
        <w:t>销售机构为甲方的</w:t>
      </w:r>
      <w:r>
        <w:rPr>
          <w:rFonts w:ascii="方正黑体_GBK" w:eastAsia="方正黑体_GBK" w:hAnsi="Times New Roman" w:hint="eastAsia"/>
          <w:b/>
          <w:bCs/>
          <w:spacing w:val="10"/>
          <w:sz w:val="15"/>
          <w:szCs w:val="15"/>
        </w:rPr>
        <w:t>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w:t>
      </w:r>
    </w:p>
    <w:p w14:paraId="5326F650" w14:textId="77777777" w:rsidR="00470404" w:rsidRDefault="00FB533B">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清算期原则上不得超过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个工作日，因清算期超过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个工作日的，应当在理财产品终止前，将依约定进行公告。</w:t>
      </w:r>
      <w:r>
        <w:rPr>
          <w:rFonts w:ascii="方正黑体_GBK" w:eastAsia="方正黑体_GBK" w:hAnsi="Times New Roman" w:hint="eastAsia"/>
          <w:b/>
          <w:spacing w:val="10"/>
          <w:sz w:val="15"/>
          <w:szCs w:val="15"/>
        </w:rPr>
        <w:t>因本理财产品的投资资产无法及时、足额变现等原因，南银理财可以根据实际情况选择向投资者提前支付、延迟支付或者</w:t>
      </w:r>
      <w:r>
        <w:rPr>
          <w:rFonts w:ascii="方正黑体_GBK" w:eastAsia="方正黑体_GBK" w:hAnsi="Times New Roman" w:hint="eastAsia"/>
          <w:b/>
          <w:spacing w:val="10"/>
          <w:sz w:val="15"/>
          <w:szCs w:val="15"/>
        </w:rPr>
        <w:t>分次支付，并及时根据法律法规的要求向乙方披露支付方案。</w:t>
      </w:r>
    </w:p>
    <w:p w14:paraId="627F4204" w14:textId="77777777" w:rsidR="00470404" w:rsidRDefault="00FB533B">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8.</w:t>
      </w:r>
      <w:r>
        <w:rPr>
          <w:rFonts w:ascii="方正黑体_GBK" w:eastAsia="方正黑体_GBK" w:hAnsi="Times New Roman" w:hint="eastAsia"/>
          <w:b/>
          <w:bCs/>
          <w:spacing w:val="10"/>
          <w:sz w:val="15"/>
          <w:szCs w:val="15"/>
        </w:rPr>
        <w:t>特别提示</w:t>
      </w:r>
    </w:p>
    <w:p w14:paraId="4BBBF355" w14:textId="77777777" w:rsidR="00470404" w:rsidRDefault="00FB533B">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在本理财产品存续期内：</w:t>
      </w:r>
    </w:p>
    <w:p w14:paraId="712922FB" w14:textId="77777777" w:rsidR="00470404" w:rsidRDefault="00FB533B">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F10EA32" w14:textId="77777777" w:rsidR="00470404" w:rsidRDefault="00FB533B">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甲方有权单方面对本理财产品的销</w:t>
      </w:r>
      <w:r>
        <w:rPr>
          <w:rFonts w:ascii="方正黑体_GBK" w:eastAsia="方正黑体_GBK" w:hAnsi="Times New Roman" w:hint="eastAsia"/>
          <w:b/>
          <w:spacing w:val="10"/>
          <w:sz w:val="15"/>
          <w:szCs w:val="15"/>
        </w:rPr>
        <w:t>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78DB5C9" w14:textId="77777777" w:rsidR="00470404" w:rsidRDefault="00FB533B">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免责条款</w:t>
      </w:r>
    </w:p>
    <w:p w14:paraId="7D5B6893" w14:textId="77777777" w:rsidR="00470404" w:rsidRDefault="00FB533B">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不合法。如果因遵守任何适用法律、法规、条例、规则、规定、裁决、命令或</w:t>
      </w:r>
      <w:r>
        <w:rPr>
          <w:rFonts w:ascii="方正黑体_GBK" w:eastAsia="方正黑体_GBK" w:hAnsi="Times New Roman" w:hint="eastAsia"/>
          <w:b/>
          <w:spacing w:val="10"/>
          <w:sz w:val="15"/>
          <w:szCs w:val="15"/>
        </w:rPr>
        <w:t>指令（不论是现行或将来实施的）而使得甲方履行协议项下的义务全部或部分成为不合法，甲方有权在任何时间向乙方发出通知提前终止受影响的理财产品，在此情况下甲方无需对乙方因提前终止投资而造成的任何损失承担任何责任。</w:t>
      </w:r>
    </w:p>
    <w:p w14:paraId="4976E6DB" w14:textId="77777777" w:rsidR="00470404" w:rsidRDefault="00FB533B">
      <w:pPr>
        <w:pStyle w:val="10"/>
        <w:numPr>
          <w:ilvl w:val="0"/>
          <w:numId w:val="14"/>
        </w:numPr>
        <w:spacing w:line="200" w:lineRule="exact"/>
        <w:ind w:firstLineChars="0"/>
        <w:rPr>
          <w:rFonts w:ascii="方正黑体_GBK" w:eastAsia="方正黑体_GBK"/>
          <w:b/>
          <w:spacing w:val="10"/>
          <w:sz w:val="15"/>
          <w:szCs w:val="15"/>
        </w:rPr>
      </w:pPr>
      <w:r>
        <w:rPr>
          <w:rFonts w:ascii="方正黑体_GBK" w:eastAsia="方正黑体_GBK" w:hAnsi="Times New Roman" w:hint="eastAsia"/>
          <w:b/>
          <w:spacing w:val="10"/>
          <w:sz w:val="15"/>
          <w:szCs w:val="15"/>
        </w:rPr>
        <w:t>不可抗力。如果甲方认为由于自然灾害、</w:t>
      </w:r>
      <w:bookmarkStart w:id="11" w:name="_Hlk41903042"/>
      <w:r>
        <w:rPr>
          <w:rFonts w:ascii="方正黑体_GBK" w:eastAsia="方正黑体_GBK" w:hAnsi="Times New Roman" w:hint="eastAsia"/>
          <w:b/>
          <w:spacing w:val="10"/>
          <w:sz w:val="15"/>
          <w:szCs w:val="15"/>
        </w:rPr>
        <w:t>地震、台风、海啸、洪水、火灾、停电、突发性公共卫生事件、</w:t>
      </w:r>
      <w:bookmarkStart w:id="12" w:name="_Hlk41862861"/>
      <w:bookmarkEnd w:id="11"/>
      <w:r>
        <w:rPr>
          <w:rFonts w:ascii="方正黑体_GBK" w:eastAsia="方正黑体_GBK" w:hAnsi="Times New Roman" w:hint="eastAsia"/>
          <w:b/>
          <w:spacing w:val="10"/>
          <w:sz w:val="15"/>
          <w:szCs w:val="15"/>
        </w:rPr>
        <w:t>罢工、内战、战争、军事行动、任何种类的恐怖活动、暴动、公众示威或抗议</w:t>
      </w:r>
      <w:bookmarkStart w:id="13" w:name="_Hlk41903076"/>
      <w:bookmarkEnd w:id="12"/>
      <w:r>
        <w:rPr>
          <w:rFonts w:ascii="方正黑体_GBK" w:eastAsia="方正黑体_GBK" w:hAnsi="Times New Roman" w:hint="eastAsia"/>
          <w:b/>
          <w:spacing w:val="10"/>
          <w:sz w:val="15"/>
          <w:szCs w:val="15"/>
        </w:rPr>
        <w:t>；新的适用法律或国家政策的颁布或实施、对原适用法律或国家政策的修改；</w:t>
      </w:r>
      <w:bookmarkStart w:id="14" w:name="_Hlk41862959"/>
      <w:bookmarkEnd w:id="13"/>
      <w:r>
        <w:rPr>
          <w:rFonts w:ascii="方正黑体_GBK" w:eastAsia="方正黑体_GBK" w:hAnsi="Times New Roman" w:hint="eastAsia"/>
          <w:b/>
          <w:spacing w:val="10"/>
          <w:sz w:val="15"/>
          <w:szCs w:val="15"/>
        </w:rPr>
        <w:t>中国內地或全球金融外汇市场发生致使甲方无法进行货币兑换、划转等的异常变化；任</w:t>
      </w:r>
      <w:r>
        <w:rPr>
          <w:rFonts w:ascii="方正黑体_GBK" w:eastAsia="方正黑体_GBK" w:hAnsi="Times New Roman" w:hint="eastAsia"/>
          <w:b/>
          <w:spacing w:val="10"/>
          <w:sz w:val="15"/>
          <w:szCs w:val="15"/>
        </w:rPr>
        <w:t>何政府机关或其他机关的行为（不论是在法律上或是在事实上）、法律、法规、条例、规则、规定、裁决、命令或指令（包括国有化或对外限制、外汇管制）、诉讼或威胁</w:t>
      </w:r>
      <w:bookmarkEnd w:id="14"/>
      <w:r>
        <w:rPr>
          <w:rFonts w:ascii="方正黑体_GBK" w:eastAsia="方正黑体_GBK" w:hAnsi="Times New Roman" w:hint="eastAsia"/>
          <w:b/>
          <w:spacing w:val="10"/>
          <w:sz w:val="15"/>
          <w:szCs w:val="15"/>
        </w:rPr>
        <w:t>；</w:t>
      </w:r>
      <w:bookmarkStart w:id="15" w:name="_Hlk41903087"/>
      <w:r>
        <w:rPr>
          <w:rFonts w:ascii="方正黑体_GBK" w:eastAsia="方正黑体_GBK" w:hAnsi="Times New Roman" w:hint="eastAsia"/>
          <w:b/>
          <w:spacing w:val="10"/>
          <w:sz w:val="15"/>
          <w:szCs w:val="15"/>
        </w:rPr>
        <w:t>因理财产品各方和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或其关联方运营网络系统遭受黑客攻击、电信部门技术调整或故障等原因而造成的理财产品各方和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或其关联方之服务、营业的中断或者延迟</w:t>
      </w:r>
      <w:r>
        <w:rPr>
          <w:rFonts w:ascii="方正黑体_GBK" w:eastAsia="方正黑体_GBK" w:hAnsi="Times New Roman" w:hint="eastAsia"/>
          <w:b/>
          <w:spacing w:val="10"/>
          <w:sz w:val="15"/>
          <w:szCs w:val="15"/>
        </w:rPr>
        <w:t>;</w:t>
      </w:r>
      <w:bookmarkEnd w:id="15"/>
      <w:r>
        <w:rPr>
          <w:rFonts w:ascii="方正黑体_GBK" w:eastAsia="方正黑体_GBK" w:hAnsi="Times New Roman" w:hint="eastAsia"/>
          <w:b/>
          <w:spacing w:val="10"/>
          <w:sz w:val="15"/>
          <w:szCs w:val="15"/>
        </w:rPr>
        <w:t>或任何其他非甲方所能控制的情况或原因，导致甲方未能履行或需延迟履行协议项下或与理财产品相关的支付义务，甲方无需对乙方承担任何责任。尤其是，当资金存放在任何销售机构、托管人或代理人处而他们因上述原因被禁止向甲方付款或履</w:t>
      </w:r>
      <w:r>
        <w:rPr>
          <w:rFonts w:ascii="方正黑体_GBK" w:eastAsia="方正黑体_GBK" w:hAnsi="Times New Roman" w:hint="eastAsia"/>
          <w:b/>
          <w:spacing w:val="10"/>
          <w:sz w:val="15"/>
          <w:szCs w:val="15"/>
        </w:rPr>
        <w:t>行义务时，甲方亦无需向乙方负责。如果在一个支付日发生不可抗力（不论该不可抗力是否持续整个当日），与理财产品有关的相关回报或赎回金额（视情形而定）的支付将由甲方按完全自行酌情决定顺延至紧临的下一个不存在不可抗力的工作日。乙方将不会因此而收到额外的收益或者补偿。</w:t>
      </w:r>
    </w:p>
    <w:p w14:paraId="6DC0F79C" w14:textId="77777777" w:rsidR="00470404" w:rsidRDefault="00FB533B">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如乙方违反本协议的约定或其交易资金被国家有权机关采取强制措施，或甲方发现或有合理理由怀疑乙方或其资金存在洗钱、恐怖融资、逃税等嫌疑，或存在其他违法违规违反本约定行为的，甲方有权提前终止本协议。乙方承担由此给乙方造成的任何损失。</w:t>
      </w:r>
    </w:p>
    <w:p w14:paraId="1A6657EF" w14:textId="77777777" w:rsidR="00470404" w:rsidRDefault="00FB533B">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本理财产品销售文件项下理</w:t>
      </w:r>
      <w:r>
        <w:rPr>
          <w:rFonts w:ascii="方正黑体_GBK" w:eastAsia="方正黑体_GBK" w:hAnsi="Times New Roman" w:hint="eastAsia"/>
          <w:b/>
          <w:spacing w:val="10"/>
          <w:sz w:val="15"/>
          <w:szCs w:val="15"/>
        </w:rPr>
        <w:t>财业务不受销售机构存款保险机制或其他保障机制保障。</w:t>
      </w:r>
    </w:p>
    <w:p w14:paraId="549431C5" w14:textId="77777777" w:rsidR="00470404" w:rsidRDefault="00FB533B">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赔偿</w:t>
      </w:r>
      <w:r>
        <w:rPr>
          <w:rFonts w:ascii="方正黑体_GBK" w:eastAsia="方正黑体_GBK" w:hAnsi="Times New Roman" w:hint="eastAsia"/>
          <w:spacing w:val="10"/>
          <w:sz w:val="15"/>
          <w:szCs w:val="15"/>
        </w:rPr>
        <w:t>及责任限制</w:t>
      </w:r>
    </w:p>
    <w:p w14:paraId="33F81A7D" w14:textId="77777777" w:rsidR="00470404" w:rsidRDefault="00FB533B">
      <w:pPr>
        <w:spacing w:line="200" w:lineRule="exact"/>
        <w:ind w:firstLineChars="200" w:firstLine="340"/>
        <w:rPr>
          <w:rFonts w:ascii="方正黑体_GBK" w:eastAsia="方正黑体_GBK" w:hAnsi="Times New Roman"/>
          <w:spacing w:val="10"/>
          <w:sz w:val="15"/>
          <w:szCs w:val="15"/>
        </w:rPr>
      </w:pPr>
      <w:bookmarkStart w:id="16" w:name="_Hlk50135417"/>
      <w:r>
        <w:rPr>
          <w:rFonts w:ascii="方正黑体_GBK" w:eastAsia="方正黑体_GBK" w:hAnsi="Times New Roman" w:hint="eastAsia"/>
          <w:spacing w:val="10"/>
          <w:sz w:val="15"/>
          <w:szCs w:val="15"/>
        </w:rPr>
        <w:t>由于本协议一方当事人的过错，造成本协议不能履行或不能完全履行的，由有过错的一方承担违约责任；如双方同时负有过错，则应由双方各自按照过错程度承担责任。</w:t>
      </w:r>
      <w:bookmarkEnd w:id="16"/>
    </w:p>
    <w:p w14:paraId="3958D013" w14:textId="77777777" w:rsidR="00470404" w:rsidRDefault="00FB533B">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双方承诺，如果任何一方在协议项下作出错误的陈述、保证或者违反任何陈述、保证或其他协议约定而导致另一方发生任何损失、责任、支出或者被提出主张、诉讼或要求，违约方应向另一方作出赔偿。本条所述的赔偿并不排除违约方依据相关法律或协议约定而应承担的任何其他责任。</w:t>
      </w:r>
      <w:r>
        <w:rPr>
          <w:rFonts w:ascii="方正黑体_GBK" w:eastAsia="方正黑体_GBK" w:hAnsi="Times New Roman" w:hint="eastAsia"/>
          <w:b/>
          <w:bCs/>
          <w:spacing w:val="10"/>
          <w:sz w:val="15"/>
          <w:szCs w:val="15"/>
        </w:rPr>
        <w:t>特别地，尽管乙方可能给予相反的指示，如果甲方因需遵守适用法律、法规或规则（包括但不限于各种支付体系的规则和规定）或遵守与其他银行、金融机构达成的业务交易协议而导致甲方延迟执行乙方指示或者未能执行乙方指示或使乙方产生任何责任、损失或支出，甲方无需负责</w:t>
      </w:r>
      <w:r>
        <w:rPr>
          <w:rFonts w:ascii="方正黑体_GBK" w:eastAsia="方正黑体_GBK" w:hAnsi="Times New Roman" w:hint="eastAsia"/>
          <w:spacing w:val="10"/>
          <w:sz w:val="15"/>
          <w:szCs w:val="15"/>
        </w:rPr>
        <w:t>。</w:t>
      </w:r>
    </w:p>
    <w:p w14:paraId="2B7F0FDC" w14:textId="77777777" w:rsidR="00470404" w:rsidRDefault="00FB533B">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抵销</w:t>
      </w:r>
    </w:p>
    <w:p w14:paraId="1BFB5453" w14:textId="77777777" w:rsidR="00470404" w:rsidRDefault="00FB533B">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
          <w:spacing w:val="10"/>
          <w:sz w:val="15"/>
          <w:szCs w:val="15"/>
        </w:rPr>
        <w:t>除享有法律规定的或其他的抵销权利外，甲方有权（但无义务）将乙方欠付甲方的任何债务（不论是否已经到期、无论是否因协议而导致，也不论债务的结算货币、付款地或登记处）与甲方欠付乙方的任何债务（不论是否已经到期、无论是否因协议而导致，也不论债务的结算货币、付款地</w:t>
      </w:r>
      <w:r>
        <w:rPr>
          <w:rFonts w:ascii="方正黑体_GBK" w:eastAsia="方正黑体_GBK" w:hAnsi="Times New Roman" w:hint="eastAsia"/>
          <w:b/>
          <w:spacing w:val="10"/>
          <w:sz w:val="15"/>
          <w:szCs w:val="15"/>
        </w:rPr>
        <w:t>或登记处）进行抵销，而无须事先书面通知乙方或任何其他人员</w:t>
      </w:r>
      <w:r>
        <w:rPr>
          <w:rFonts w:ascii="方正黑体_GBK" w:eastAsia="方正黑体_GBK" w:hAnsi="Times New Roman" w:hint="eastAsia"/>
          <w:bCs/>
          <w:spacing w:val="10"/>
          <w:sz w:val="15"/>
          <w:szCs w:val="15"/>
        </w:rPr>
        <w:t>。</w:t>
      </w:r>
    </w:p>
    <w:p w14:paraId="1F2CCEF9" w14:textId="77777777" w:rsidR="00470404" w:rsidRDefault="00FB533B">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为了对不同货币进行抵销，甲方可在有关日期以甲方所选择适用的市场汇率将乙方的债务予以兑换。如果债务尚未确定，则甲方可估计该债务的数额后进行抵销，但甲方须在该债务得以确定时向乙方支付差额。</w:t>
      </w:r>
    </w:p>
    <w:p w14:paraId="5CE76A3B" w14:textId="77777777" w:rsidR="00470404" w:rsidRDefault="00FB533B">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弃权</w:t>
      </w:r>
    </w:p>
    <w:p w14:paraId="0AA09F30" w14:textId="77777777" w:rsidR="00470404" w:rsidRDefault="00FB533B">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违反协议的任何规定，甲方的任何作为或不作为、迟延或弃权，或甲方给予的其他放任或宽限，均不损害和影响甲方按协议可享有的权利、权力或救济的进一步行使或以其他方式行使该等权利、权力或救济。</w:t>
      </w:r>
    </w:p>
    <w:p w14:paraId="05E991D1" w14:textId="77777777" w:rsidR="00470404" w:rsidRDefault="00FB533B">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可分割性</w:t>
      </w:r>
    </w:p>
    <w:p w14:paraId="0B7C7EB1" w14:textId="77777777" w:rsidR="00470404" w:rsidRDefault="00FB533B">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协议的任何条款在任何方面的非法、无效或不可强制执行，不影响协</w:t>
      </w:r>
      <w:r>
        <w:rPr>
          <w:rFonts w:ascii="方正黑体_GBK" w:eastAsia="方正黑体_GBK" w:hAnsi="Times New Roman" w:hint="eastAsia"/>
          <w:spacing w:val="10"/>
          <w:sz w:val="15"/>
          <w:szCs w:val="15"/>
        </w:rPr>
        <w:t>议的其他条款的合法性、有效性或可强制执行。</w:t>
      </w:r>
    </w:p>
    <w:p w14:paraId="6ACD8B57" w14:textId="77777777" w:rsidR="00470404" w:rsidRDefault="00FB533B">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税收条款</w:t>
      </w:r>
    </w:p>
    <w:p w14:paraId="05BDDFC8" w14:textId="77777777" w:rsidR="00470404" w:rsidRDefault="00FB533B">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以对应期次的《理财产品说明书》约定的税务处理方式为准，如遇国家政策调整则相应执行最新政策。</w:t>
      </w:r>
    </w:p>
    <w:p w14:paraId="4B6D61E0" w14:textId="77777777" w:rsidR="00470404" w:rsidRDefault="00FB533B">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9.</w:t>
      </w:r>
      <w:r>
        <w:rPr>
          <w:rFonts w:ascii="方正黑体_GBK" w:eastAsia="方正黑体_GBK" w:hAnsi="Times New Roman" w:hint="eastAsia"/>
          <w:b/>
          <w:bCs/>
          <w:spacing w:val="10"/>
          <w:sz w:val="15"/>
          <w:szCs w:val="15"/>
        </w:rPr>
        <w:t>争议处理</w:t>
      </w:r>
    </w:p>
    <w:p w14:paraId="6E092BE4" w14:textId="77777777" w:rsidR="00470404" w:rsidRDefault="00FB533B">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本协议在履行过程中发生争议，可以通过协商解决；协商不成的，任何一方有权向甲方所在地有管辖权的人民法院提起诉讼。</w:t>
      </w:r>
    </w:p>
    <w:p w14:paraId="464C9B1F" w14:textId="77777777" w:rsidR="00470404" w:rsidRDefault="00FB533B">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10.</w:t>
      </w:r>
      <w:r>
        <w:rPr>
          <w:rFonts w:ascii="方正黑体_GBK" w:eastAsia="方正黑体_GBK" w:hAnsi="Times New Roman" w:hint="eastAsia"/>
          <w:b/>
          <w:bCs/>
          <w:spacing w:val="10"/>
          <w:sz w:val="15"/>
          <w:szCs w:val="15"/>
        </w:rPr>
        <w:t>协议的生效和终止</w:t>
      </w:r>
    </w:p>
    <w:p w14:paraId="5ABFD26F" w14:textId="77777777" w:rsidR="00470404" w:rsidRDefault="00FB533B">
      <w:pPr>
        <w:numPr>
          <w:ilvl w:val="0"/>
          <w:numId w:val="16"/>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w:t>
      </w:r>
      <w:r>
        <w:rPr>
          <w:rFonts w:ascii="方正黑体_GBK" w:eastAsia="方正黑体_GBK" w:hAnsi="Times New Roman" w:hint="eastAsia"/>
          <w:spacing w:val="10"/>
          <w:sz w:val="15"/>
          <w:szCs w:val="15"/>
        </w:rPr>
        <w:t>成功缴纳购买资金并经甲方系统确认购买份额后成立并生效。</w:t>
      </w:r>
    </w:p>
    <w:p w14:paraId="4FBB6A65" w14:textId="77777777" w:rsidR="00470404" w:rsidRDefault="00FB533B">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数据电文形式订立的，乙方应在电子渠道仔细阅读本协议的所有条款，对本协议条款的含义及相应的法律后果应全部知晓并充分理解，同意接受本协议约束。本协议自乙方成功缴纳购买资金并经甲方系统确认购买份额后成立并生效。</w:t>
      </w:r>
      <w:r>
        <w:rPr>
          <w:rFonts w:ascii="方正黑体_GBK" w:eastAsia="方正黑体_GBK" w:hAnsi="Times New Roman" w:hint="eastAsia"/>
          <w:b/>
          <w:bCs/>
          <w:spacing w:val="10"/>
          <w:sz w:val="15"/>
          <w:szCs w:val="15"/>
        </w:rPr>
        <w:t>电子渠道所生成和保留记载的相关电子数据及交易记录以及销售机构、托管机构、甲方制作或保留的相关电子及纸质单据、凭证、记录等相关资料</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构成有效证明甲乙双方之间权利义务关系的确定证据，乙方无条件认可电子数据的有效性和证据效力。</w:t>
      </w:r>
    </w:p>
    <w:p w14:paraId="153E9F15" w14:textId="77777777" w:rsidR="00470404" w:rsidRDefault="00FB533B">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乙方在办理理财产品的</w:t>
      </w:r>
      <w:r>
        <w:rPr>
          <w:rFonts w:ascii="方正黑体_GBK" w:eastAsia="方正黑体_GBK" w:hAnsi="Times New Roman" w:hint="eastAsia"/>
          <w:spacing w:val="10"/>
          <w:sz w:val="15"/>
          <w:szCs w:val="15"/>
        </w:rPr>
        <w:t>购买、赎回等交易后，需通过销售机构提供的渠道查询相关交易的确认情况，最终以甲方确认的产品购买金额、份额或赎回份额等作为《理财产品销售协议书》生效或终止的依据。</w:t>
      </w:r>
    </w:p>
    <w:p w14:paraId="0B424C33" w14:textId="77777777" w:rsidR="00470404" w:rsidRDefault="00FB533B">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如乙方购买理财产品后，又变更该笔认</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申购的具体内容（包括但不限于交易变更、金额变更、授权指定账户变更、投资者信息变更等），则以双方最近一次交易达成的交易内容为准。</w:t>
      </w:r>
    </w:p>
    <w:p w14:paraId="679608F2" w14:textId="77777777" w:rsidR="00470404" w:rsidRDefault="00FB533B">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11.</w:t>
      </w:r>
      <w:r>
        <w:rPr>
          <w:rFonts w:ascii="方正黑体_GBK" w:eastAsia="方正黑体_GBK" w:hAnsi="Times New Roman" w:hint="eastAsia"/>
          <w:b/>
          <w:bCs/>
          <w:spacing w:val="10"/>
          <w:sz w:val="15"/>
          <w:szCs w:val="15"/>
        </w:rPr>
        <w:t>乙方声明</w:t>
      </w:r>
    </w:p>
    <w:p w14:paraId="3C8F7105" w14:textId="77777777" w:rsidR="00470404" w:rsidRDefault="00FB533B">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在签署本理财产品协议书以前，甲方或销售机构已根据本理财产品协议书及有关交易文件的条款就乙方提出的疑问向乙方进行了详细的说明和解释，乙方已认真阅读本理财产品协议条款及对应期次</w:t>
      </w:r>
      <w:r>
        <w:rPr>
          <w:rFonts w:ascii="方正黑体_GBK" w:eastAsia="方正黑体_GBK" w:hAnsi="Times New Roman" w:hint="eastAsia"/>
          <w:b/>
          <w:spacing w:val="10"/>
          <w:sz w:val="15"/>
          <w:szCs w:val="15"/>
        </w:rPr>
        <w:t>的《理财产品说明书》和《理财产品风险揭示书》</w:t>
      </w:r>
      <w:r>
        <w:rPr>
          <w:rFonts w:ascii="方正黑体_GBK" w:eastAsia="方正黑体_GBK" w:hAnsi="Times New Roman" w:hint="eastAsia"/>
          <w:b/>
          <w:bCs/>
          <w:spacing w:val="10"/>
          <w:sz w:val="15"/>
          <w:szCs w:val="15"/>
        </w:rPr>
        <w:t>《投资者权益须知》</w:t>
      </w:r>
      <w:r>
        <w:rPr>
          <w:rFonts w:ascii="方正黑体_GBK" w:eastAsia="方正黑体_GBK" w:hAnsi="Times New Roman" w:hint="eastAsia"/>
          <w:b/>
          <w:spacing w:val="10"/>
          <w:sz w:val="15"/>
          <w:szCs w:val="15"/>
        </w:rPr>
        <w:t>《理财产品投资协议书》，其愿意承担投资风险，并对协议双方的权利、义务、责任与风险有清楚和准确的认知且对有关条款不存在任何疑问或异议。乙方充分认识到投资本期理财产品可能面临的风险，并自愿承担相关风险，特此确认。</w:t>
      </w:r>
    </w:p>
    <w:p w14:paraId="534B7E07" w14:textId="77777777" w:rsidR="00470404" w:rsidRDefault="00FB533B">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乙方授权甲方、销售机构于募集期或开放期或投资冷静期（私募产品适用）结束后从乙方授权指定账户扣划相应的认购或申购资金。对此甲方、销售机构无需另行征得乙方同意或给予通知，无需在划款时以电话等方式与乙方进行最后确认。对于风险较高或投资者单笔购买金额较大的理财产品，同样适用上述划款操作规则。</w:t>
      </w:r>
    </w:p>
    <w:p w14:paraId="75DEF3FE" w14:textId="77777777" w:rsidR="00470404" w:rsidRDefault="00FB533B">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12.</w:t>
      </w:r>
      <w:r>
        <w:rPr>
          <w:rFonts w:ascii="方正黑体_GBK" w:eastAsia="方正黑体_GBK" w:hAnsi="Times New Roman" w:hint="eastAsia"/>
          <w:b/>
          <w:bCs/>
          <w:spacing w:val="10"/>
          <w:sz w:val="15"/>
          <w:szCs w:val="15"/>
        </w:rPr>
        <w:t>本协议为理财产品销售文件不可分割之组成部分，乙方签署本协议视为同时同意并确认了对应期次的《理财产品说明书》《理财产品风险揭示书》《投资者权益须知》《理财产品投资协议书》等理财产品销售文件的相关条款。</w:t>
      </w:r>
    </w:p>
    <w:p w14:paraId="512E8B52" w14:textId="77777777" w:rsidR="00470404" w:rsidRDefault="00470404">
      <w:pPr>
        <w:spacing w:line="200" w:lineRule="exact"/>
        <w:ind w:firstLineChars="200" w:firstLine="340"/>
        <w:rPr>
          <w:rFonts w:ascii="方正黑体_GBK" w:eastAsia="方正黑体_GBK" w:hAnsi="Times New Roman"/>
          <w:spacing w:val="10"/>
          <w:sz w:val="15"/>
          <w:szCs w:val="15"/>
        </w:rPr>
      </w:pPr>
    </w:p>
    <w:p w14:paraId="72D6137A" w14:textId="77777777" w:rsidR="00470404" w:rsidRDefault="00470404">
      <w:pPr>
        <w:spacing w:line="200" w:lineRule="exact"/>
        <w:ind w:firstLineChars="200" w:firstLine="340"/>
        <w:rPr>
          <w:rFonts w:ascii="方正黑体_GBK" w:eastAsia="方正黑体_GBK" w:hAnsi="Times New Roman"/>
          <w:spacing w:val="10"/>
          <w:sz w:val="15"/>
          <w:szCs w:val="15"/>
        </w:rPr>
      </w:pPr>
    </w:p>
    <w:tbl>
      <w:tblPr>
        <w:tblW w:w="0" w:type="auto"/>
        <w:tblLayout w:type="fixed"/>
        <w:tblLook w:val="04A0" w:firstRow="1" w:lastRow="0" w:firstColumn="1" w:lastColumn="0" w:noHBand="0" w:noVBand="1"/>
      </w:tblPr>
      <w:tblGrid>
        <w:gridCol w:w="5341"/>
        <w:gridCol w:w="5341"/>
      </w:tblGrid>
      <w:tr w:rsidR="00470404" w14:paraId="28BEBCE2" w14:textId="77777777">
        <w:tc>
          <w:tcPr>
            <w:tcW w:w="5341" w:type="dxa"/>
          </w:tcPr>
          <w:p w14:paraId="202685A6" w14:textId="77777777" w:rsidR="00470404" w:rsidRDefault="00FB533B">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个人投资者（如适用）：</w:t>
            </w:r>
          </w:p>
        </w:tc>
        <w:tc>
          <w:tcPr>
            <w:tcW w:w="5341" w:type="dxa"/>
          </w:tcPr>
          <w:p w14:paraId="08737034" w14:textId="77777777" w:rsidR="00470404" w:rsidRDefault="00FB533B">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机构投资者（如适用）：</w:t>
            </w:r>
          </w:p>
        </w:tc>
      </w:tr>
      <w:tr w:rsidR="00470404" w14:paraId="11BAC085" w14:textId="77777777">
        <w:tc>
          <w:tcPr>
            <w:tcW w:w="5341" w:type="dxa"/>
          </w:tcPr>
          <w:p w14:paraId="005D0FFC" w14:textId="77777777" w:rsidR="00470404" w:rsidRDefault="00470404">
            <w:pPr>
              <w:spacing w:line="200" w:lineRule="exact"/>
              <w:ind w:firstLineChars="200" w:firstLine="340"/>
              <w:rPr>
                <w:rFonts w:ascii="方正黑体_GBK" w:eastAsia="方正黑体_GBK" w:hAnsi="Times New Roman"/>
                <w:spacing w:val="10"/>
                <w:sz w:val="15"/>
                <w:szCs w:val="15"/>
              </w:rPr>
            </w:pPr>
          </w:p>
          <w:p w14:paraId="3CB850D6" w14:textId="77777777" w:rsidR="00470404" w:rsidRDefault="00FB533B">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投资者：（签名）</w:t>
            </w:r>
          </w:p>
          <w:p w14:paraId="5C001A9A" w14:textId="77777777" w:rsidR="00470404" w:rsidRDefault="00470404">
            <w:pPr>
              <w:spacing w:line="200" w:lineRule="exact"/>
              <w:ind w:firstLineChars="400" w:firstLine="680"/>
              <w:rPr>
                <w:rFonts w:ascii="方正黑体_GBK" w:eastAsia="方正黑体_GBK" w:hAnsi="Times New Roman"/>
                <w:spacing w:val="10"/>
                <w:sz w:val="15"/>
                <w:szCs w:val="15"/>
              </w:rPr>
            </w:pPr>
          </w:p>
          <w:p w14:paraId="65CFB337" w14:textId="77777777" w:rsidR="00470404" w:rsidRDefault="00470404">
            <w:pPr>
              <w:spacing w:line="200" w:lineRule="exact"/>
              <w:ind w:firstLineChars="500" w:firstLine="850"/>
              <w:rPr>
                <w:rFonts w:ascii="方正黑体_GBK" w:eastAsia="方正黑体_GBK" w:hAnsi="Times New Roman"/>
                <w:spacing w:val="10"/>
                <w:sz w:val="15"/>
                <w:szCs w:val="15"/>
              </w:rPr>
            </w:pPr>
          </w:p>
          <w:p w14:paraId="2E1A87D7" w14:textId="77777777" w:rsidR="00470404" w:rsidRDefault="00FB533B">
            <w:pPr>
              <w:spacing w:line="200" w:lineRule="exact"/>
              <w:ind w:firstLineChars="500" w:firstLine="85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c>
          <w:tcPr>
            <w:tcW w:w="5341" w:type="dxa"/>
          </w:tcPr>
          <w:p w14:paraId="1B9F8420" w14:textId="77777777" w:rsidR="00470404" w:rsidRDefault="00470404">
            <w:pPr>
              <w:spacing w:line="200" w:lineRule="exact"/>
              <w:ind w:firstLineChars="200" w:firstLine="340"/>
              <w:rPr>
                <w:rFonts w:ascii="方正黑体_GBK" w:eastAsia="方正黑体_GBK" w:hAnsi="Times New Roman"/>
                <w:spacing w:val="10"/>
                <w:sz w:val="15"/>
                <w:szCs w:val="15"/>
              </w:rPr>
            </w:pPr>
          </w:p>
          <w:p w14:paraId="5B40D42D" w14:textId="77777777" w:rsidR="00470404" w:rsidRDefault="00FB533B">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投资者：（公章或合同专用章）</w:t>
            </w:r>
          </w:p>
          <w:p w14:paraId="20B7D969" w14:textId="77777777" w:rsidR="00470404" w:rsidRDefault="00470404">
            <w:pPr>
              <w:spacing w:line="200" w:lineRule="exact"/>
              <w:rPr>
                <w:rFonts w:ascii="方正黑体_GBK" w:eastAsia="方正黑体_GBK" w:hAnsi="Times New Roman"/>
                <w:spacing w:val="10"/>
                <w:sz w:val="15"/>
                <w:szCs w:val="15"/>
              </w:rPr>
            </w:pPr>
          </w:p>
          <w:p w14:paraId="01DB583E" w14:textId="77777777" w:rsidR="00470404" w:rsidRDefault="00470404">
            <w:pPr>
              <w:spacing w:line="200" w:lineRule="exact"/>
              <w:rPr>
                <w:rFonts w:ascii="方正黑体_GBK" w:eastAsia="方正黑体_GBK" w:hAnsi="Times New Roman"/>
                <w:spacing w:val="10"/>
                <w:sz w:val="15"/>
                <w:szCs w:val="15"/>
              </w:rPr>
            </w:pPr>
          </w:p>
          <w:p w14:paraId="11464764" w14:textId="77777777" w:rsidR="00470404" w:rsidRDefault="00FB533B">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法定代表人或授权代理人：（签名或盖章）</w:t>
            </w:r>
          </w:p>
          <w:p w14:paraId="6A428ADF" w14:textId="77777777" w:rsidR="00470404" w:rsidRDefault="00470404">
            <w:pPr>
              <w:spacing w:line="200" w:lineRule="exact"/>
              <w:ind w:firstLineChars="400" w:firstLine="680"/>
              <w:rPr>
                <w:rFonts w:ascii="方正黑体_GBK" w:eastAsia="方正黑体_GBK" w:hAnsi="Times New Roman"/>
                <w:spacing w:val="10"/>
                <w:sz w:val="15"/>
                <w:szCs w:val="15"/>
              </w:rPr>
            </w:pPr>
          </w:p>
          <w:p w14:paraId="5AA285EC" w14:textId="77777777" w:rsidR="00470404" w:rsidRDefault="00FB533B">
            <w:pPr>
              <w:spacing w:line="200" w:lineRule="exact"/>
              <w:ind w:firstLineChars="400" w:firstLine="68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r>
    </w:tbl>
    <w:p w14:paraId="73A308E7" w14:textId="77777777" w:rsidR="00470404" w:rsidRDefault="00470404">
      <w:pPr>
        <w:spacing w:line="200" w:lineRule="exact"/>
        <w:rPr>
          <w:rFonts w:ascii="方正黑体_GBK" w:eastAsia="方正黑体_GBK" w:hAnsi="Times New Roman"/>
          <w:spacing w:val="10"/>
          <w:sz w:val="15"/>
          <w:szCs w:val="15"/>
        </w:rPr>
        <w:sectPr w:rsidR="00470404">
          <w:pgSz w:w="11906" w:h="16838"/>
          <w:pgMar w:top="720" w:right="720" w:bottom="720" w:left="720" w:header="510" w:footer="624" w:gutter="0"/>
          <w:cols w:space="720"/>
          <w:docGrid w:type="lines" w:linePitch="312"/>
        </w:sectPr>
      </w:pPr>
    </w:p>
    <w:p w14:paraId="62DCE29A" w14:textId="77777777" w:rsidR="00470404" w:rsidRDefault="00FB533B">
      <w:pPr>
        <w:jc w:val="center"/>
        <w:rPr>
          <w:rFonts w:ascii="黑体" w:eastAsia="黑体" w:hAnsi="宋体"/>
          <w:b/>
          <w:bCs/>
          <w:sz w:val="24"/>
          <w:szCs w:val="15"/>
        </w:rPr>
      </w:pPr>
      <w:r>
        <w:rPr>
          <w:rFonts w:ascii="黑体" w:eastAsia="黑体" w:hAnsi="宋体" w:hint="eastAsia"/>
          <w:b/>
          <w:bCs/>
          <w:sz w:val="24"/>
          <w:szCs w:val="15"/>
        </w:rPr>
        <w:t>投资者权益须知</w:t>
      </w:r>
    </w:p>
    <w:p w14:paraId="02144989" w14:textId="77777777" w:rsidR="00470404" w:rsidRDefault="00470404">
      <w:pPr>
        <w:ind w:firstLineChars="200" w:firstLine="321"/>
        <w:jc w:val="center"/>
        <w:rPr>
          <w:rFonts w:ascii="宋体" w:hAnsi="宋体"/>
          <w:b/>
          <w:i/>
          <w:sz w:val="16"/>
          <w:szCs w:val="15"/>
          <w:u w:val="single"/>
        </w:rPr>
      </w:pPr>
    </w:p>
    <w:p w14:paraId="39528DC6" w14:textId="77777777" w:rsidR="00470404" w:rsidRDefault="00FB533B">
      <w:pPr>
        <w:ind w:firstLineChars="200" w:firstLine="321"/>
        <w:jc w:val="center"/>
        <w:rPr>
          <w:rFonts w:ascii="宋体" w:hAnsi="宋体"/>
          <w:b/>
          <w:i/>
          <w:sz w:val="16"/>
          <w:szCs w:val="15"/>
          <w:u w:val="single"/>
        </w:rPr>
      </w:pPr>
      <w:r>
        <w:rPr>
          <w:rFonts w:ascii="宋体" w:hAnsi="宋体" w:hint="eastAsia"/>
          <w:b/>
          <w:i/>
          <w:sz w:val="16"/>
          <w:szCs w:val="15"/>
          <w:u w:val="single"/>
        </w:rPr>
        <w:t>“理财非存款、产品有风险、理财产品过往业绩不代表其未来表现，不等于理财产品实际收益，投资须谨慎！”</w:t>
      </w:r>
      <w:r>
        <w:rPr>
          <w:rFonts w:ascii="宋体" w:hAnsi="宋体" w:hint="eastAsia"/>
          <w:b/>
          <w:i/>
          <w:sz w:val="16"/>
          <w:szCs w:val="15"/>
          <w:u w:val="single"/>
        </w:rPr>
        <w:t xml:space="preserve"> </w:t>
      </w:r>
    </w:p>
    <w:p w14:paraId="5FC39FDF" w14:textId="77777777" w:rsidR="00470404" w:rsidRDefault="00FB533B">
      <w:pPr>
        <w:pStyle w:val="a5"/>
        <w:spacing w:before="0" w:after="0" w:line="240" w:lineRule="auto"/>
        <w:ind w:firstLine="0"/>
        <w:rPr>
          <w:color w:val="auto"/>
          <w:spacing w:val="10"/>
          <w:kern w:val="2"/>
          <w:sz w:val="15"/>
          <w:szCs w:val="15"/>
        </w:rPr>
      </w:pPr>
      <w:r>
        <w:rPr>
          <w:rFonts w:hint="eastAsia"/>
          <w:color w:val="auto"/>
          <w:spacing w:val="10"/>
          <w:kern w:val="2"/>
          <w:sz w:val="15"/>
          <w:szCs w:val="15"/>
        </w:rPr>
        <w:t>尊敬的投资者：</w:t>
      </w:r>
    </w:p>
    <w:p w14:paraId="73F24B54" w14:textId="77777777" w:rsidR="00470404" w:rsidRDefault="00FB533B">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理财产品在投资并获取收益的同时也存在投资风险。为了方便您办理南银理财有限责任公司（以下简称“南银理财”或“管理人”）理财业务，保护投资者（以下简称“投资者”）的合法权益，请在投资本理财产品前认真阅读以下内容：</w:t>
      </w:r>
    </w:p>
    <w:p w14:paraId="13112D63" w14:textId="77777777" w:rsidR="00470404" w:rsidRDefault="00FB533B">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本理财产品指由南银理财作为管理人发行，并由</w:t>
      </w:r>
      <w:permStart w:id="854742232" w:edGrp="everyone"/>
      <w:r>
        <w:rPr>
          <w:rFonts w:hint="eastAsia"/>
          <w:spacing w:val="10"/>
          <w:sz w:val="15"/>
          <w:szCs w:val="15"/>
        </w:rPr>
        <w:t>张家港</w:t>
      </w:r>
      <w:r>
        <w:rPr>
          <w:rFonts w:hint="eastAsia"/>
          <w:spacing w:val="10"/>
          <w:sz w:val="15"/>
          <w:szCs w:val="15"/>
        </w:rPr>
        <w:t>农村商业银行股份有限公司</w:t>
      </w:r>
      <w:permEnd w:id="854742232"/>
      <w:r>
        <w:rPr>
          <w:rFonts w:hint="eastAsia"/>
          <w:color w:val="auto"/>
          <w:spacing w:val="10"/>
          <w:kern w:val="2"/>
          <w:sz w:val="15"/>
          <w:szCs w:val="15"/>
        </w:rPr>
        <w:t>（以下简称“销售机构”）销售的理财产品。</w:t>
      </w:r>
    </w:p>
    <w:p w14:paraId="3E16C885" w14:textId="77777777" w:rsidR="00470404" w:rsidRDefault="00FB533B">
      <w:pPr>
        <w:pStyle w:val="a5"/>
        <w:spacing w:line="240" w:lineRule="auto"/>
        <w:ind w:left="341" w:firstLine="0"/>
        <w:jc w:val="both"/>
        <w:rPr>
          <w:b/>
          <w:color w:val="auto"/>
          <w:spacing w:val="10"/>
          <w:kern w:val="2"/>
          <w:sz w:val="15"/>
          <w:szCs w:val="15"/>
        </w:rPr>
      </w:pPr>
      <w:r>
        <w:rPr>
          <w:rFonts w:hint="eastAsia"/>
          <w:b/>
          <w:color w:val="auto"/>
          <w:spacing w:val="10"/>
          <w:kern w:val="2"/>
          <w:sz w:val="15"/>
          <w:szCs w:val="15"/>
        </w:rPr>
        <w:t>第一条</w:t>
      </w:r>
      <w:r>
        <w:rPr>
          <w:rFonts w:hint="eastAsia"/>
          <w:b/>
          <w:color w:val="auto"/>
          <w:spacing w:val="10"/>
          <w:kern w:val="2"/>
          <w:sz w:val="15"/>
          <w:szCs w:val="15"/>
        </w:rPr>
        <w:t xml:space="preserve"> </w:t>
      </w:r>
      <w:r>
        <w:rPr>
          <w:rFonts w:hint="eastAsia"/>
          <w:b/>
          <w:color w:val="auto"/>
          <w:spacing w:val="10"/>
          <w:kern w:val="2"/>
          <w:sz w:val="15"/>
          <w:szCs w:val="15"/>
        </w:rPr>
        <w:t>理财产品购买流程说明</w:t>
      </w:r>
    </w:p>
    <w:p w14:paraId="32AC01F8" w14:textId="77777777" w:rsidR="00470404" w:rsidRDefault="00FB533B">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（一）首次在销售机构购买理财产品的投资者应按销售机构的要求明确授权指定账户，用于本理财产品的理财资金划转及理财收益、到期清算分配资金的分配，提供并确认正确的联</w:t>
      </w:r>
      <w:r>
        <w:rPr>
          <w:rFonts w:hint="eastAsia"/>
          <w:bCs/>
          <w:color w:val="auto"/>
          <w:spacing w:val="10"/>
          <w:kern w:val="2"/>
          <w:sz w:val="15"/>
          <w:szCs w:val="15"/>
        </w:rPr>
        <w:t>系方式。</w:t>
      </w:r>
    </w:p>
    <w:p w14:paraId="54AA199E" w14:textId="77777777" w:rsidR="00470404" w:rsidRDefault="00FB533B">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（二）在销售机构购买理财产品的个人投资者应按销售机构的要求进行投资者风险承受能力评估，并确认风险承受能力等级不低于本理财产品风险等级。</w:t>
      </w:r>
    </w:p>
    <w:p w14:paraId="737F2D0B" w14:textId="77777777" w:rsidR="00470404" w:rsidRDefault="00FB533B">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（三）投资者应仔细阅读拟购买理财产品销售文件（以下简称“销售文件”），包括但不限于理财产品对应的：《理财产品销售协议书》《理财产品说明书》《理财产品风险揭示书》《投资者权益须知》</w:t>
      </w:r>
      <w:r>
        <w:rPr>
          <w:bCs/>
          <w:spacing w:val="10"/>
          <w:sz w:val="15"/>
          <w:szCs w:val="15"/>
        </w:rPr>
        <w:t>《</w:t>
      </w:r>
      <w:r>
        <w:rPr>
          <w:bCs/>
          <w:spacing w:val="10"/>
          <w:kern w:val="2"/>
          <w:sz w:val="15"/>
          <w:szCs w:val="15"/>
        </w:rPr>
        <w:t>理财产品投资协议书》</w:t>
      </w:r>
      <w:r>
        <w:rPr>
          <w:rFonts w:hint="eastAsia"/>
          <w:bCs/>
          <w:color w:val="auto"/>
          <w:spacing w:val="10"/>
          <w:kern w:val="2"/>
          <w:sz w:val="15"/>
          <w:szCs w:val="15"/>
        </w:rPr>
        <w:t>等，理解并确认理财产品条款及产品风险。</w:t>
      </w:r>
    </w:p>
    <w:p w14:paraId="285D3791" w14:textId="77777777" w:rsidR="00470404" w:rsidRDefault="00FB533B">
      <w:pPr>
        <w:pStyle w:val="a5"/>
        <w:spacing w:before="0" w:after="0" w:line="240" w:lineRule="auto"/>
        <w:ind w:firstLine="480"/>
        <w:jc w:val="both"/>
        <w:rPr>
          <w:bCs/>
          <w:color w:val="auto"/>
          <w:spacing w:val="10"/>
          <w:kern w:val="2"/>
          <w:sz w:val="15"/>
          <w:szCs w:val="15"/>
        </w:rPr>
      </w:pPr>
      <w:r>
        <w:rPr>
          <w:rFonts w:hint="eastAsia"/>
          <w:bCs/>
          <w:color w:val="auto"/>
          <w:spacing w:val="10"/>
          <w:kern w:val="2"/>
          <w:sz w:val="15"/>
          <w:szCs w:val="15"/>
        </w:rPr>
        <w:t>投资者在销售机构提供的渠道自主决定是否购买理财产品，确定购买金额，完成交易申请，并在确认份额后进行查询。</w:t>
      </w:r>
    </w:p>
    <w:p w14:paraId="30314A44" w14:textId="77777777" w:rsidR="00470404" w:rsidRDefault="00FB533B">
      <w:pPr>
        <w:pStyle w:val="a5"/>
        <w:spacing w:before="0" w:after="0" w:line="240" w:lineRule="auto"/>
        <w:ind w:firstLineChars="204" w:firstLine="347"/>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、理财签约</w:t>
      </w:r>
    </w:p>
    <w:p w14:paraId="0902F99A" w14:textId="77777777" w:rsidR="00470404" w:rsidRDefault="00FB533B">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首次购买理财的个人投资者须进行风险承受能力评估（详见第二条）和理财签约。</w:t>
      </w:r>
    </w:p>
    <w:p w14:paraId="6F2F3DBC" w14:textId="77777777" w:rsidR="00470404" w:rsidRDefault="00FB533B">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w:t>
      </w:r>
    </w:p>
    <w:p w14:paraId="2A725ADC" w14:textId="77777777" w:rsidR="00470404" w:rsidRDefault="00FB533B">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个人投资者自主决定是否购买理财产品。在理财产品募集期</w:t>
      </w:r>
      <w:r>
        <w:rPr>
          <w:bCs/>
          <w:color w:val="auto"/>
          <w:spacing w:val="10"/>
          <w:kern w:val="2"/>
          <w:sz w:val="15"/>
          <w:szCs w:val="15"/>
        </w:rPr>
        <w:t>/</w:t>
      </w:r>
      <w:r>
        <w:rPr>
          <w:rFonts w:hint="eastAsia"/>
          <w:bCs/>
          <w:color w:val="auto"/>
          <w:spacing w:val="10"/>
          <w:kern w:val="2"/>
          <w:sz w:val="15"/>
          <w:szCs w:val="15"/>
        </w:rPr>
        <w:t>开放期销售时段内，个人投资者需通过相关电子渠道仔细阅读理财产品销售文件，根据认购</w:t>
      </w:r>
      <w:r>
        <w:rPr>
          <w:bCs/>
          <w:color w:val="auto"/>
          <w:spacing w:val="10"/>
          <w:kern w:val="2"/>
          <w:sz w:val="15"/>
          <w:szCs w:val="15"/>
        </w:rPr>
        <w:t>/</w:t>
      </w:r>
      <w:r>
        <w:rPr>
          <w:rFonts w:hint="eastAsia"/>
          <w:bCs/>
          <w:color w:val="auto"/>
          <w:spacing w:val="10"/>
          <w:kern w:val="2"/>
          <w:sz w:val="15"/>
          <w:szCs w:val="15"/>
        </w:rPr>
        <w:t>申购流程逐项点击确认进行购买，认</w:t>
      </w:r>
      <w:r>
        <w:rPr>
          <w:bCs/>
          <w:color w:val="auto"/>
          <w:spacing w:val="10"/>
          <w:kern w:val="2"/>
          <w:sz w:val="15"/>
          <w:szCs w:val="15"/>
        </w:rPr>
        <w:t>/</w:t>
      </w:r>
      <w:r>
        <w:rPr>
          <w:rFonts w:hint="eastAsia"/>
          <w:bCs/>
          <w:color w:val="auto"/>
          <w:spacing w:val="10"/>
          <w:kern w:val="2"/>
          <w:sz w:val="15"/>
          <w:szCs w:val="15"/>
        </w:rPr>
        <w:t>申购结果以在该等电子渠道的查询结果为准。</w:t>
      </w:r>
    </w:p>
    <w:p w14:paraId="0FB205D0" w14:textId="77777777" w:rsidR="00470404" w:rsidRDefault="00FB533B">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申购申请撤销。个人投资者在理财产品认购期</w:t>
      </w:r>
      <w:r>
        <w:rPr>
          <w:bCs/>
          <w:color w:val="auto"/>
          <w:spacing w:val="10"/>
          <w:kern w:val="2"/>
          <w:sz w:val="15"/>
          <w:szCs w:val="15"/>
        </w:rPr>
        <w:t>/</w:t>
      </w:r>
      <w:r>
        <w:rPr>
          <w:rFonts w:hint="eastAsia"/>
          <w:bCs/>
          <w:color w:val="auto"/>
          <w:spacing w:val="10"/>
          <w:kern w:val="2"/>
          <w:sz w:val="15"/>
          <w:szCs w:val="15"/>
        </w:rPr>
        <w:t>募集期</w:t>
      </w:r>
      <w:r>
        <w:rPr>
          <w:bCs/>
          <w:color w:val="auto"/>
          <w:spacing w:val="10"/>
          <w:kern w:val="2"/>
          <w:sz w:val="15"/>
          <w:szCs w:val="15"/>
        </w:rPr>
        <w:t>/</w:t>
      </w:r>
      <w:r>
        <w:rPr>
          <w:rFonts w:hint="eastAsia"/>
          <w:bCs/>
          <w:color w:val="auto"/>
          <w:spacing w:val="10"/>
          <w:kern w:val="2"/>
          <w:sz w:val="15"/>
          <w:szCs w:val="15"/>
        </w:rPr>
        <w:t>开放期</w:t>
      </w:r>
      <w:r>
        <w:rPr>
          <w:bCs/>
          <w:color w:val="auto"/>
          <w:spacing w:val="10"/>
          <w:kern w:val="2"/>
          <w:sz w:val="15"/>
          <w:szCs w:val="15"/>
        </w:rPr>
        <w:t>/</w:t>
      </w:r>
      <w:r>
        <w:rPr>
          <w:rFonts w:hint="eastAsia"/>
          <w:bCs/>
          <w:color w:val="auto"/>
          <w:spacing w:val="10"/>
          <w:kern w:val="2"/>
          <w:sz w:val="15"/>
          <w:szCs w:val="15"/>
        </w:rPr>
        <w:t>投资冷静期（私募产品适用）内，可以撤销理财产品相应的认</w:t>
      </w:r>
      <w:r>
        <w:rPr>
          <w:bCs/>
          <w:color w:val="auto"/>
          <w:spacing w:val="10"/>
          <w:kern w:val="2"/>
          <w:sz w:val="15"/>
          <w:szCs w:val="15"/>
        </w:rPr>
        <w:t>/</w:t>
      </w:r>
      <w:r>
        <w:rPr>
          <w:rFonts w:hint="eastAsia"/>
          <w:bCs/>
          <w:color w:val="auto"/>
          <w:spacing w:val="10"/>
          <w:kern w:val="2"/>
          <w:sz w:val="15"/>
          <w:szCs w:val="15"/>
        </w:rPr>
        <w:t>申购申请。</w:t>
      </w:r>
    </w:p>
    <w:p w14:paraId="20EC89B3" w14:textId="77777777" w:rsidR="00470404" w:rsidRDefault="00FB533B">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4</w:t>
      </w:r>
      <w:r>
        <w:rPr>
          <w:rFonts w:hint="eastAsia"/>
          <w:bCs/>
          <w:color w:val="auto"/>
          <w:spacing w:val="10"/>
          <w:kern w:val="2"/>
          <w:sz w:val="15"/>
          <w:szCs w:val="15"/>
        </w:rPr>
        <w:t>、理财产品提前终止、赎回</w:t>
      </w:r>
      <w:r>
        <w:rPr>
          <w:bCs/>
          <w:color w:val="auto"/>
          <w:spacing w:val="10"/>
          <w:kern w:val="2"/>
          <w:sz w:val="15"/>
          <w:szCs w:val="15"/>
        </w:rPr>
        <w:t>/</w:t>
      </w:r>
      <w:r>
        <w:rPr>
          <w:rFonts w:hint="eastAsia"/>
          <w:bCs/>
          <w:color w:val="auto"/>
          <w:spacing w:val="10"/>
          <w:kern w:val="2"/>
          <w:sz w:val="15"/>
          <w:szCs w:val="15"/>
        </w:rPr>
        <w:t>到期兑付和税收。</w:t>
      </w:r>
    </w:p>
    <w:p w14:paraId="67B6D2E6" w14:textId="77777777" w:rsidR="00470404" w:rsidRDefault="00FB533B">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提前终止—当</w:t>
      </w:r>
      <w:r>
        <w:rPr>
          <w:rFonts w:hint="eastAsia"/>
          <w:bCs/>
          <w:color w:val="auto"/>
          <w:spacing w:val="10"/>
          <w:kern w:val="2"/>
          <w:sz w:val="15"/>
          <w:szCs w:val="15"/>
        </w:rPr>
        <w:t>理财产品发生全部提前终止时，南银理财和代销机构应当按照对应期次理财产品销售文件约定的方式向个人投资者告知相应理财产品的提前终止事宜。</w:t>
      </w:r>
    </w:p>
    <w:p w14:paraId="7F51181F" w14:textId="77777777" w:rsidR="00470404" w:rsidRDefault="00FB533B">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赎回</w:t>
      </w:r>
      <w:r>
        <w:rPr>
          <w:bCs/>
          <w:color w:val="auto"/>
          <w:spacing w:val="10"/>
          <w:kern w:val="2"/>
          <w:sz w:val="15"/>
          <w:szCs w:val="15"/>
        </w:rPr>
        <w:t>/</w:t>
      </w:r>
      <w:r>
        <w:rPr>
          <w:rFonts w:hint="eastAsia"/>
          <w:bCs/>
          <w:color w:val="auto"/>
          <w:spacing w:val="10"/>
          <w:kern w:val="2"/>
          <w:sz w:val="15"/>
          <w:szCs w:val="15"/>
        </w:rPr>
        <w:t>到期兑付—南银理财和代销机构应当按照对应期次的理财产品销售文件的相关约定，将赎回兑付款项划入销售文件约定的个人投资者授权指定账户。如果发生特殊情形，造成本理财产品的投资资产无法及时、足额变现，南银理财可以根据实际情况选择向个人投资者提前兑付、延迟兑付或者分次兑付，并及时根据法律法规的要求向个人投资者披露兑付方案。</w:t>
      </w:r>
    </w:p>
    <w:p w14:paraId="454D1C3B" w14:textId="77777777" w:rsidR="00470404" w:rsidRDefault="00FB533B">
      <w:pPr>
        <w:pStyle w:val="a5"/>
        <w:spacing w:before="0" w:after="0" w:line="240" w:lineRule="auto"/>
        <w:ind w:firstLineChars="200" w:firstLine="340"/>
        <w:jc w:val="both"/>
        <w:rPr>
          <w:b/>
          <w:color w:val="auto"/>
          <w:spacing w:val="10"/>
          <w:kern w:val="2"/>
          <w:sz w:val="15"/>
          <w:szCs w:val="15"/>
        </w:rPr>
      </w:pPr>
      <w:r>
        <w:rPr>
          <w:rFonts w:hint="eastAsia"/>
          <w:bCs/>
          <w:color w:val="auto"/>
          <w:spacing w:val="10"/>
          <w:kern w:val="2"/>
          <w:sz w:val="15"/>
          <w:szCs w:val="15"/>
        </w:rPr>
        <w:t>税收—以对应期次的《理财产品说明书》约定的税务处理方式为</w:t>
      </w:r>
      <w:r>
        <w:rPr>
          <w:rFonts w:hint="eastAsia"/>
          <w:bCs/>
          <w:color w:val="auto"/>
          <w:spacing w:val="10"/>
          <w:kern w:val="2"/>
          <w:sz w:val="15"/>
          <w:szCs w:val="15"/>
        </w:rPr>
        <w:t>准，如遇国家政策调整则相应执行最新政策。</w:t>
      </w:r>
    </w:p>
    <w:p w14:paraId="7DA6F35E" w14:textId="77777777" w:rsidR="00470404" w:rsidRDefault="00FB533B">
      <w:pPr>
        <w:pStyle w:val="a5"/>
        <w:spacing w:before="0" w:after="0" w:line="240" w:lineRule="auto"/>
        <w:ind w:firstLineChars="200" w:firstLine="341"/>
        <w:jc w:val="both"/>
        <w:rPr>
          <w:bCs/>
          <w:color w:val="auto"/>
          <w:spacing w:val="10"/>
          <w:kern w:val="2"/>
          <w:sz w:val="15"/>
          <w:szCs w:val="15"/>
        </w:rPr>
      </w:pPr>
      <w:r>
        <w:rPr>
          <w:rFonts w:hint="eastAsia"/>
          <w:b/>
          <w:color w:val="auto"/>
          <w:spacing w:val="10"/>
          <w:kern w:val="2"/>
          <w:sz w:val="15"/>
          <w:szCs w:val="15"/>
        </w:rPr>
        <w:t>第二条</w:t>
      </w:r>
      <w:r>
        <w:rPr>
          <w:b/>
          <w:color w:val="auto"/>
          <w:spacing w:val="10"/>
          <w:kern w:val="2"/>
          <w:sz w:val="15"/>
          <w:szCs w:val="15"/>
        </w:rPr>
        <w:t xml:space="preserve"> </w:t>
      </w:r>
      <w:r>
        <w:rPr>
          <w:rFonts w:hint="eastAsia"/>
          <w:b/>
          <w:color w:val="auto"/>
          <w:spacing w:val="10"/>
          <w:kern w:val="2"/>
          <w:sz w:val="15"/>
          <w:szCs w:val="15"/>
        </w:rPr>
        <w:t>投资者风险承受能力评估流程说明</w:t>
      </w:r>
    </w:p>
    <w:p w14:paraId="033A7AD9" w14:textId="77777777" w:rsidR="00470404" w:rsidRDefault="00FB533B">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（一）个人投资者风险承受能力评估流程说明</w:t>
      </w:r>
    </w:p>
    <w:p w14:paraId="176F84AE" w14:textId="77777777" w:rsidR="00470404" w:rsidRDefault="00FB533B">
      <w:pPr>
        <w:pStyle w:val="a5"/>
        <w:spacing w:before="0" w:after="0" w:line="240" w:lineRule="auto"/>
        <w:ind w:firstLine="338"/>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w:t>
      </w:r>
      <w:r>
        <w:rPr>
          <w:rFonts w:hint="eastAsia"/>
          <w:bCs/>
          <w:color w:val="auto"/>
          <w:spacing w:val="10"/>
          <w:kern w:val="2"/>
          <w:sz w:val="15"/>
          <w:szCs w:val="15"/>
        </w:rPr>
        <w:t>个人投资者首次通过销售机构购买理财产品时应根据销售机构的要求进行风险承受能力评估。</w:t>
      </w:r>
    </w:p>
    <w:p w14:paraId="2E895014" w14:textId="77777777" w:rsidR="00470404" w:rsidRDefault="00FB533B">
      <w:pPr>
        <w:pStyle w:val="a5"/>
        <w:spacing w:before="0" w:after="0" w:line="240" w:lineRule="auto"/>
        <w:ind w:firstLine="338"/>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w:t>
      </w:r>
      <w:r>
        <w:rPr>
          <w:rFonts w:hint="eastAsia"/>
          <w:bCs/>
          <w:color w:val="auto"/>
          <w:spacing w:val="10"/>
          <w:kern w:val="2"/>
          <w:sz w:val="15"/>
          <w:szCs w:val="15"/>
        </w:rPr>
        <w:t>个人投资者超过一年未进行风险承受能力评估或发生可能影响自身风险承受能力情况的，再次购买理财产品时，应根据销售机构的要求及时完成风险承受能力的重新评估；未进行持续风险评估的投资者不能再次购买理财产品。</w:t>
      </w:r>
    </w:p>
    <w:p w14:paraId="4084DC22" w14:textId="77777777" w:rsidR="00470404" w:rsidRDefault="00FB533B">
      <w:pPr>
        <w:pStyle w:val="a5"/>
        <w:spacing w:before="0" w:after="0" w:line="240" w:lineRule="auto"/>
        <w:ind w:firstLine="338"/>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w:t>
      </w:r>
      <w:r>
        <w:rPr>
          <w:rFonts w:hint="eastAsia"/>
          <w:bCs/>
          <w:color w:val="auto"/>
          <w:spacing w:val="10"/>
          <w:kern w:val="2"/>
          <w:sz w:val="15"/>
          <w:szCs w:val="15"/>
        </w:rPr>
        <w:t>个人投资者风险承受能力评估流程</w:t>
      </w:r>
    </w:p>
    <w:p w14:paraId="27700DA2" w14:textId="77777777" w:rsidR="00470404" w:rsidRDefault="00FB533B">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1</w:t>
      </w:r>
      <w:r>
        <w:rPr>
          <w:rFonts w:hint="eastAsia"/>
          <w:bCs/>
          <w:color w:val="auto"/>
          <w:spacing w:val="10"/>
          <w:kern w:val="2"/>
          <w:sz w:val="15"/>
          <w:szCs w:val="15"/>
        </w:rPr>
        <w:t>）个人投资者在销售机构进行风险承受能力评估；</w:t>
      </w:r>
    </w:p>
    <w:p w14:paraId="663DC71A" w14:textId="77777777" w:rsidR="00470404" w:rsidRDefault="00FB533B">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2</w:t>
      </w:r>
      <w:r>
        <w:rPr>
          <w:rFonts w:hint="eastAsia"/>
          <w:bCs/>
          <w:color w:val="auto"/>
          <w:spacing w:val="10"/>
          <w:kern w:val="2"/>
          <w:sz w:val="15"/>
          <w:szCs w:val="15"/>
        </w:rPr>
        <w:t>）填写销售机构个人投资者风险承受能力测试问卷；</w:t>
      </w:r>
    </w:p>
    <w:p w14:paraId="27AA62F0" w14:textId="77777777" w:rsidR="00470404" w:rsidRDefault="00FB533B">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3</w:t>
      </w:r>
      <w:r>
        <w:rPr>
          <w:rFonts w:hint="eastAsia"/>
          <w:bCs/>
          <w:color w:val="auto"/>
          <w:spacing w:val="10"/>
          <w:kern w:val="2"/>
          <w:sz w:val="15"/>
          <w:szCs w:val="15"/>
        </w:rPr>
        <w:t>）生成相应的个人投资者风险承受能力评估结果；</w:t>
      </w:r>
    </w:p>
    <w:p w14:paraId="60D99AA8" w14:textId="77777777" w:rsidR="00470404" w:rsidRDefault="00FB533B">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4</w:t>
      </w:r>
      <w:r>
        <w:rPr>
          <w:rFonts w:hint="eastAsia"/>
          <w:bCs/>
          <w:color w:val="auto"/>
          <w:spacing w:val="10"/>
          <w:kern w:val="2"/>
          <w:sz w:val="15"/>
          <w:szCs w:val="15"/>
        </w:rPr>
        <w:t>）投资者对评估结果进行确认。</w:t>
      </w:r>
    </w:p>
    <w:p w14:paraId="2679C516" w14:textId="77777777" w:rsidR="00470404" w:rsidRDefault="00FB533B">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●特别提示：如个人投资者发生可能影响其自身风险承受能力的情况，再次购买理财产品时应当主动要求销售机构对其进行风险承受能力评估。</w:t>
      </w:r>
    </w:p>
    <w:p w14:paraId="70839664" w14:textId="77777777" w:rsidR="00470404" w:rsidRDefault="00FB533B">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评级具体含义说明。投资者风险承受能力评估结果的含义如下：</w:t>
      </w:r>
    </w:p>
    <w:p w14:paraId="773E3203" w14:textId="77777777" w:rsidR="00470404" w:rsidRDefault="00FB533B">
      <w:pPr>
        <w:pStyle w:val="a5"/>
        <w:spacing w:before="0" w:after="0" w:line="240" w:lineRule="auto"/>
        <w:ind w:firstLine="478"/>
        <w:jc w:val="both"/>
        <w:rPr>
          <w:bCs/>
          <w:color w:val="auto"/>
          <w:spacing w:val="10"/>
          <w:kern w:val="2"/>
          <w:sz w:val="15"/>
          <w:szCs w:val="15"/>
        </w:rPr>
      </w:pPr>
      <w:permStart w:id="886971134" w:edGrp="everyone"/>
      <w:r>
        <w:rPr>
          <w:rFonts w:hint="eastAsia"/>
          <w:bCs/>
          <w:color w:val="auto"/>
          <w:spacing w:val="10"/>
          <w:kern w:val="2"/>
          <w:sz w:val="15"/>
          <w:szCs w:val="15"/>
        </w:rPr>
        <w:t xml:space="preserve"> </w:t>
      </w:r>
      <w:r>
        <w:rPr>
          <w:rFonts w:hint="eastAsia"/>
          <w:bCs/>
          <w:color w:val="auto"/>
          <w:spacing w:val="10"/>
          <w:kern w:val="2"/>
          <w:sz w:val="15"/>
          <w:szCs w:val="15"/>
        </w:rPr>
        <w:t>保守型投资者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总体风险程度低，</w:t>
      </w:r>
      <w:r>
        <w:rPr>
          <w:rFonts w:hint="eastAsia"/>
          <w:bCs/>
          <w:color w:val="auto"/>
          <w:spacing w:val="10"/>
          <w:kern w:val="2"/>
          <w:sz w:val="15"/>
          <w:szCs w:val="15"/>
        </w:rPr>
        <w:t>投资风格谨慎，</w:t>
      </w:r>
      <w:r>
        <w:rPr>
          <w:rFonts w:hint="eastAsia"/>
          <w:bCs/>
          <w:color w:val="auto"/>
          <w:spacing w:val="10"/>
          <w:kern w:val="2"/>
          <w:sz w:val="15"/>
          <w:szCs w:val="15"/>
        </w:rPr>
        <w:t>您适合投资的</w:t>
      </w:r>
      <w:r>
        <w:rPr>
          <w:rFonts w:hint="eastAsia"/>
          <w:bCs/>
          <w:color w:val="auto"/>
          <w:spacing w:val="10"/>
          <w:kern w:val="2"/>
          <w:sz w:val="15"/>
          <w:szCs w:val="15"/>
        </w:rPr>
        <w:t>产品本金和收益受市场、政策等因素变化的影响极低。净值型产品发生净值回撤的概率极低，无法实现业绩基准的可能性极低。</w:t>
      </w:r>
    </w:p>
    <w:p w14:paraId="6284BAA5" w14:textId="77777777" w:rsidR="00470404" w:rsidRDefault="00FB533B">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稳健型投资者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总体风险程度较低，投资风格</w:t>
      </w:r>
      <w:r>
        <w:rPr>
          <w:rFonts w:hint="eastAsia"/>
          <w:bCs/>
          <w:color w:val="auto"/>
          <w:spacing w:val="10"/>
          <w:kern w:val="2"/>
          <w:sz w:val="15"/>
          <w:szCs w:val="15"/>
        </w:rPr>
        <w:t>稳健</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可能</w:t>
      </w:r>
      <w:r>
        <w:rPr>
          <w:rFonts w:hint="eastAsia"/>
          <w:bCs/>
          <w:color w:val="auto"/>
          <w:spacing w:val="10"/>
          <w:kern w:val="2"/>
          <w:sz w:val="15"/>
          <w:szCs w:val="15"/>
        </w:rPr>
        <w:t>发生</w:t>
      </w:r>
      <w:r>
        <w:rPr>
          <w:rFonts w:hint="eastAsia"/>
          <w:bCs/>
          <w:color w:val="auto"/>
          <w:spacing w:val="10"/>
          <w:kern w:val="2"/>
          <w:sz w:val="15"/>
          <w:szCs w:val="15"/>
        </w:rPr>
        <w:t>小幅</w:t>
      </w:r>
      <w:r>
        <w:rPr>
          <w:rFonts w:hint="eastAsia"/>
          <w:bCs/>
          <w:color w:val="auto"/>
          <w:spacing w:val="10"/>
          <w:kern w:val="2"/>
          <w:sz w:val="15"/>
          <w:szCs w:val="15"/>
        </w:rPr>
        <w:t>回撤</w:t>
      </w:r>
      <w:r>
        <w:rPr>
          <w:rFonts w:hint="eastAsia"/>
          <w:bCs/>
          <w:color w:val="auto"/>
          <w:spacing w:val="10"/>
          <w:kern w:val="2"/>
          <w:sz w:val="15"/>
          <w:szCs w:val="15"/>
        </w:rPr>
        <w:t>，本金出现损失的可能性较低，</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p>
    <w:p w14:paraId="2DB73CB0" w14:textId="77777777" w:rsidR="00470404" w:rsidRDefault="00FB533B">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平衡型投资者：</w:t>
      </w:r>
      <w:r>
        <w:rPr>
          <w:rFonts w:hint="eastAsia"/>
          <w:bCs/>
          <w:color w:val="auto"/>
          <w:spacing w:val="10"/>
          <w:kern w:val="2"/>
          <w:sz w:val="15"/>
          <w:szCs w:val="15"/>
        </w:rPr>
        <w:t>您的</w:t>
      </w:r>
      <w:r>
        <w:rPr>
          <w:rFonts w:hint="eastAsia"/>
          <w:bCs/>
          <w:color w:val="auto"/>
          <w:spacing w:val="10"/>
          <w:kern w:val="2"/>
          <w:sz w:val="15"/>
          <w:szCs w:val="15"/>
        </w:rPr>
        <w:t>总体风险程度适中，投资风格</w:t>
      </w:r>
      <w:r>
        <w:rPr>
          <w:rFonts w:hint="eastAsia"/>
          <w:bCs/>
          <w:color w:val="auto"/>
          <w:spacing w:val="10"/>
          <w:kern w:val="2"/>
          <w:sz w:val="15"/>
          <w:szCs w:val="15"/>
        </w:rPr>
        <w:t>中性</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跟随市场情况和投资策略有所波动，</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，也面临一定程度的本金风险</w:t>
      </w:r>
      <w:r>
        <w:rPr>
          <w:rFonts w:hint="eastAsia"/>
          <w:bCs/>
          <w:color w:val="auto"/>
          <w:spacing w:val="10"/>
          <w:kern w:val="2"/>
          <w:sz w:val="15"/>
          <w:szCs w:val="15"/>
        </w:rPr>
        <w:t>。</w:t>
      </w:r>
    </w:p>
    <w:p w14:paraId="2A0236ED" w14:textId="77777777" w:rsidR="00470404" w:rsidRDefault="00FB533B">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积极型投资者：您的</w:t>
      </w:r>
      <w:r>
        <w:rPr>
          <w:rFonts w:hint="eastAsia"/>
          <w:bCs/>
          <w:color w:val="auto"/>
          <w:spacing w:val="10"/>
          <w:kern w:val="2"/>
          <w:sz w:val="15"/>
          <w:szCs w:val="15"/>
        </w:rPr>
        <w:t>总体风险程度较高，投资风格</w:t>
      </w:r>
      <w:r>
        <w:rPr>
          <w:rFonts w:hint="eastAsia"/>
          <w:bCs/>
          <w:color w:val="auto"/>
          <w:spacing w:val="10"/>
          <w:kern w:val="2"/>
          <w:sz w:val="15"/>
          <w:szCs w:val="15"/>
        </w:rPr>
        <w:t>积极</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跟随市场情况和投资策略有明显波动，</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较大，</w:t>
      </w:r>
      <w:r>
        <w:rPr>
          <w:rFonts w:hint="eastAsia"/>
          <w:bCs/>
          <w:color w:val="auto"/>
          <w:spacing w:val="10"/>
          <w:kern w:val="2"/>
          <w:sz w:val="15"/>
          <w:szCs w:val="15"/>
        </w:rPr>
        <w:t>产品本金风险不容忽视</w:t>
      </w:r>
      <w:r>
        <w:rPr>
          <w:rFonts w:hint="eastAsia"/>
          <w:bCs/>
          <w:color w:val="auto"/>
          <w:spacing w:val="10"/>
          <w:kern w:val="2"/>
          <w:sz w:val="15"/>
          <w:szCs w:val="15"/>
        </w:rPr>
        <w:t>。</w:t>
      </w:r>
    </w:p>
    <w:p w14:paraId="4B269C8D" w14:textId="77777777" w:rsidR="00470404" w:rsidRDefault="00FB533B">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 xml:space="preserve"> </w:t>
      </w:r>
      <w:r>
        <w:rPr>
          <w:rFonts w:hint="eastAsia"/>
          <w:bCs/>
          <w:color w:val="auto"/>
          <w:spacing w:val="10"/>
          <w:kern w:val="2"/>
          <w:sz w:val="15"/>
          <w:szCs w:val="15"/>
        </w:rPr>
        <w:t>激进型投资者：您的</w:t>
      </w:r>
      <w:r>
        <w:rPr>
          <w:rFonts w:hint="eastAsia"/>
          <w:bCs/>
          <w:color w:val="auto"/>
          <w:spacing w:val="10"/>
          <w:kern w:val="2"/>
          <w:sz w:val="15"/>
          <w:szCs w:val="15"/>
        </w:rPr>
        <w:t>总体风险程度高，投资风格</w:t>
      </w:r>
      <w:r>
        <w:rPr>
          <w:rFonts w:hint="eastAsia"/>
          <w:bCs/>
          <w:color w:val="auto"/>
          <w:spacing w:val="10"/>
          <w:kern w:val="2"/>
          <w:sz w:val="15"/>
          <w:szCs w:val="15"/>
        </w:rPr>
        <w:t>激进</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跟随市场情况和投资策略有大幅波动，产品净值有极大可能出现大幅回撤，</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极高，本金大幅损失的可能性极高</w:t>
      </w:r>
      <w:r>
        <w:rPr>
          <w:rFonts w:hint="eastAsia"/>
          <w:bCs/>
          <w:color w:val="auto"/>
          <w:spacing w:val="10"/>
          <w:kern w:val="2"/>
          <w:sz w:val="15"/>
          <w:szCs w:val="15"/>
        </w:rPr>
        <w:t>。</w:t>
      </w:r>
    </w:p>
    <w:permEnd w:id="886971134"/>
    <w:p w14:paraId="3AEE1BF1" w14:textId="77777777" w:rsidR="00470404" w:rsidRDefault="00FB533B">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（二）机构投资者风险承受能力评估流程说明</w:t>
      </w:r>
    </w:p>
    <w:p w14:paraId="2BF37C63" w14:textId="77777777" w:rsidR="00470404" w:rsidRDefault="00FB533B">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机构投资者请根据自身的财务状况、投资经验、投资目标、风险认知、风险判断及其他因素综合考量理财产品的投资风险及自身的风险承受能力。</w:t>
      </w:r>
    </w:p>
    <w:p w14:paraId="19F18D2C" w14:textId="77777777" w:rsidR="00470404" w:rsidRDefault="00FB533B">
      <w:pPr>
        <w:pStyle w:val="a5"/>
        <w:spacing w:before="0" w:after="0" w:line="240" w:lineRule="auto"/>
        <w:ind w:firstLine="478"/>
        <w:jc w:val="both"/>
        <w:rPr>
          <w:bCs/>
          <w:color w:val="auto"/>
          <w:spacing w:val="10"/>
          <w:kern w:val="2"/>
          <w:sz w:val="15"/>
          <w:szCs w:val="15"/>
        </w:rPr>
      </w:pPr>
      <w:r>
        <w:rPr>
          <w:rFonts w:hint="eastAsia"/>
          <w:b/>
          <w:color w:val="auto"/>
          <w:spacing w:val="10"/>
          <w:kern w:val="2"/>
          <w:sz w:val="15"/>
          <w:szCs w:val="15"/>
        </w:rPr>
        <w:t>第三条</w:t>
      </w:r>
      <w:r>
        <w:rPr>
          <w:b/>
          <w:color w:val="auto"/>
          <w:spacing w:val="10"/>
          <w:kern w:val="2"/>
          <w:sz w:val="15"/>
          <w:szCs w:val="15"/>
        </w:rPr>
        <w:t xml:space="preserve"> </w:t>
      </w:r>
      <w:r>
        <w:rPr>
          <w:rFonts w:hint="eastAsia"/>
          <w:b/>
          <w:color w:val="auto"/>
          <w:spacing w:val="10"/>
          <w:kern w:val="2"/>
          <w:sz w:val="15"/>
          <w:szCs w:val="15"/>
        </w:rPr>
        <w:t>理财产品风险等级说明</w:t>
      </w:r>
    </w:p>
    <w:p w14:paraId="7802B5DD" w14:textId="77777777" w:rsidR="00470404" w:rsidRDefault="00FB533B">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由于理财产品的运行方式和投资范围等不同，其承担的风险程度各有不同，南银理财将其风险等级分为五级，分别为：</w:t>
      </w:r>
      <w:r>
        <w:rPr>
          <w:rFonts w:hint="eastAsia"/>
          <w:color w:val="auto"/>
          <w:spacing w:val="10"/>
          <w:kern w:val="2"/>
          <w:sz w:val="15"/>
          <w:szCs w:val="15"/>
        </w:rPr>
        <w:t>PR1</w:t>
      </w:r>
      <w:r>
        <w:rPr>
          <w:rFonts w:hint="eastAsia"/>
          <w:color w:val="auto"/>
          <w:spacing w:val="10"/>
          <w:kern w:val="2"/>
          <w:sz w:val="15"/>
          <w:szCs w:val="15"/>
        </w:rPr>
        <w:t>级（低风险）、</w:t>
      </w:r>
      <w:r>
        <w:rPr>
          <w:rFonts w:hint="eastAsia"/>
          <w:color w:val="auto"/>
          <w:spacing w:val="10"/>
          <w:kern w:val="2"/>
          <w:sz w:val="15"/>
          <w:szCs w:val="15"/>
        </w:rPr>
        <w:t>PR2</w:t>
      </w:r>
      <w:r>
        <w:rPr>
          <w:rFonts w:hint="eastAsia"/>
          <w:color w:val="auto"/>
          <w:spacing w:val="10"/>
          <w:kern w:val="2"/>
          <w:sz w:val="15"/>
          <w:szCs w:val="15"/>
        </w:rPr>
        <w:t>级（中低风险）、</w:t>
      </w:r>
      <w:r>
        <w:rPr>
          <w:rFonts w:hint="eastAsia"/>
          <w:color w:val="auto"/>
          <w:spacing w:val="10"/>
          <w:kern w:val="2"/>
          <w:sz w:val="15"/>
          <w:szCs w:val="15"/>
        </w:rPr>
        <w:t>PR3</w:t>
      </w:r>
      <w:r>
        <w:rPr>
          <w:rFonts w:hint="eastAsia"/>
          <w:color w:val="auto"/>
          <w:spacing w:val="10"/>
          <w:kern w:val="2"/>
          <w:sz w:val="15"/>
          <w:szCs w:val="15"/>
        </w:rPr>
        <w:t>级（中等风险）、</w:t>
      </w:r>
      <w:r>
        <w:rPr>
          <w:color w:val="auto"/>
          <w:spacing w:val="10"/>
          <w:kern w:val="2"/>
          <w:sz w:val="15"/>
          <w:szCs w:val="15"/>
        </w:rPr>
        <w:t>PR4</w:t>
      </w:r>
      <w:r>
        <w:rPr>
          <w:rFonts w:hint="eastAsia"/>
          <w:color w:val="auto"/>
          <w:spacing w:val="10"/>
          <w:kern w:val="2"/>
          <w:sz w:val="15"/>
          <w:szCs w:val="15"/>
        </w:rPr>
        <w:t>级（中高风险）、</w:t>
      </w:r>
      <w:r>
        <w:rPr>
          <w:color w:val="auto"/>
          <w:spacing w:val="10"/>
          <w:kern w:val="2"/>
          <w:sz w:val="15"/>
          <w:szCs w:val="15"/>
        </w:rPr>
        <w:t>PR5</w:t>
      </w:r>
      <w:r>
        <w:rPr>
          <w:rFonts w:hint="eastAsia"/>
          <w:color w:val="auto"/>
          <w:spacing w:val="10"/>
          <w:kern w:val="2"/>
          <w:sz w:val="15"/>
          <w:szCs w:val="15"/>
        </w:rPr>
        <w:t>级（高风险）。</w:t>
      </w:r>
    </w:p>
    <w:p w14:paraId="17E88B99" w14:textId="77777777" w:rsidR="00470404" w:rsidRDefault="00FB533B">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PR1</w:t>
      </w:r>
      <w:r>
        <w:rPr>
          <w:rFonts w:hint="eastAsia"/>
          <w:color w:val="auto"/>
          <w:spacing w:val="10"/>
          <w:kern w:val="2"/>
          <w:sz w:val="15"/>
          <w:szCs w:val="15"/>
        </w:rPr>
        <w:t>级（低风险）：管理人不承诺本金保障，产品收益随投资表现变动，产品存在极低的本金损失风险。</w:t>
      </w:r>
    </w:p>
    <w:p w14:paraId="177D35D4" w14:textId="77777777" w:rsidR="00470404" w:rsidRDefault="00FB533B">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PR2</w:t>
      </w:r>
      <w:r>
        <w:rPr>
          <w:rFonts w:hint="eastAsia"/>
          <w:color w:val="auto"/>
          <w:spacing w:val="10"/>
          <w:kern w:val="2"/>
          <w:sz w:val="15"/>
          <w:szCs w:val="15"/>
        </w:rPr>
        <w:t>级（中低风险）：管理人不承诺本金保障，产品收益随投资表现变动，产品存在较低的本金损失风险。</w:t>
      </w:r>
    </w:p>
    <w:p w14:paraId="2AEBC596" w14:textId="77777777" w:rsidR="00470404" w:rsidRDefault="00FB533B">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PR3</w:t>
      </w:r>
      <w:r>
        <w:rPr>
          <w:rFonts w:hint="eastAsia"/>
          <w:color w:val="auto"/>
          <w:spacing w:val="10"/>
          <w:kern w:val="2"/>
          <w:sz w:val="15"/>
          <w:szCs w:val="15"/>
        </w:rPr>
        <w:t>级（中等风险）：管理人不承诺本金保障，产品收益随投资表现变动，产品存在一定的本金损失风险。</w:t>
      </w:r>
    </w:p>
    <w:p w14:paraId="45B7427B" w14:textId="77777777" w:rsidR="00470404" w:rsidRDefault="00FB533B">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PR4</w:t>
      </w:r>
      <w:r>
        <w:rPr>
          <w:rFonts w:hint="eastAsia"/>
          <w:color w:val="auto"/>
          <w:spacing w:val="10"/>
          <w:kern w:val="2"/>
          <w:sz w:val="15"/>
          <w:szCs w:val="15"/>
        </w:rPr>
        <w:t>级（中高风险）：管理人不承诺本金保障，产品收益随投资表现变动，产品存在较高的本金损失风险。</w:t>
      </w:r>
    </w:p>
    <w:p w14:paraId="3628E029" w14:textId="77777777" w:rsidR="00470404" w:rsidRDefault="00FB533B">
      <w:pPr>
        <w:pStyle w:val="a5"/>
        <w:spacing w:before="0" w:after="0" w:line="240" w:lineRule="auto"/>
        <w:ind w:firstLineChars="198" w:firstLine="337"/>
        <w:jc w:val="both"/>
      </w:pPr>
      <w:r>
        <w:rPr>
          <w:color w:val="auto"/>
          <w:spacing w:val="10"/>
          <w:kern w:val="2"/>
          <w:sz w:val="15"/>
          <w:szCs w:val="15"/>
        </w:rPr>
        <w:t>PR5</w:t>
      </w:r>
      <w:r>
        <w:rPr>
          <w:rFonts w:hint="eastAsia"/>
          <w:color w:val="auto"/>
          <w:spacing w:val="10"/>
          <w:kern w:val="2"/>
          <w:sz w:val="15"/>
          <w:szCs w:val="15"/>
        </w:rPr>
        <w:t>级（高风险）：管理人不承诺本金保障，产品收益随投资表现变动，产品存在极高的本金损失风险，产品本金蒙受全部损失的可能性不容忽视。</w:t>
      </w:r>
    </w:p>
    <w:p w14:paraId="5191C421" w14:textId="77777777" w:rsidR="00470404" w:rsidRDefault="00FB533B">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本风险等级为南银理财风险评级结果，该产品通过代理销售机构渠道销售的，理财产品评级应当以代理销售机构最终披露的评级结果为准。您需充分认识投资风险，谨慎投资。</w:t>
      </w:r>
    </w:p>
    <w:p w14:paraId="2CA9552E" w14:textId="77777777" w:rsidR="00470404" w:rsidRDefault="00FB533B">
      <w:pPr>
        <w:pStyle w:val="a5"/>
        <w:spacing w:before="0" w:after="0" w:line="240" w:lineRule="auto"/>
        <w:ind w:firstLineChars="200" w:firstLine="341"/>
        <w:jc w:val="both"/>
      </w:pPr>
      <w:r>
        <w:rPr>
          <w:rFonts w:hint="eastAsia"/>
          <w:b/>
          <w:color w:val="auto"/>
          <w:spacing w:val="10"/>
          <w:kern w:val="2"/>
          <w:sz w:val="15"/>
          <w:szCs w:val="15"/>
        </w:rPr>
        <w:t>【代理</w:t>
      </w:r>
      <w:r>
        <w:rPr>
          <w:rFonts w:hint="eastAsia"/>
          <w:b/>
          <w:color w:val="auto"/>
          <w:spacing w:val="10"/>
          <w:kern w:val="2"/>
          <w:sz w:val="15"/>
          <w:szCs w:val="15"/>
        </w:rPr>
        <w:t>销售机构在开展代理销售业务前应对理财产品进行尽职调查并根据理财产品的投资范围、投资资产、投资比例和风险状况等因素对理财产品进行风险等级评估，当南银理财对理财产品的风险等级评估结果与</w:t>
      </w:r>
      <w:r>
        <w:rPr>
          <w:rFonts w:hint="eastAsia"/>
          <w:b/>
          <w:color w:val="auto"/>
          <w:spacing w:val="10"/>
          <w:kern w:val="2"/>
          <w:sz w:val="15"/>
          <w:szCs w:val="15"/>
        </w:rPr>
        <w:t>代理</w:t>
      </w:r>
      <w:r>
        <w:rPr>
          <w:rFonts w:hint="eastAsia"/>
          <w:b/>
          <w:color w:val="auto"/>
          <w:spacing w:val="10"/>
          <w:kern w:val="2"/>
          <w:sz w:val="15"/>
          <w:szCs w:val="15"/>
        </w:rPr>
        <w:t>销售机构不一致时，</w:t>
      </w:r>
      <w:r>
        <w:rPr>
          <w:rFonts w:hint="eastAsia"/>
          <w:b/>
          <w:color w:val="auto"/>
          <w:spacing w:val="10"/>
          <w:kern w:val="2"/>
          <w:sz w:val="15"/>
          <w:szCs w:val="15"/>
        </w:rPr>
        <w:t>代理</w:t>
      </w:r>
      <w:r>
        <w:rPr>
          <w:rFonts w:hint="eastAsia"/>
          <w:b/>
          <w:color w:val="auto"/>
          <w:spacing w:val="10"/>
          <w:kern w:val="2"/>
          <w:sz w:val="15"/>
          <w:szCs w:val="15"/>
        </w:rPr>
        <w:t>销售机构应当采用较高风险等级评估结果，按较高的风险等级评估结果向投资者进行充分的风险提示并推介理财产品，确保个人投资者的风险承受能力等级不低于本理财产品风险等级。</w:t>
      </w:r>
      <w:r>
        <w:rPr>
          <w:rFonts w:hint="eastAsia"/>
          <w:b/>
          <w:color w:val="auto"/>
          <w:spacing w:val="10"/>
          <w:kern w:val="2"/>
          <w:sz w:val="15"/>
          <w:szCs w:val="15"/>
        </w:rPr>
        <w:t>】</w:t>
      </w:r>
    </w:p>
    <w:p w14:paraId="24515B70" w14:textId="77777777" w:rsidR="00470404" w:rsidRDefault="00FB533B">
      <w:pPr>
        <w:pStyle w:val="a5"/>
        <w:spacing w:before="0" w:after="0" w:line="240" w:lineRule="auto"/>
        <w:ind w:firstLineChars="198" w:firstLine="338"/>
        <w:jc w:val="both"/>
        <w:rPr>
          <w:b/>
          <w:bCs/>
          <w:color w:val="auto"/>
          <w:spacing w:val="10"/>
          <w:kern w:val="2"/>
          <w:sz w:val="15"/>
          <w:szCs w:val="15"/>
        </w:rPr>
      </w:pPr>
      <w:r>
        <w:rPr>
          <w:rFonts w:hint="eastAsia"/>
          <w:b/>
          <w:bCs/>
          <w:color w:val="auto"/>
          <w:spacing w:val="10"/>
          <w:kern w:val="2"/>
          <w:sz w:val="15"/>
          <w:szCs w:val="15"/>
        </w:rPr>
        <w:t>第四条</w:t>
      </w:r>
      <w:r>
        <w:rPr>
          <w:b/>
          <w:bCs/>
          <w:color w:val="auto"/>
          <w:spacing w:val="10"/>
          <w:kern w:val="2"/>
          <w:sz w:val="15"/>
          <w:szCs w:val="15"/>
        </w:rPr>
        <w:t xml:space="preserve"> </w:t>
      </w:r>
      <w:r>
        <w:rPr>
          <w:rFonts w:hint="eastAsia"/>
          <w:b/>
          <w:bCs/>
          <w:color w:val="auto"/>
          <w:spacing w:val="10"/>
          <w:kern w:val="2"/>
          <w:sz w:val="15"/>
          <w:szCs w:val="15"/>
        </w:rPr>
        <w:t>个人投资者风险承受能力等级与适合购买的理财产品说明</w:t>
      </w:r>
    </w:p>
    <w:p w14:paraId="30028D62" w14:textId="77777777" w:rsidR="00470404" w:rsidRDefault="00470404">
      <w:pPr>
        <w:pStyle w:val="a5"/>
        <w:spacing w:before="0" w:after="0" w:line="240" w:lineRule="auto"/>
        <w:ind w:firstLineChars="200" w:firstLine="341"/>
        <w:jc w:val="center"/>
        <w:rPr>
          <w:b/>
          <w:color w:val="auto"/>
          <w:spacing w:val="10"/>
          <w:kern w:val="2"/>
          <w:sz w:val="15"/>
          <w:szCs w:val="15"/>
        </w:rPr>
      </w:pPr>
    </w:p>
    <w:tbl>
      <w:tblPr>
        <w:tblW w:w="5796" w:type="dxa"/>
        <w:jc w:val="center"/>
        <w:tblLayout w:type="fixed"/>
        <w:tblLook w:val="04A0" w:firstRow="1" w:lastRow="0" w:firstColumn="1" w:lastColumn="0" w:noHBand="0" w:noVBand="1"/>
      </w:tblPr>
      <w:tblGrid>
        <w:gridCol w:w="1866"/>
        <w:gridCol w:w="741"/>
        <w:gridCol w:w="816"/>
        <w:gridCol w:w="816"/>
        <w:gridCol w:w="816"/>
        <w:gridCol w:w="741"/>
      </w:tblGrid>
      <w:tr w:rsidR="00470404" w14:paraId="0D0D3C44" w14:textId="77777777">
        <w:trPr>
          <w:trHeight w:val="178"/>
          <w:jc w:val="center"/>
        </w:trPr>
        <w:tc>
          <w:tcPr>
            <w:tcW w:w="1866" w:type="dxa"/>
            <w:vMerge w:val="restart"/>
            <w:tcBorders>
              <w:top w:val="single" w:sz="4" w:space="0" w:color="auto"/>
              <w:left w:val="single" w:sz="4" w:space="0" w:color="auto"/>
              <w:right w:val="single" w:sz="4" w:space="0" w:color="auto"/>
            </w:tcBorders>
            <w:vAlign w:val="center"/>
          </w:tcPr>
          <w:p w14:paraId="3E3DC4B6" w14:textId="77777777" w:rsidR="00470404" w:rsidRDefault="00FB533B">
            <w:pPr>
              <w:widowControl/>
              <w:snapToGrid w:val="0"/>
              <w:jc w:val="center"/>
              <w:rPr>
                <w:rFonts w:ascii="宋体" w:hAnsi="宋体" w:cs="宋体"/>
                <w:kern w:val="0"/>
                <w:sz w:val="15"/>
                <w:szCs w:val="15"/>
              </w:rPr>
            </w:pPr>
            <w:r>
              <w:rPr>
                <w:rFonts w:ascii="宋体" w:hAnsi="宋体" w:cs="宋体" w:hint="eastAsia"/>
                <w:kern w:val="0"/>
                <w:sz w:val="15"/>
                <w:szCs w:val="15"/>
              </w:rPr>
              <w:t>个人投资者风险承受能力</w:t>
            </w:r>
          </w:p>
          <w:p w14:paraId="53C3ADEC" w14:textId="77777777" w:rsidR="00470404" w:rsidRDefault="00FB533B">
            <w:pPr>
              <w:widowControl/>
              <w:snapToGrid w:val="0"/>
              <w:jc w:val="center"/>
              <w:rPr>
                <w:rFonts w:ascii="宋体" w:hAnsi="宋体" w:cs="宋体"/>
                <w:kern w:val="0"/>
                <w:sz w:val="15"/>
                <w:szCs w:val="15"/>
              </w:rPr>
            </w:pPr>
            <w:r>
              <w:rPr>
                <w:rFonts w:ascii="宋体" w:hAnsi="宋体" w:cs="宋体" w:hint="eastAsia"/>
                <w:kern w:val="0"/>
                <w:sz w:val="15"/>
                <w:szCs w:val="15"/>
              </w:rPr>
              <w:t>等级</w:t>
            </w:r>
          </w:p>
        </w:tc>
        <w:tc>
          <w:tcPr>
            <w:tcW w:w="3930" w:type="dxa"/>
            <w:gridSpan w:val="5"/>
            <w:tcBorders>
              <w:top w:val="single" w:sz="4" w:space="0" w:color="auto"/>
              <w:left w:val="nil"/>
              <w:bottom w:val="single" w:sz="4" w:space="0" w:color="auto"/>
              <w:right w:val="single" w:sz="4" w:space="0" w:color="auto"/>
            </w:tcBorders>
            <w:vAlign w:val="center"/>
          </w:tcPr>
          <w:p w14:paraId="5A13783D" w14:textId="77777777" w:rsidR="00470404" w:rsidRDefault="00FB533B">
            <w:pPr>
              <w:widowControl/>
              <w:snapToGrid w:val="0"/>
              <w:jc w:val="center"/>
              <w:rPr>
                <w:rFonts w:ascii="宋体" w:hAnsi="宋体" w:cs="宋体"/>
                <w:kern w:val="0"/>
                <w:sz w:val="15"/>
                <w:szCs w:val="15"/>
              </w:rPr>
            </w:pPr>
            <w:r>
              <w:rPr>
                <w:rFonts w:ascii="宋体" w:hAnsi="宋体" w:cs="宋体" w:hint="eastAsia"/>
                <w:kern w:val="0"/>
                <w:sz w:val="15"/>
                <w:szCs w:val="15"/>
              </w:rPr>
              <w:t>南银理财理财产品风险等级</w:t>
            </w:r>
          </w:p>
        </w:tc>
      </w:tr>
      <w:tr w:rsidR="00470404" w14:paraId="53697183" w14:textId="77777777">
        <w:trPr>
          <w:trHeight w:val="735"/>
          <w:jc w:val="center"/>
        </w:trPr>
        <w:tc>
          <w:tcPr>
            <w:tcW w:w="1866" w:type="dxa"/>
            <w:vMerge/>
            <w:tcBorders>
              <w:left w:val="single" w:sz="4" w:space="0" w:color="auto"/>
              <w:bottom w:val="single" w:sz="4" w:space="0" w:color="auto"/>
              <w:right w:val="single" w:sz="4" w:space="0" w:color="auto"/>
            </w:tcBorders>
            <w:vAlign w:val="center"/>
          </w:tcPr>
          <w:p w14:paraId="6217D953" w14:textId="77777777" w:rsidR="00470404" w:rsidRDefault="00470404">
            <w:pPr>
              <w:widowControl/>
              <w:snapToGrid w:val="0"/>
              <w:jc w:val="center"/>
              <w:rPr>
                <w:rFonts w:ascii="宋体" w:hAnsi="宋体" w:cs="宋体"/>
                <w:kern w:val="0"/>
                <w:sz w:val="15"/>
                <w:szCs w:val="15"/>
              </w:rPr>
            </w:pPr>
          </w:p>
        </w:tc>
        <w:tc>
          <w:tcPr>
            <w:tcW w:w="741" w:type="dxa"/>
            <w:tcBorders>
              <w:top w:val="single" w:sz="4" w:space="0" w:color="auto"/>
              <w:left w:val="nil"/>
              <w:bottom w:val="single" w:sz="4" w:space="0" w:color="auto"/>
              <w:right w:val="single" w:sz="4" w:space="0" w:color="auto"/>
            </w:tcBorders>
            <w:vAlign w:val="center"/>
          </w:tcPr>
          <w:p w14:paraId="604F1DA2" w14:textId="77777777" w:rsidR="00470404" w:rsidRDefault="00FB533B">
            <w:pPr>
              <w:widowControl/>
              <w:snapToGrid w:val="0"/>
              <w:jc w:val="center"/>
              <w:rPr>
                <w:rFonts w:ascii="宋体" w:hAnsi="宋体" w:cs="宋体"/>
                <w:kern w:val="0"/>
                <w:sz w:val="15"/>
                <w:szCs w:val="15"/>
              </w:rPr>
            </w:pPr>
            <w:r>
              <w:rPr>
                <w:rFonts w:ascii="宋体" w:hAnsi="宋体" w:cs="宋体" w:hint="eastAsia"/>
                <w:kern w:val="0"/>
                <w:sz w:val="15"/>
                <w:szCs w:val="15"/>
              </w:rPr>
              <w:t>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PR1</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3B5CC6A7" w14:textId="77777777" w:rsidR="00470404" w:rsidRDefault="00FB533B">
            <w:pPr>
              <w:widowControl/>
              <w:snapToGrid w:val="0"/>
              <w:jc w:val="center"/>
              <w:rPr>
                <w:rFonts w:ascii="宋体" w:hAnsi="宋体" w:cs="宋体"/>
                <w:kern w:val="0"/>
                <w:sz w:val="15"/>
                <w:szCs w:val="15"/>
              </w:rPr>
            </w:pPr>
            <w:r>
              <w:rPr>
                <w:rFonts w:ascii="宋体" w:hAnsi="宋体" w:cs="宋体" w:hint="eastAsia"/>
                <w:kern w:val="0"/>
                <w:sz w:val="15"/>
                <w:szCs w:val="15"/>
              </w:rPr>
              <w:t>中低风险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PR2</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50F113EE" w14:textId="77777777" w:rsidR="00470404" w:rsidRDefault="00FB533B">
            <w:pPr>
              <w:widowControl/>
              <w:snapToGrid w:val="0"/>
              <w:jc w:val="center"/>
              <w:rPr>
                <w:rFonts w:ascii="宋体" w:hAnsi="宋体" w:cs="宋体"/>
                <w:kern w:val="0"/>
                <w:sz w:val="15"/>
                <w:szCs w:val="15"/>
              </w:rPr>
            </w:pPr>
            <w:r>
              <w:rPr>
                <w:rFonts w:ascii="宋体" w:hAnsi="宋体" w:cs="宋体" w:hint="eastAsia"/>
                <w:kern w:val="0"/>
                <w:sz w:val="15"/>
                <w:szCs w:val="15"/>
              </w:rPr>
              <w:t>中等风险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PR3</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23BFB487" w14:textId="77777777" w:rsidR="00470404" w:rsidRDefault="00FB533B">
            <w:pPr>
              <w:widowControl/>
              <w:snapToGrid w:val="0"/>
              <w:jc w:val="center"/>
              <w:rPr>
                <w:rFonts w:ascii="宋体" w:hAnsi="宋体" w:cs="宋体"/>
                <w:kern w:val="0"/>
                <w:sz w:val="15"/>
                <w:szCs w:val="15"/>
              </w:rPr>
            </w:pPr>
            <w:r>
              <w:rPr>
                <w:rFonts w:ascii="宋体" w:hAnsi="宋体" w:cs="宋体" w:hint="eastAsia"/>
                <w:kern w:val="0"/>
                <w:sz w:val="15"/>
                <w:szCs w:val="15"/>
              </w:rPr>
              <w:t>中高风险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PR4</w:t>
            </w:r>
            <w:r>
              <w:rPr>
                <w:rFonts w:ascii="宋体" w:hAnsi="宋体" w:cs="宋体" w:hint="eastAsia"/>
                <w:kern w:val="0"/>
                <w:sz w:val="15"/>
                <w:szCs w:val="15"/>
              </w:rPr>
              <w:t>）</w:t>
            </w:r>
          </w:p>
        </w:tc>
        <w:tc>
          <w:tcPr>
            <w:tcW w:w="741" w:type="dxa"/>
            <w:tcBorders>
              <w:top w:val="single" w:sz="4" w:space="0" w:color="auto"/>
              <w:left w:val="nil"/>
              <w:bottom w:val="single" w:sz="4" w:space="0" w:color="auto"/>
              <w:right w:val="single" w:sz="4" w:space="0" w:color="auto"/>
            </w:tcBorders>
            <w:vAlign w:val="center"/>
          </w:tcPr>
          <w:p w14:paraId="0A44FA81" w14:textId="77777777" w:rsidR="00470404" w:rsidRDefault="00FB533B">
            <w:pPr>
              <w:widowControl/>
              <w:snapToGrid w:val="0"/>
              <w:jc w:val="center"/>
              <w:rPr>
                <w:rFonts w:ascii="宋体" w:hAnsi="宋体" w:cs="宋体"/>
                <w:kern w:val="0"/>
                <w:sz w:val="15"/>
                <w:szCs w:val="15"/>
              </w:rPr>
            </w:pPr>
            <w:r>
              <w:rPr>
                <w:rFonts w:ascii="宋体" w:hAnsi="宋体" w:cs="宋体" w:hint="eastAsia"/>
                <w:kern w:val="0"/>
                <w:sz w:val="15"/>
                <w:szCs w:val="15"/>
              </w:rPr>
              <w:t>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PR5</w:t>
            </w:r>
            <w:r>
              <w:rPr>
                <w:rFonts w:ascii="宋体" w:hAnsi="宋体" w:cs="宋体" w:hint="eastAsia"/>
                <w:kern w:val="0"/>
                <w:sz w:val="15"/>
                <w:szCs w:val="15"/>
              </w:rPr>
              <w:t>）</w:t>
            </w:r>
          </w:p>
        </w:tc>
      </w:tr>
      <w:tr w:rsidR="00470404" w14:paraId="73CF37F7"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2793FB4F" w14:textId="77777777" w:rsidR="00470404" w:rsidRDefault="00FB533B">
            <w:pPr>
              <w:widowControl/>
              <w:snapToGrid w:val="0"/>
              <w:jc w:val="center"/>
              <w:rPr>
                <w:rFonts w:ascii="宋体" w:hAnsi="宋体" w:cs="宋体"/>
                <w:kern w:val="0"/>
                <w:sz w:val="15"/>
                <w:szCs w:val="15"/>
              </w:rPr>
            </w:pPr>
            <w:permStart w:id="1394305159" w:edGrp="everyone"/>
            <w:r>
              <w:rPr>
                <w:rFonts w:ascii="宋体" w:hAnsi="宋体" w:cs="宋体" w:hint="eastAsia"/>
                <w:kern w:val="0"/>
                <w:sz w:val="15"/>
                <w:szCs w:val="15"/>
              </w:rPr>
              <w:t>一级（保守型投资者）</w:t>
            </w:r>
            <w:permEnd w:id="1394305159"/>
          </w:p>
        </w:tc>
        <w:tc>
          <w:tcPr>
            <w:tcW w:w="741" w:type="dxa"/>
            <w:tcBorders>
              <w:top w:val="nil"/>
              <w:left w:val="nil"/>
              <w:bottom w:val="single" w:sz="4" w:space="0" w:color="auto"/>
              <w:right w:val="single" w:sz="4" w:space="0" w:color="auto"/>
            </w:tcBorders>
          </w:tcPr>
          <w:p w14:paraId="5C1CD9B9" w14:textId="77777777" w:rsidR="00470404" w:rsidRDefault="00FB533B">
            <w:pPr>
              <w:widowControl/>
              <w:snapToGrid w:val="0"/>
              <w:jc w:val="center"/>
              <w:rPr>
                <w:rFonts w:ascii="宋体" w:hAnsi="宋体" w:cs="宋体"/>
                <w:kern w:val="0"/>
                <w:sz w:val="15"/>
                <w:szCs w:val="15"/>
              </w:rPr>
            </w:pPr>
            <w:permStart w:id="986938033" w:edGrp="everyone"/>
            <w:r>
              <w:rPr>
                <w:rFonts w:ascii="宋体" w:hAnsi="宋体" w:cs="宋体" w:hint="eastAsia"/>
                <w:kern w:val="0"/>
                <w:sz w:val="15"/>
                <w:szCs w:val="15"/>
              </w:rPr>
              <w:t>√</w:t>
            </w:r>
            <w:permEnd w:id="986938033"/>
          </w:p>
        </w:tc>
        <w:tc>
          <w:tcPr>
            <w:tcW w:w="816" w:type="dxa"/>
            <w:tcBorders>
              <w:top w:val="nil"/>
              <w:left w:val="nil"/>
              <w:bottom w:val="single" w:sz="4" w:space="0" w:color="auto"/>
              <w:right w:val="single" w:sz="4" w:space="0" w:color="auto"/>
            </w:tcBorders>
          </w:tcPr>
          <w:p w14:paraId="1DA39897" w14:textId="77777777" w:rsidR="00470404" w:rsidRDefault="00FB533B">
            <w:pPr>
              <w:widowControl/>
              <w:snapToGrid w:val="0"/>
              <w:jc w:val="center"/>
              <w:rPr>
                <w:rFonts w:ascii="宋体" w:hAnsi="宋体" w:cs="宋体"/>
                <w:kern w:val="0"/>
                <w:sz w:val="15"/>
                <w:szCs w:val="15"/>
              </w:rPr>
            </w:pPr>
            <w:permStart w:id="1884446668" w:edGrp="everyone"/>
            <w:r>
              <w:rPr>
                <w:rFonts w:ascii="宋体" w:hAnsi="宋体" w:cs="宋体" w:hint="eastAsia"/>
                <w:kern w:val="0"/>
                <w:sz w:val="15"/>
                <w:szCs w:val="15"/>
              </w:rPr>
              <w:t>×</w:t>
            </w:r>
            <w:permEnd w:id="1884446668"/>
          </w:p>
        </w:tc>
        <w:tc>
          <w:tcPr>
            <w:tcW w:w="816" w:type="dxa"/>
            <w:tcBorders>
              <w:top w:val="nil"/>
              <w:left w:val="nil"/>
              <w:bottom w:val="single" w:sz="4" w:space="0" w:color="auto"/>
              <w:right w:val="single" w:sz="4" w:space="0" w:color="auto"/>
            </w:tcBorders>
          </w:tcPr>
          <w:p w14:paraId="69EE996D" w14:textId="77777777" w:rsidR="00470404" w:rsidRDefault="00FB533B">
            <w:pPr>
              <w:widowControl/>
              <w:snapToGrid w:val="0"/>
              <w:jc w:val="center"/>
              <w:rPr>
                <w:rFonts w:ascii="宋体" w:hAnsi="宋体" w:cs="宋体"/>
                <w:kern w:val="0"/>
                <w:sz w:val="15"/>
                <w:szCs w:val="15"/>
              </w:rPr>
            </w:pPr>
            <w:permStart w:id="1047282460" w:edGrp="everyone"/>
            <w:r>
              <w:rPr>
                <w:rFonts w:ascii="宋体" w:hAnsi="宋体" w:cs="宋体" w:hint="eastAsia"/>
                <w:kern w:val="0"/>
                <w:sz w:val="15"/>
                <w:szCs w:val="15"/>
              </w:rPr>
              <w:t>×</w:t>
            </w:r>
            <w:permEnd w:id="1047282460"/>
          </w:p>
        </w:tc>
        <w:tc>
          <w:tcPr>
            <w:tcW w:w="816" w:type="dxa"/>
            <w:tcBorders>
              <w:top w:val="nil"/>
              <w:left w:val="nil"/>
              <w:bottom w:val="single" w:sz="4" w:space="0" w:color="auto"/>
              <w:right w:val="single" w:sz="4" w:space="0" w:color="auto"/>
            </w:tcBorders>
          </w:tcPr>
          <w:p w14:paraId="4E16FCCE" w14:textId="77777777" w:rsidR="00470404" w:rsidRDefault="00FB533B">
            <w:pPr>
              <w:widowControl/>
              <w:snapToGrid w:val="0"/>
              <w:jc w:val="center"/>
              <w:rPr>
                <w:rFonts w:ascii="宋体" w:hAnsi="宋体" w:cs="宋体"/>
                <w:kern w:val="0"/>
                <w:sz w:val="15"/>
                <w:szCs w:val="15"/>
              </w:rPr>
            </w:pPr>
            <w:permStart w:id="282815952" w:edGrp="everyone"/>
            <w:r>
              <w:rPr>
                <w:rFonts w:ascii="宋体" w:hAnsi="宋体" w:cs="宋体" w:hint="eastAsia"/>
                <w:kern w:val="0"/>
                <w:sz w:val="15"/>
                <w:szCs w:val="15"/>
              </w:rPr>
              <w:t>×</w:t>
            </w:r>
            <w:permEnd w:id="282815952"/>
          </w:p>
        </w:tc>
        <w:tc>
          <w:tcPr>
            <w:tcW w:w="741" w:type="dxa"/>
            <w:tcBorders>
              <w:top w:val="nil"/>
              <w:left w:val="nil"/>
              <w:bottom w:val="single" w:sz="4" w:space="0" w:color="auto"/>
              <w:right w:val="single" w:sz="4" w:space="0" w:color="auto"/>
            </w:tcBorders>
            <w:vAlign w:val="center"/>
          </w:tcPr>
          <w:p w14:paraId="55FD22C6" w14:textId="77777777" w:rsidR="00470404" w:rsidRDefault="00FB533B">
            <w:pPr>
              <w:widowControl/>
              <w:snapToGrid w:val="0"/>
              <w:jc w:val="center"/>
              <w:rPr>
                <w:rFonts w:ascii="宋体" w:hAnsi="宋体" w:cs="宋体"/>
                <w:kern w:val="0"/>
                <w:sz w:val="15"/>
                <w:szCs w:val="15"/>
              </w:rPr>
            </w:pPr>
            <w:permStart w:id="204295880" w:edGrp="everyone"/>
            <w:r>
              <w:rPr>
                <w:rFonts w:ascii="宋体" w:hAnsi="宋体" w:cs="宋体" w:hint="eastAsia"/>
                <w:kern w:val="0"/>
                <w:sz w:val="15"/>
                <w:szCs w:val="15"/>
              </w:rPr>
              <w:t>×</w:t>
            </w:r>
            <w:permEnd w:id="204295880"/>
          </w:p>
        </w:tc>
      </w:tr>
      <w:tr w:rsidR="00470404" w14:paraId="7796C426"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47F51D3E" w14:textId="77777777" w:rsidR="00470404" w:rsidRDefault="00FB533B">
            <w:pPr>
              <w:widowControl/>
              <w:snapToGrid w:val="0"/>
              <w:jc w:val="center"/>
              <w:rPr>
                <w:rFonts w:ascii="宋体" w:hAnsi="宋体" w:cs="宋体"/>
                <w:kern w:val="0"/>
                <w:sz w:val="15"/>
                <w:szCs w:val="15"/>
              </w:rPr>
            </w:pPr>
            <w:permStart w:id="1681735242" w:edGrp="everyone"/>
            <w:r>
              <w:rPr>
                <w:rFonts w:ascii="宋体" w:hAnsi="宋体" w:cs="宋体" w:hint="eastAsia"/>
                <w:kern w:val="0"/>
                <w:sz w:val="15"/>
                <w:szCs w:val="15"/>
              </w:rPr>
              <w:t>二级（稳健型投资者）</w:t>
            </w:r>
            <w:permEnd w:id="1681735242"/>
          </w:p>
        </w:tc>
        <w:tc>
          <w:tcPr>
            <w:tcW w:w="741" w:type="dxa"/>
            <w:tcBorders>
              <w:top w:val="nil"/>
              <w:left w:val="nil"/>
              <w:bottom w:val="single" w:sz="4" w:space="0" w:color="auto"/>
              <w:right w:val="single" w:sz="4" w:space="0" w:color="auto"/>
            </w:tcBorders>
          </w:tcPr>
          <w:p w14:paraId="06DA1F5C" w14:textId="77777777" w:rsidR="00470404" w:rsidRDefault="00FB533B">
            <w:pPr>
              <w:widowControl/>
              <w:snapToGrid w:val="0"/>
              <w:jc w:val="center"/>
              <w:rPr>
                <w:rFonts w:ascii="宋体" w:hAnsi="宋体" w:cs="宋体"/>
                <w:kern w:val="0"/>
                <w:sz w:val="15"/>
                <w:szCs w:val="15"/>
              </w:rPr>
            </w:pPr>
            <w:permStart w:id="342052072" w:edGrp="everyone"/>
            <w:r>
              <w:rPr>
                <w:rFonts w:ascii="宋体" w:hAnsi="宋体" w:cs="宋体" w:hint="eastAsia"/>
                <w:kern w:val="0"/>
                <w:sz w:val="15"/>
                <w:szCs w:val="15"/>
              </w:rPr>
              <w:t>√</w:t>
            </w:r>
            <w:permEnd w:id="342052072"/>
          </w:p>
        </w:tc>
        <w:tc>
          <w:tcPr>
            <w:tcW w:w="816" w:type="dxa"/>
            <w:tcBorders>
              <w:top w:val="nil"/>
              <w:left w:val="nil"/>
              <w:bottom w:val="single" w:sz="4" w:space="0" w:color="auto"/>
              <w:right w:val="single" w:sz="4" w:space="0" w:color="auto"/>
            </w:tcBorders>
          </w:tcPr>
          <w:p w14:paraId="6C9F5E6F" w14:textId="77777777" w:rsidR="00470404" w:rsidRDefault="00FB533B">
            <w:pPr>
              <w:widowControl/>
              <w:snapToGrid w:val="0"/>
              <w:jc w:val="center"/>
              <w:rPr>
                <w:rFonts w:ascii="宋体" w:hAnsi="宋体" w:cs="宋体"/>
                <w:kern w:val="0"/>
                <w:sz w:val="15"/>
                <w:szCs w:val="15"/>
              </w:rPr>
            </w:pPr>
            <w:permStart w:id="2030848391" w:edGrp="everyone"/>
            <w:r>
              <w:rPr>
                <w:rFonts w:ascii="宋体" w:hAnsi="宋体" w:cs="宋体" w:hint="eastAsia"/>
                <w:kern w:val="0"/>
                <w:sz w:val="15"/>
                <w:szCs w:val="15"/>
              </w:rPr>
              <w:t>√</w:t>
            </w:r>
            <w:permEnd w:id="2030848391"/>
          </w:p>
        </w:tc>
        <w:tc>
          <w:tcPr>
            <w:tcW w:w="816" w:type="dxa"/>
            <w:tcBorders>
              <w:top w:val="nil"/>
              <w:left w:val="nil"/>
              <w:bottom w:val="single" w:sz="4" w:space="0" w:color="auto"/>
              <w:right w:val="single" w:sz="4" w:space="0" w:color="auto"/>
            </w:tcBorders>
          </w:tcPr>
          <w:p w14:paraId="41AECCBA" w14:textId="77777777" w:rsidR="00470404" w:rsidRDefault="00FB533B">
            <w:pPr>
              <w:widowControl/>
              <w:snapToGrid w:val="0"/>
              <w:jc w:val="center"/>
              <w:rPr>
                <w:rFonts w:ascii="宋体" w:hAnsi="宋体" w:cs="宋体"/>
                <w:kern w:val="0"/>
                <w:sz w:val="15"/>
                <w:szCs w:val="15"/>
              </w:rPr>
            </w:pPr>
            <w:permStart w:id="1488790011" w:edGrp="everyone"/>
            <w:r>
              <w:rPr>
                <w:rFonts w:ascii="宋体" w:hAnsi="宋体" w:cs="宋体" w:hint="eastAsia"/>
                <w:kern w:val="0"/>
                <w:sz w:val="15"/>
                <w:szCs w:val="15"/>
              </w:rPr>
              <w:t>×</w:t>
            </w:r>
            <w:permEnd w:id="1488790011"/>
          </w:p>
        </w:tc>
        <w:tc>
          <w:tcPr>
            <w:tcW w:w="816" w:type="dxa"/>
            <w:tcBorders>
              <w:top w:val="nil"/>
              <w:left w:val="nil"/>
              <w:bottom w:val="single" w:sz="4" w:space="0" w:color="auto"/>
              <w:right w:val="single" w:sz="4" w:space="0" w:color="auto"/>
            </w:tcBorders>
          </w:tcPr>
          <w:p w14:paraId="24050A80" w14:textId="77777777" w:rsidR="00470404" w:rsidRDefault="00FB533B">
            <w:pPr>
              <w:widowControl/>
              <w:snapToGrid w:val="0"/>
              <w:jc w:val="center"/>
              <w:rPr>
                <w:rFonts w:ascii="宋体" w:hAnsi="宋体" w:cs="宋体"/>
                <w:kern w:val="0"/>
                <w:sz w:val="15"/>
                <w:szCs w:val="15"/>
              </w:rPr>
            </w:pPr>
            <w:permStart w:id="261300416" w:edGrp="everyone"/>
            <w:r>
              <w:rPr>
                <w:rFonts w:ascii="宋体" w:hAnsi="宋体" w:cs="宋体" w:hint="eastAsia"/>
                <w:kern w:val="0"/>
                <w:sz w:val="15"/>
                <w:szCs w:val="15"/>
              </w:rPr>
              <w:t>×</w:t>
            </w:r>
            <w:permEnd w:id="261300416"/>
          </w:p>
        </w:tc>
        <w:tc>
          <w:tcPr>
            <w:tcW w:w="741" w:type="dxa"/>
            <w:tcBorders>
              <w:top w:val="nil"/>
              <w:left w:val="nil"/>
              <w:bottom w:val="single" w:sz="4" w:space="0" w:color="auto"/>
              <w:right w:val="single" w:sz="4" w:space="0" w:color="auto"/>
            </w:tcBorders>
            <w:vAlign w:val="center"/>
          </w:tcPr>
          <w:p w14:paraId="706EB3BA" w14:textId="77777777" w:rsidR="00470404" w:rsidRDefault="00FB533B">
            <w:pPr>
              <w:widowControl/>
              <w:snapToGrid w:val="0"/>
              <w:jc w:val="center"/>
              <w:rPr>
                <w:rFonts w:ascii="宋体" w:hAnsi="宋体" w:cs="宋体"/>
                <w:kern w:val="0"/>
                <w:sz w:val="15"/>
                <w:szCs w:val="15"/>
              </w:rPr>
            </w:pPr>
            <w:permStart w:id="206190388" w:edGrp="everyone"/>
            <w:r>
              <w:rPr>
                <w:rFonts w:ascii="宋体" w:hAnsi="宋体" w:cs="宋体" w:hint="eastAsia"/>
                <w:kern w:val="0"/>
                <w:sz w:val="15"/>
                <w:szCs w:val="15"/>
              </w:rPr>
              <w:t>×</w:t>
            </w:r>
            <w:permEnd w:id="206190388"/>
          </w:p>
        </w:tc>
      </w:tr>
      <w:tr w:rsidR="00470404" w14:paraId="71AED225"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76B9CB55" w14:textId="77777777" w:rsidR="00470404" w:rsidRDefault="00FB533B">
            <w:pPr>
              <w:widowControl/>
              <w:snapToGrid w:val="0"/>
              <w:jc w:val="center"/>
              <w:rPr>
                <w:rFonts w:ascii="宋体" w:hAnsi="宋体" w:cs="宋体"/>
                <w:kern w:val="0"/>
                <w:sz w:val="15"/>
                <w:szCs w:val="15"/>
              </w:rPr>
            </w:pPr>
            <w:permStart w:id="1395859132" w:edGrp="everyone"/>
            <w:r>
              <w:rPr>
                <w:rFonts w:ascii="宋体" w:hAnsi="宋体" w:cs="宋体" w:hint="eastAsia"/>
                <w:kern w:val="0"/>
                <w:sz w:val="15"/>
                <w:szCs w:val="15"/>
              </w:rPr>
              <w:t>三级（平衡型投资者）</w:t>
            </w:r>
            <w:permEnd w:id="1395859132"/>
          </w:p>
        </w:tc>
        <w:tc>
          <w:tcPr>
            <w:tcW w:w="741" w:type="dxa"/>
            <w:tcBorders>
              <w:top w:val="nil"/>
              <w:left w:val="nil"/>
              <w:bottom w:val="single" w:sz="4" w:space="0" w:color="auto"/>
              <w:right w:val="single" w:sz="4" w:space="0" w:color="auto"/>
            </w:tcBorders>
          </w:tcPr>
          <w:p w14:paraId="1D127434" w14:textId="77777777" w:rsidR="00470404" w:rsidRDefault="00FB533B">
            <w:pPr>
              <w:widowControl/>
              <w:snapToGrid w:val="0"/>
              <w:jc w:val="center"/>
              <w:rPr>
                <w:rFonts w:ascii="宋体" w:hAnsi="宋体" w:cs="宋体"/>
                <w:kern w:val="0"/>
                <w:sz w:val="15"/>
                <w:szCs w:val="15"/>
              </w:rPr>
            </w:pPr>
            <w:permStart w:id="1438851386" w:edGrp="everyone"/>
            <w:r>
              <w:rPr>
                <w:rFonts w:ascii="宋体" w:hAnsi="宋体" w:cs="宋体" w:hint="eastAsia"/>
                <w:kern w:val="0"/>
                <w:sz w:val="15"/>
                <w:szCs w:val="15"/>
              </w:rPr>
              <w:t>√</w:t>
            </w:r>
            <w:permEnd w:id="1438851386"/>
          </w:p>
        </w:tc>
        <w:tc>
          <w:tcPr>
            <w:tcW w:w="816" w:type="dxa"/>
            <w:tcBorders>
              <w:top w:val="nil"/>
              <w:left w:val="nil"/>
              <w:bottom w:val="single" w:sz="4" w:space="0" w:color="auto"/>
              <w:right w:val="single" w:sz="4" w:space="0" w:color="auto"/>
            </w:tcBorders>
          </w:tcPr>
          <w:p w14:paraId="55C53B85" w14:textId="77777777" w:rsidR="00470404" w:rsidRDefault="00FB533B">
            <w:pPr>
              <w:widowControl/>
              <w:snapToGrid w:val="0"/>
              <w:jc w:val="center"/>
              <w:rPr>
                <w:rFonts w:ascii="宋体" w:hAnsi="宋体" w:cs="宋体"/>
                <w:kern w:val="0"/>
                <w:sz w:val="15"/>
                <w:szCs w:val="15"/>
              </w:rPr>
            </w:pPr>
            <w:permStart w:id="1636586637" w:edGrp="everyone"/>
            <w:r>
              <w:rPr>
                <w:rFonts w:ascii="宋体" w:hAnsi="宋体" w:cs="宋体" w:hint="eastAsia"/>
                <w:kern w:val="0"/>
                <w:sz w:val="15"/>
                <w:szCs w:val="15"/>
              </w:rPr>
              <w:t>√</w:t>
            </w:r>
            <w:permEnd w:id="1636586637"/>
          </w:p>
        </w:tc>
        <w:tc>
          <w:tcPr>
            <w:tcW w:w="816" w:type="dxa"/>
            <w:tcBorders>
              <w:top w:val="nil"/>
              <w:left w:val="nil"/>
              <w:bottom w:val="single" w:sz="4" w:space="0" w:color="auto"/>
              <w:right w:val="single" w:sz="4" w:space="0" w:color="auto"/>
            </w:tcBorders>
          </w:tcPr>
          <w:p w14:paraId="42D8F307" w14:textId="77777777" w:rsidR="00470404" w:rsidRDefault="00FB533B">
            <w:pPr>
              <w:widowControl/>
              <w:snapToGrid w:val="0"/>
              <w:jc w:val="center"/>
              <w:rPr>
                <w:rFonts w:ascii="宋体" w:hAnsi="宋体" w:cs="宋体"/>
                <w:kern w:val="0"/>
                <w:sz w:val="15"/>
                <w:szCs w:val="15"/>
              </w:rPr>
            </w:pPr>
            <w:permStart w:id="1843269201" w:edGrp="everyone"/>
            <w:r>
              <w:rPr>
                <w:rFonts w:ascii="宋体" w:hAnsi="宋体" w:cs="宋体" w:hint="eastAsia"/>
                <w:kern w:val="0"/>
                <w:sz w:val="15"/>
                <w:szCs w:val="15"/>
              </w:rPr>
              <w:t>√</w:t>
            </w:r>
            <w:permEnd w:id="1843269201"/>
          </w:p>
        </w:tc>
        <w:tc>
          <w:tcPr>
            <w:tcW w:w="816" w:type="dxa"/>
            <w:tcBorders>
              <w:top w:val="nil"/>
              <w:left w:val="nil"/>
              <w:bottom w:val="single" w:sz="4" w:space="0" w:color="auto"/>
              <w:right w:val="single" w:sz="4" w:space="0" w:color="auto"/>
            </w:tcBorders>
          </w:tcPr>
          <w:p w14:paraId="5EB028CC" w14:textId="77777777" w:rsidR="00470404" w:rsidRDefault="00FB533B">
            <w:pPr>
              <w:widowControl/>
              <w:snapToGrid w:val="0"/>
              <w:jc w:val="center"/>
              <w:rPr>
                <w:rFonts w:ascii="宋体" w:hAnsi="宋体" w:cs="宋体"/>
                <w:kern w:val="0"/>
                <w:sz w:val="15"/>
                <w:szCs w:val="15"/>
              </w:rPr>
            </w:pPr>
            <w:permStart w:id="1202854798" w:edGrp="everyone"/>
            <w:r>
              <w:rPr>
                <w:rFonts w:ascii="宋体" w:hAnsi="宋体" w:cs="宋体" w:hint="eastAsia"/>
                <w:kern w:val="0"/>
                <w:sz w:val="15"/>
                <w:szCs w:val="15"/>
              </w:rPr>
              <w:t>×</w:t>
            </w:r>
            <w:permEnd w:id="1202854798"/>
          </w:p>
        </w:tc>
        <w:tc>
          <w:tcPr>
            <w:tcW w:w="741" w:type="dxa"/>
            <w:tcBorders>
              <w:top w:val="nil"/>
              <w:left w:val="nil"/>
              <w:bottom w:val="single" w:sz="4" w:space="0" w:color="auto"/>
              <w:right w:val="single" w:sz="4" w:space="0" w:color="auto"/>
            </w:tcBorders>
          </w:tcPr>
          <w:p w14:paraId="5DC04029" w14:textId="77777777" w:rsidR="00470404" w:rsidRDefault="00FB533B">
            <w:pPr>
              <w:widowControl/>
              <w:snapToGrid w:val="0"/>
              <w:jc w:val="center"/>
              <w:rPr>
                <w:rFonts w:ascii="宋体" w:hAnsi="宋体" w:cs="宋体"/>
                <w:kern w:val="0"/>
                <w:sz w:val="15"/>
                <w:szCs w:val="15"/>
              </w:rPr>
            </w:pPr>
            <w:permStart w:id="669723948" w:edGrp="everyone"/>
            <w:r>
              <w:rPr>
                <w:rFonts w:ascii="宋体" w:hAnsi="宋体" w:cs="宋体" w:hint="eastAsia"/>
                <w:kern w:val="0"/>
                <w:sz w:val="15"/>
                <w:szCs w:val="15"/>
              </w:rPr>
              <w:t>×</w:t>
            </w:r>
            <w:permEnd w:id="669723948"/>
          </w:p>
        </w:tc>
      </w:tr>
      <w:tr w:rsidR="00470404" w14:paraId="1F549E10"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5771F537" w14:textId="77777777" w:rsidR="00470404" w:rsidRDefault="00FB533B">
            <w:pPr>
              <w:widowControl/>
              <w:snapToGrid w:val="0"/>
              <w:jc w:val="center"/>
              <w:rPr>
                <w:rFonts w:ascii="宋体" w:hAnsi="宋体" w:cs="宋体"/>
                <w:kern w:val="0"/>
                <w:sz w:val="15"/>
                <w:szCs w:val="15"/>
              </w:rPr>
            </w:pPr>
            <w:permStart w:id="511843523" w:edGrp="everyone"/>
            <w:r>
              <w:rPr>
                <w:rFonts w:ascii="宋体" w:hAnsi="宋体" w:cs="宋体" w:hint="eastAsia"/>
                <w:kern w:val="0"/>
                <w:sz w:val="15"/>
                <w:szCs w:val="15"/>
              </w:rPr>
              <w:t>四级（</w:t>
            </w:r>
            <w:r>
              <w:rPr>
                <w:rFonts w:ascii="宋体" w:hAnsi="宋体" w:cs="宋体" w:hint="eastAsia"/>
                <w:kern w:val="0"/>
                <w:sz w:val="15"/>
                <w:szCs w:val="15"/>
              </w:rPr>
              <w:t>积极</w:t>
            </w:r>
            <w:r>
              <w:rPr>
                <w:rFonts w:ascii="宋体" w:hAnsi="宋体" w:cs="宋体" w:hint="eastAsia"/>
                <w:kern w:val="0"/>
                <w:sz w:val="15"/>
                <w:szCs w:val="15"/>
              </w:rPr>
              <w:t>型投资者）</w:t>
            </w:r>
            <w:permEnd w:id="511843523"/>
          </w:p>
        </w:tc>
        <w:tc>
          <w:tcPr>
            <w:tcW w:w="741" w:type="dxa"/>
            <w:tcBorders>
              <w:top w:val="single" w:sz="4" w:space="0" w:color="auto"/>
              <w:left w:val="single" w:sz="4" w:space="0" w:color="auto"/>
              <w:bottom w:val="single" w:sz="4" w:space="0" w:color="auto"/>
              <w:right w:val="single" w:sz="4" w:space="0" w:color="auto"/>
            </w:tcBorders>
          </w:tcPr>
          <w:p w14:paraId="5C9DA47E" w14:textId="77777777" w:rsidR="00470404" w:rsidRDefault="00FB533B">
            <w:pPr>
              <w:widowControl/>
              <w:snapToGrid w:val="0"/>
              <w:jc w:val="center"/>
              <w:rPr>
                <w:rFonts w:ascii="宋体" w:hAnsi="宋体" w:cs="宋体"/>
                <w:kern w:val="0"/>
                <w:sz w:val="15"/>
                <w:szCs w:val="15"/>
              </w:rPr>
            </w:pPr>
            <w:permStart w:id="741875894" w:edGrp="everyone"/>
            <w:r>
              <w:rPr>
                <w:rFonts w:ascii="宋体" w:hAnsi="宋体" w:cs="宋体" w:hint="eastAsia"/>
                <w:kern w:val="0"/>
                <w:sz w:val="15"/>
                <w:szCs w:val="15"/>
              </w:rPr>
              <w:t>√</w:t>
            </w:r>
            <w:permEnd w:id="741875894"/>
          </w:p>
        </w:tc>
        <w:tc>
          <w:tcPr>
            <w:tcW w:w="816" w:type="dxa"/>
            <w:tcBorders>
              <w:top w:val="single" w:sz="4" w:space="0" w:color="auto"/>
              <w:left w:val="single" w:sz="4" w:space="0" w:color="auto"/>
              <w:bottom w:val="single" w:sz="4" w:space="0" w:color="auto"/>
              <w:right w:val="single" w:sz="4" w:space="0" w:color="auto"/>
            </w:tcBorders>
          </w:tcPr>
          <w:p w14:paraId="586070DD" w14:textId="77777777" w:rsidR="00470404" w:rsidRDefault="00FB533B">
            <w:pPr>
              <w:widowControl/>
              <w:snapToGrid w:val="0"/>
              <w:jc w:val="center"/>
              <w:rPr>
                <w:rFonts w:ascii="宋体" w:hAnsi="宋体" w:cs="宋体"/>
                <w:kern w:val="0"/>
                <w:sz w:val="15"/>
                <w:szCs w:val="15"/>
              </w:rPr>
            </w:pPr>
            <w:permStart w:id="1447234655" w:edGrp="everyone"/>
            <w:r>
              <w:rPr>
                <w:rFonts w:ascii="宋体" w:hAnsi="宋体" w:cs="宋体" w:hint="eastAsia"/>
                <w:kern w:val="0"/>
                <w:sz w:val="15"/>
                <w:szCs w:val="15"/>
              </w:rPr>
              <w:t>√</w:t>
            </w:r>
            <w:permEnd w:id="1447234655"/>
          </w:p>
        </w:tc>
        <w:tc>
          <w:tcPr>
            <w:tcW w:w="816" w:type="dxa"/>
            <w:tcBorders>
              <w:top w:val="single" w:sz="4" w:space="0" w:color="auto"/>
              <w:left w:val="single" w:sz="4" w:space="0" w:color="auto"/>
              <w:bottom w:val="single" w:sz="4" w:space="0" w:color="auto"/>
              <w:right w:val="single" w:sz="4" w:space="0" w:color="auto"/>
            </w:tcBorders>
          </w:tcPr>
          <w:p w14:paraId="5430CAA8" w14:textId="77777777" w:rsidR="00470404" w:rsidRDefault="00FB533B">
            <w:pPr>
              <w:widowControl/>
              <w:snapToGrid w:val="0"/>
              <w:jc w:val="center"/>
              <w:rPr>
                <w:rFonts w:ascii="宋体" w:hAnsi="宋体" w:cs="宋体"/>
                <w:kern w:val="0"/>
                <w:sz w:val="15"/>
                <w:szCs w:val="15"/>
              </w:rPr>
            </w:pPr>
            <w:permStart w:id="1259864115" w:edGrp="everyone"/>
            <w:r>
              <w:rPr>
                <w:rFonts w:ascii="宋体" w:hAnsi="宋体" w:cs="宋体" w:hint="eastAsia"/>
                <w:kern w:val="0"/>
                <w:sz w:val="15"/>
                <w:szCs w:val="15"/>
              </w:rPr>
              <w:t>√</w:t>
            </w:r>
            <w:permEnd w:id="1259864115"/>
          </w:p>
        </w:tc>
        <w:tc>
          <w:tcPr>
            <w:tcW w:w="816" w:type="dxa"/>
            <w:tcBorders>
              <w:top w:val="single" w:sz="4" w:space="0" w:color="auto"/>
              <w:left w:val="single" w:sz="4" w:space="0" w:color="auto"/>
              <w:bottom w:val="single" w:sz="4" w:space="0" w:color="auto"/>
              <w:right w:val="single" w:sz="4" w:space="0" w:color="auto"/>
            </w:tcBorders>
          </w:tcPr>
          <w:p w14:paraId="04B94256" w14:textId="77777777" w:rsidR="00470404" w:rsidRDefault="00FB533B">
            <w:pPr>
              <w:widowControl/>
              <w:snapToGrid w:val="0"/>
              <w:jc w:val="center"/>
              <w:rPr>
                <w:rFonts w:ascii="宋体" w:hAnsi="宋体" w:cs="宋体"/>
                <w:kern w:val="0"/>
                <w:sz w:val="15"/>
                <w:szCs w:val="15"/>
              </w:rPr>
            </w:pPr>
            <w:permStart w:id="655633528" w:edGrp="everyone"/>
            <w:r>
              <w:rPr>
                <w:rFonts w:ascii="宋体" w:hAnsi="宋体" w:cs="宋体" w:hint="eastAsia"/>
                <w:kern w:val="0"/>
                <w:sz w:val="15"/>
                <w:szCs w:val="15"/>
              </w:rPr>
              <w:t>√</w:t>
            </w:r>
            <w:permEnd w:id="655633528"/>
          </w:p>
        </w:tc>
        <w:tc>
          <w:tcPr>
            <w:tcW w:w="741" w:type="dxa"/>
            <w:tcBorders>
              <w:top w:val="single" w:sz="4" w:space="0" w:color="auto"/>
              <w:left w:val="single" w:sz="4" w:space="0" w:color="auto"/>
              <w:bottom w:val="single" w:sz="4" w:space="0" w:color="auto"/>
              <w:right w:val="single" w:sz="4" w:space="0" w:color="auto"/>
            </w:tcBorders>
          </w:tcPr>
          <w:p w14:paraId="182B4555" w14:textId="77777777" w:rsidR="00470404" w:rsidRDefault="00FB533B">
            <w:pPr>
              <w:widowControl/>
              <w:snapToGrid w:val="0"/>
              <w:jc w:val="center"/>
              <w:rPr>
                <w:rFonts w:ascii="宋体" w:hAnsi="宋体" w:cs="宋体"/>
                <w:kern w:val="0"/>
                <w:sz w:val="15"/>
                <w:szCs w:val="15"/>
              </w:rPr>
            </w:pPr>
            <w:permStart w:id="2054182526" w:edGrp="everyone"/>
            <w:r>
              <w:rPr>
                <w:rFonts w:ascii="宋体" w:hAnsi="宋体" w:cs="宋体" w:hint="eastAsia"/>
                <w:kern w:val="0"/>
                <w:sz w:val="15"/>
                <w:szCs w:val="15"/>
              </w:rPr>
              <w:t>×</w:t>
            </w:r>
            <w:permEnd w:id="2054182526"/>
          </w:p>
        </w:tc>
      </w:tr>
      <w:tr w:rsidR="00470404" w14:paraId="3DAA3A74"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6A6BE746" w14:textId="77777777" w:rsidR="00470404" w:rsidRDefault="00FB533B">
            <w:pPr>
              <w:widowControl/>
              <w:snapToGrid w:val="0"/>
              <w:jc w:val="center"/>
              <w:rPr>
                <w:rFonts w:ascii="宋体" w:hAnsi="宋体" w:cs="宋体"/>
                <w:kern w:val="0"/>
                <w:sz w:val="15"/>
                <w:szCs w:val="15"/>
              </w:rPr>
            </w:pPr>
            <w:permStart w:id="623015414" w:edGrp="everyone"/>
            <w:r>
              <w:rPr>
                <w:rFonts w:ascii="宋体" w:hAnsi="宋体" w:cs="宋体" w:hint="eastAsia"/>
                <w:kern w:val="0"/>
                <w:sz w:val="15"/>
                <w:szCs w:val="15"/>
              </w:rPr>
              <w:t>五级（</w:t>
            </w:r>
            <w:r>
              <w:rPr>
                <w:rFonts w:ascii="宋体" w:hAnsi="宋体" w:cs="宋体" w:hint="eastAsia"/>
                <w:kern w:val="0"/>
                <w:sz w:val="15"/>
                <w:szCs w:val="15"/>
              </w:rPr>
              <w:t>激进</w:t>
            </w:r>
            <w:r>
              <w:rPr>
                <w:rFonts w:ascii="宋体" w:hAnsi="宋体" w:cs="宋体" w:hint="eastAsia"/>
                <w:kern w:val="0"/>
                <w:sz w:val="15"/>
                <w:szCs w:val="15"/>
              </w:rPr>
              <w:t>型投资者）</w:t>
            </w:r>
            <w:permEnd w:id="623015414"/>
          </w:p>
        </w:tc>
        <w:tc>
          <w:tcPr>
            <w:tcW w:w="741" w:type="dxa"/>
            <w:tcBorders>
              <w:top w:val="single" w:sz="4" w:space="0" w:color="auto"/>
              <w:left w:val="single" w:sz="4" w:space="0" w:color="auto"/>
              <w:bottom w:val="single" w:sz="4" w:space="0" w:color="auto"/>
              <w:right w:val="single" w:sz="4" w:space="0" w:color="auto"/>
            </w:tcBorders>
          </w:tcPr>
          <w:p w14:paraId="6B2B6C25" w14:textId="77777777" w:rsidR="00470404" w:rsidRDefault="00FB533B">
            <w:pPr>
              <w:widowControl/>
              <w:snapToGrid w:val="0"/>
              <w:jc w:val="center"/>
              <w:rPr>
                <w:rFonts w:ascii="宋体" w:hAnsi="宋体" w:cs="宋体"/>
                <w:kern w:val="0"/>
                <w:sz w:val="15"/>
                <w:szCs w:val="15"/>
              </w:rPr>
            </w:pPr>
            <w:permStart w:id="2140878073" w:edGrp="everyone"/>
            <w:r>
              <w:rPr>
                <w:rFonts w:ascii="宋体" w:hAnsi="宋体" w:cs="宋体" w:hint="eastAsia"/>
                <w:kern w:val="0"/>
                <w:sz w:val="15"/>
                <w:szCs w:val="15"/>
              </w:rPr>
              <w:t>√</w:t>
            </w:r>
            <w:permEnd w:id="2140878073"/>
          </w:p>
        </w:tc>
        <w:tc>
          <w:tcPr>
            <w:tcW w:w="816" w:type="dxa"/>
            <w:tcBorders>
              <w:top w:val="single" w:sz="4" w:space="0" w:color="auto"/>
              <w:left w:val="single" w:sz="4" w:space="0" w:color="auto"/>
              <w:bottom w:val="single" w:sz="4" w:space="0" w:color="auto"/>
              <w:right w:val="single" w:sz="4" w:space="0" w:color="auto"/>
            </w:tcBorders>
          </w:tcPr>
          <w:p w14:paraId="6C6C64E2" w14:textId="77777777" w:rsidR="00470404" w:rsidRDefault="00FB533B">
            <w:pPr>
              <w:widowControl/>
              <w:snapToGrid w:val="0"/>
              <w:jc w:val="center"/>
              <w:rPr>
                <w:rFonts w:ascii="宋体" w:hAnsi="宋体" w:cs="宋体"/>
                <w:kern w:val="0"/>
                <w:sz w:val="15"/>
                <w:szCs w:val="15"/>
              </w:rPr>
            </w:pPr>
            <w:permStart w:id="1250109781" w:edGrp="everyone"/>
            <w:r>
              <w:rPr>
                <w:rFonts w:ascii="宋体" w:hAnsi="宋体" w:cs="宋体" w:hint="eastAsia"/>
                <w:kern w:val="0"/>
                <w:sz w:val="15"/>
                <w:szCs w:val="15"/>
              </w:rPr>
              <w:t>√</w:t>
            </w:r>
            <w:permEnd w:id="1250109781"/>
          </w:p>
        </w:tc>
        <w:tc>
          <w:tcPr>
            <w:tcW w:w="816" w:type="dxa"/>
            <w:tcBorders>
              <w:top w:val="single" w:sz="4" w:space="0" w:color="auto"/>
              <w:left w:val="single" w:sz="4" w:space="0" w:color="auto"/>
              <w:bottom w:val="single" w:sz="4" w:space="0" w:color="auto"/>
              <w:right w:val="single" w:sz="4" w:space="0" w:color="auto"/>
            </w:tcBorders>
          </w:tcPr>
          <w:p w14:paraId="7C545F29" w14:textId="77777777" w:rsidR="00470404" w:rsidRDefault="00FB533B">
            <w:pPr>
              <w:widowControl/>
              <w:snapToGrid w:val="0"/>
              <w:jc w:val="center"/>
              <w:rPr>
                <w:rFonts w:ascii="宋体" w:hAnsi="宋体" w:cs="宋体"/>
                <w:kern w:val="0"/>
                <w:sz w:val="15"/>
                <w:szCs w:val="15"/>
              </w:rPr>
            </w:pPr>
            <w:permStart w:id="114054709" w:edGrp="everyone"/>
            <w:r>
              <w:rPr>
                <w:rFonts w:ascii="宋体" w:hAnsi="宋体" w:cs="宋体" w:hint="eastAsia"/>
                <w:kern w:val="0"/>
                <w:sz w:val="15"/>
                <w:szCs w:val="15"/>
              </w:rPr>
              <w:t>√</w:t>
            </w:r>
            <w:permEnd w:id="114054709"/>
          </w:p>
        </w:tc>
        <w:tc>
          <w:tcPr>
            <w:tcW w:w="816" w:type="dxa"/>
            <w:tcBorders>
              <w:top w:val="single" w:sz="4" w:space="0" w:color="auto"/>
              <w:left w:val="single" w:sz="4" w:space="0" w:color="auto"/>
              <w:bottom w:val="single" w:sz="4" w:space="0" w:color="auto"/>
              <w:right w:val="single" w:sz="4" w:space="0" w:color="auto"/>
            </w:tcBorders>
          </w:tcPr>
          <w:p w14:paraId="58C9CC61" w14:textId="77777777" w:rsidR="00470404" w:rsidRDefault="00FB533B">
            <w:pPr>
              <w:widowControl/>
              <w:snapToGrid w:val="0"/>
              <w:jc w:val="center"/>
              <w:rPr>
                <w:rFonts w:ascii="宋体" w:hAnsi="宋体" w:cs="宋体"/>
                <w:kern w:val="0"/>
                <w:sz w:val="15"/>
                <w:szCs w:val="15"/>
              </w:rPr>
            </w:pPr>
            <w:permStart w:id="738656476" w:edGrp="everyone"/>
            <w:r>
              <w:rPr>
                <w:rFonts w:ascii="宋体" w:hAnsi="宋体" w:cs="宋体" w:hint="eastAsia"/>
                <w:kern w:val="0"/>
                <w:sz w:val="15"/>
                <w:szCs w:val="15"/>
              </w:rPr>
              <w:t>√</w:t>
            </w:r>
            <w:permEnd w:id="738656476"/>
          </w:p>
        </w:tc>
        <w:tc>
          <w:tcPr>
            <w:tcW w:w="741" w:type="dxa"/>
            <w:tcBorders>
              <w:top w:val="single" w:sz="4" w:space="0" w:color="auto"/>
              <w:left w:val="single" w:sz="4" w:space="0" w:color="auto"/>
              <w:bottom w:val="single" w:sz="4" w:space="0" w:color="auto"/>
              <w:right w:val="single" w:sz="4" w:space="0" w:color="auto"/>
            </w:tcBorders>
          </w:tcPr>
          <w:p w14:paraId="39FF0CC9" w14:textId="77777777" w:rsidR="00470404" w:rsidRDefault="00FB533B">
            <w:pPr>
              <w:widowControl/>
              <w:snapToGrid w:val="0"/>
              <w:jc w:val="center"/>
              <w:rPr>
                <w:rFonts w:ascii="宋体" w:hAnsi="宋体" w:cs="宋体"/>
                <w:kern w:val="0"/>
                <w:sz w:val="15"/>
                <w:szCs w:val="15"/>
              </w:rPr>
            </w:pPr>
            <w:permStart w:id="133122839" w:edGrp="everyone"/>
            <w:r>
              <w:rPr>
                <w:rFonts w:ascii="宋体" w:hAnsi="宋体" w:cs="宋体" w:hint="eastAsia"/>
                <w:kern w:val="0"/>
                <w:sz w:val="15"/>
                <w:szCs w:val="15"/>
              </w:rPr>
              <w:t>√</w:t>
            </w:r>
            <w:permEnd w:id="133122839"/>
          </w:p>
        </w:tc>
      </w:tr>
    </w:tbl>
    <w:p w14:paraId="6911F255" w14:textId="77777777" w:rsidR="00470404" w:rsidRDefault="00FB533B">
      <w:pPr>
        <w:pStyle w:val="a5"/>
        <w:spacing w:before="0" w:after="0" w:line="240" w:lineRule="auto"/>
        <w:ind w:firstLineChars="200" w:firstLine="340"/>
        <w:jc w:val="center"/>
        <w:rPr>
          <w:b/>
          <w:color w:val="auto"/>
          <w:spacing w:val="10"/>
          <w:kern w:val="2"/>
          <w:sz w:val="15"/>
          <w:szCs w:val="15"/>
        </w:rPr>
      </w:pPr>
      <w:r>
        <w:rPr>
          <w:rFonts w:hint="eastAsia"/>
          <w:color w:val="auto"/>
          <w:spacing w:val="10"/>
          <w:kern w:val="2"/>
          <w:sz w:val="15"/>
          <w:szCs w:val="15"/>
        </w:rPr>
        <w:t>备注：√代表可以购买；×代表不能购买。</w:t>
      </w:r>
    </w:p>
    <w:p w14:paraId="528E417A" w14:textId="77777777" w:rsidR="00470404" w:rsidRDefault="00FB533B">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第五条</w:t>
      </w:r>
      <w:r>
        <w:rPr>
          <w:rFonts w:hint="eastAsia"/>
          <w:b/>
          <w:color w:val="auto"/>
          <w:spacing w:val="10"/>
          <w:kern w:val="2"/>
          <w:sz w:val="15"/>
          <w:szCs w:val="15"/>
        </w:rPr>
        <w:t xml:space="preserve"> </w:t>
      </w:r>
      <w:r>
        <w:rPr>
          <w:rFonts w:hint="eastAsia"/>
          <w:b/>
          <w:color w:val="auto"/>
          <w:spacing w:val="10"/>
          <w:kern w:val="2"/>
          <w:sz w:val="15"/>
          <w:szCs w:val="15"/>
        </w:rPr>
        <w:t>理财产品信息披露的方式、渠道和频率说明</w:t>
      </w:r>
    </w:p>
    <w:p w14:paraId="20086648" w14:textId="77777777" w:rsidR="00470404" w:rsidRDefault="00FB533B">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南银理财按照对应期次《理财产品说明书》约定的方式、渠道和频率进行信息披露。投资者应密切关注与本理财产品有关的信息披露，以免造成不必要的损失。</w:t>
      </w:r>
    </w:p>
    <w:p w14:paraId="3664F29A" w14:textId="77777777" w:rsidR="00470404" w:rsidRDefault="00FB533B">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投资者预留在南银理财或销售机构的有效联系方式变更的，应及时通知南银理财或销售机构。</w:t>
      </w:r>
      <w:r>
        <w:rPr>
          <w:rFonts w:hint="eastAsia"/>
          <w:b/>
          <w:color w:val="auto"/>
          <w:spacing w:val="10"/>
          <w:kern w:val="2"/>
          <w:sz w:val="15"/>
          <w:szCs w:val="15"/>
        </w:rPr>
        <w:t>如投资者未及时告知南银理财或销售机构联系方式变更，造成南银理财或销售机构在需要时无法联系投资者，并由此影响投资者的投资决策，因此而产生的责任和风险由投资者自行承担。</w:t>
      </w:r>
    </w:p>
    <w:p w14:paraId="3A90558D" w14:textId="77777777" w:rsidR="00470404" w:rsidRDefault="00FB533B">
      <w:pPr>
        <w:pStyle w:val="a5"/>
        <w:spacing w:before="0" w:after="0" w:line="240" w:lineRule="auto"/>
        <w:ind w:firstLineChars="200" w:firstLine="341"/>
        <w:rPr>
          <w:bCs/>
          <w:color w:val="auto"/>
          <w:spacing w:val="10"/>
          <w:kern w:val="2"/>
          <w:sz w:val="15"/>
          <w:szCs w:val="15"/>
        </w:rPr>
      </w:pPr>
      <w:r>
        <w:rPr>
          <w:rFonts w:hint="eastAsia"/>
          <w:b/>
          <w:color w:val="auto"/>
          <w:spacing w:val="10"/>
          <w:kern w:val="2"/>
          <w:sz w:val="15"/>
          <w:szCs w:val="15"/>
        </w:rPr>
        <w:t>第六条</w:t>
      </w:r>
      <w:r>
        <w:rPr>
          <w:rFonts w:hint="eastAsia"/>
          <w:b/>
          <w:color w:val="auto"/>
          <w:spacing w:val="10"/>
          <w:kern w:val="2"/>
          <w:sz w:val="15"/>
          <w:szCs w:val="15"/>
        </w:rPr>
        <w:t xml:space="preserve"> </w:t>
      </w:r>
      <w:r>
        <w:rPr>
          <w:rFonts w:hint="eastAsia"/>
          <w:b/>
          <w:color w:val="auto"/>
          <w:spacing w:val="10"/>
          <w:kern w:val="2"/>
          <w:sz w:val="15"/>
          <w:szCs w:val="15"/>
        </w:rPr>
        <w:t>投资者信息保护</w:t>
      </w:r>
    </w:p>
    <w:p w14:paraId="247C10D0" w14:textId="77777777" w:rsidR="00470404" w:rsidRDefault="00FB533B">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南银理财及销售机构承诺依法履行投资者信息保密义务，防范投资者信息被不当采集、使用、传输和泄露，保护</w:t>
      </w:r>
      <w:r>
        <w:rPr>
          <w:rFonts w:hint="eastAsia"/>
          <w:bCs/>
          <w:color w:val="auto"/>
          <w:spacing w:val="10"/>
          <w:kern w:val="2"/>
          <w:sz w:val="15"/>
          <w:szCs w:val="15"/>
        </w:rPr>
        <w:t>投资者的信息安全，法律法规另有规定，或有权机关另有要求的情形除外。</w:t>
      </w:r>
    </w:p>
    <w:p w14:paraId="77678133" w14:textId="77777777" w:rsidR="00470404" w:rsidRDefault="00FB533B">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第七条</w:t>
      </w:r>
      <w:r>
        <w:rPr>
          <w:rFonts w:hint="eastAsia"/>
          <w:b/>
          <w:color w:val="auto"/>
          <w:spacing w:val="10"/>
          <w:kern w:val="2"/>
          <w:sz w:val="15"/>
          <w:szCs w:val="15"/>
        </w:rPr>
        <w:t xml:space="preserve"> </w:t>
      </w:r>
      <w:r>
        <w:rPr>
          <w:rFonts w:hint="eastAsia"/>
          <w:b/>
          <w:color w:val="auto"/>
          <w:spacing w:val="10"/>
          <w:kern w:val="2"/>
          <w:sz w:val="15"/>
          <w:szCs w:val="15"/>
        </w:rPr>
        <w:t>投资者投诉的方式和程序</w:t>
      </w:r>
    </w:p>
    <w:p w14:paraId="619AD310" w14:textId="77777777" w:rsidR="00470404" w:rsidRDefault="00FB533B">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投资者若需针对产品的设计、成立、运作、到期清算或提前终止等事项进行投诉，</w:t>
      </w:r>
      <w:r>
        <w:rPr>
          <w:rFonts w:hint="eastAsia"/>
          <w:b/>
          <w:color w:val="auto"/>
          <w:spacing w:val="10"/>
          <w:kern w:val="2"/>
          <w:sz w:val="15"/>
          <w:szCs w:val="15"/>
        </w:rPr>
        <w:t>可与管理人或销售机构联系，管理人或销售机构将</w:t>
      </w:r>
      <w:r>
        <w:rPr>
          <w:rFonts w:hint="eastAsia"/>
          <w:b/>
          <w:color w:val="auto"/>
          <w:spacing w:val="10"/>
          <w:kern w:val="2"/>
          <w:sz w:val="15"/>
          <w:szCs w:val="15"/>
        </w:rPr>
        <w:t>及时接听、记录投资者的意见或建议，并</w:t>
      </w:r>
      <w:r>
        <w:rPr>
          <w:rFonts w:hint="eastAsia"/>
          <w:b/>
          <w:color w:val="auto"/>
          <w:spacing w:val="10"/>
          <w:kern w:val="2"/>
          <w:sz w:val="15"/>
          <w:szCs w:val="15"/>
        </w:rPr>
        <w:t>与投资者协商共同解决</w:t>
      </w:r>
      <w:r>
        <w:rPr>
          <w:rFonts w:hint="eastAsia"/>
          <w:bCs/>
          <w:color w:val="auto"/>
          <w:spacing w:val="10"/>
          <w:kern w:val="2"/>
          <w:sz w:val="15"/>
          <w:szCs w:val="15"/>
        </w:rPr>
        <w:t>。</w:t>
      </w:r>
    </w:p>
    <w:p w14:paraId="7BC418BD" w14:textId="77777777" w:rsidR="00470404" w:rsidRDefault="00FB533B">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第八条</w:t>
      </w:r>
      <w:r>
        <w:rPr>
          <w:rFonts w:hint="eastAsia"/>
          <w:b/>
          <w:color w:val="auto"/>
          <w:spacing w:val="10"/>
          <w:kern w:val="2"/>
          <w:sz w:val="15"/>
          <w:szCs w:val="15"/>
        </w:rPr>
        <w:t xml:space="preserve"> </w:t>
      </w:r>
      <w:r>
        <w:rPr>
          <w:rFonts w:hint="eastAsia"/>
          <w:b/>
          <w:color w:val="auto"/>
          <w:spacing w:val="10"/>
          <w:kern w:val="2"/>
          <w:sz w:val="15"/>
          <w:szCs w:val="15"/>
        </w:rPr>
        <w:t>联</w:t>
      </w:r>
      <w:r>
        <w:rPr>
          <w:rFonts w:hint="eastAsia"/>
          <w:b/>
          <w:color w:val="auto"/>
          <w:spacing w:val="10"/>
          <w:kern w:val="2"/>
          <w:sz w:val="15"/>
          <w:szCs w:val="15"/>
        </w:rPr>
        <w:t>系</w:t>
      </w:r>
      <w:r>
        <w:rPr>
          <w:rFonts w:hint="eastAsia"/>
          <w:b/>
          <w:color w:val="auto"/>
          <w:spacing w:val="10"/>
          <w:kern w:val="2"/>
          <w:sz w:val="15"/>
          <w:szCs w:val="15"/>
        </w:rPr>
        <w:t>方式</w:t>
      </w:r>
    </w:p>
    <w:p w14:paraId="49EF634B" w14:textId="77777777" w:rsidR="00470404" w:rsidRDefault="00FB533B">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在购买本理财产品前，请投资者确保完全明白本理财产品的性质、其中涉及的风险以及投资者的自身情况。投资者若对理财产品销售文件的内容有任何疑问，请向南银理财或销售机构各营业场所或营业网点咨询。联</w:t>
      </w:r>
      <w:r>
        <w:rPr>
          <w:rFonts w:hint="eastAsia"/>
          <w:b/>
          <w:color w:val="auto"/>
          <w:spacing w:val="10"/>
          <w:kern w:val="2"/>
          <w:sz w:val="15"/>
          <w:szCs w:val="15"/>
        </w:rPr>
        <w:t>系</w:t>
      </w:r>
      <w:r>
        <w:rPr>
          <w:rFonts w:hint="eastAsia"/>
          <w:b/>
          <w:color w:val="auto"/>
          <w:spacing w:val="10"/>
          <w:kern w:val="2"/>
          <w:sz w:val="15"/>
          <w:szCs w:val="15"/>
        </w:rPr>
        <w:t>方式分别如下：</w:t>
      </w:r>
    </w:p>
    <w:p w14:paraId="04DF1F3E" w14:textId="77777777" w:rsidR="00470404" w:rsidRDefault="00FB533B">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（一）南银理财联</w:t>
      </w:r>
      <w:r>
        <w:rPr>
          <w:rFonts w:hint="eastAsia"/>
          <w:bCs/>
          <w:color w:val="auto"/>
          <w:spacing w:val="10"/>
          <w:kern w:val="2"/>
          <w:sz w:val="15"/>
          <w:szCs w:val="15"/>
        </w:rPr>
        <w:t>系</w:t>
      </w:r>
      <w:r>
        <w:rPr>
          <w:rFonts w:hint="eastAsia"/>
          <w:bCs/>
          <w:color w:val="auto"/>
          <w:spacing w:val="10"/>
          <w:kern w:val="2"/>
          <w:sz w:val="15"/>
          <w:szCs w:val="15"/>
        </w:rPr>
        <w:t>方式</w:t>
      </w:r>
    </w:p>
    <w:p w14:paraId="55A312E6" w14:textId="77777777" w:rsidR="00470404" w:rsidRDefault="00FB533B">
      <w:pPr>
        <w:pStyle w:val="a5"/>
        <w:spacing w:before="0" w:after="0" w:line="240" w:lineRule="auto"/>
        <w:ind w:firstLineChars="200" w:firstLine="340"/>
        <w:rPr>
          <w:bCs/>
          <w:color w:val="auto"/>
          <w:spacing w:val="10"/>
          <w:kern w:val="2"/>
          <w:sz w:val="15"/>
          <w:szCs w:val="15"/>
        </w:rPr>
      </w:pPr>
      <w:permStart w:id="155910910" w:edGrp="everyone"/>
      <w:r>
        <w:rPr>
          <w:rFonts w:hint="eastAsia"/>
          <w:bCs/>
          <w:color w:val="auto"/>
          <w:spacing w:val="10"/>
          <w:kern w:val="2"/>
          <w:sz w:val="15"/>
          <w:szCs w:val="15"/>
        </w:rPr>
        <w:t xml:space="preserve"> </w:t>
      </w:r>
      <w:r>
        <w:rPr>
          <w:rFonts w:hint="eastAsia"/>
          <w:bCs/>
          <w:color w:val="auto"/>
          <w:spacing w:val="10"/>
          <w:kern w:val="2"/>
          <w:sz w:val="15"/>
          <w:szCs w:val="15"/>
        </w:rPr>
        <w:t>地址：</w:t>
      </w:r>
      <w:r>
        <w:rPr>
          <w:bCs/>
          <w:color w:val="auto"/>
          <w:spacing w:val="10"/>
          <w:kern w:val="2"/>
          <w:sz w:val="15"/>
          <w:szCs w:val="15"/>
        </w:rPr>
        <w:t>南京市建邺区庐山路</w:t>
      </w:r>
      <w:r>
        <w:rPr>
          <w:bCs/>
          <w:color w:val="auto"/>
          <w:spacing w:val="10"/>
          <w:kern w:val="2"/>
          <w:sz w:val="15"/>
          <w:szCs w:val="15"/>
        </w:rPr>
        <w:t>242</w:t>
      </w:r>
      <w:r>
        <w:rPr>
          <w:bCs/>
          <w:color w:val="auto"/>
          <w:spacing w:val="10"/>
          <w:kern w:val="2"/>
          <w:sz w:val="15"/>
          <w:szCs w:val="15"/>
        </w:rPr>
        <w:t>号</w:t>
      </w:r>
      <w:r>
        <w:rPr>
          <w:bCs/>
          <w:color w:val="auto"/>
          <w:spacing w:val="10"/>
          <w:kern w:val="2"/>
          <w:sz w:val="15"/>
          <w:szCs w:val="15"/>
        </w:rPr>
        <w:t>2</w:t>
      </w:r>
      <w:r>
        <w:rPr>
          <w:bCs/>
          <w:color w:val="auto"/>
          <w:spacing w:val="10"/>
          <w:kern w:val="2"/>
          <w:sz w:val="15"/>
          <w:szCs w:val="15"/>
        </w:rPr>
        <w:t>号楼</w:t>
      </w:r>
      <w:r>
        <w:rPr>
          <w:bCs/>
          <w:color w:val="auto"/>
          <w:spacing w:val="10"/>
          <w:kern w:val="2"/>
          <w:sz w:val="15"/>
          <w:szCs w:val="15"/>
        </w:rPr>
        <w:t>14-16</w:t>
      </w:r>
      <w:r>
        <w:rPr>
          <w:bCs/>
          <w:color w:val="auto"/>
          <w:spacing w:val="10"/>
          <w:kern w:val="2"/>
          <w:sz w:val="15"/>
          <w:szCs w:val="15"/>
        </w:rPr>
        <w:t>层</w:t>
      </w:r>
    </w:p>
    <w:p w14:paraId="22DDCDD5" w14:textId="77777777" w:rsidR="00470404" w:rsidRDefault="00FB533B">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4001195302</w:t>
      </w:r>
      <w:r>
        <w:rPr>
          <w:rFonts w:hint="eastAsia"/>
          <w:bCs/>
          <w:color w:val="auto"/>
          <w:spacing w:val="10"/>
          <w:kern w:val="2"/>
          <w:sz w:val="15"/>
          <w:szCs w:val="15"/>
        </w:rPr>
        <w:t xml:space="preserve"> </w:t>
      </w:r>
      <w:permEnd w:id="155910910"/>
    </w:p>
    <w:p w14:paraId="6D844549" w14:textId="77777777" w:rsidR="00470404" w:rsidRDefault="00FB533B">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（二）销售机构联</w:t>
      </w:r>
      <w:r>
        <w:rPr>
          <w:rFonts w:hint="eastAsia"/>
          <w:bCs/>
          <w:color w:val="auto"/>
          <w:spacing w:val="10"/>
          <w:kern w:val="2"/>
          <w:sz w:val="15"/>
          <w:szCs w:val="15"/>
        </w:rPr>
        <w:t>系</w:t>
      </w:r>
      <w:r>
        <w:rPr>
          <w:rFonts w:hint="eastAsia"/>
          <w:bCs/>
          <w:color w:val="auto"/>
          <w:spacing w:val="10"/>
          <w:kern w:val="2"/>
          <w:sz w:val="15"/>
          <w:szCs w:val="15"/>
        </w:rPr>
        <w:t>方式</w:t>
      </w:r>
    </w:p>
    <w:p w14:paraId="35FFD378" w14:textId="77777777" w:rsidR="00470404" w:rsidRDefault="00FB533B">
      <w:pPr>
        <w:pStyle w:val="a5"/>
        <w:spacing w:before="0" w:after="0" w:line="240" w:lineRule="auto"/>
        <w:ind w:firstLineChars="200" w:firstLine="341"/>
        <w:rPr>
          <w:bCs/>
          <w:color w:val="auto"/>
          <w:spacing w:val="10"/>
          <w:kern w:val="2"/>
          <w:sz w:val="15"/>
          <w:szCs w:val="15"/>
        </w:rPr>
      </w:pPr>
      <w:permStart w:id="1836654706" w:edGrp="everyone"/>
      <w:r>
        <w:rPr>
          <w:rFonts w:hint="eastAsia"/>
          <w:b/>
          <w:color w:val="auto"/>
          <w:spacing w:val="10"/>
          <w:kern w:val="2"/>
          <w:sz w:val="15"/>
          <w:szCs w:val="15"/>
        </w:rPr>
        <w:t xml:space="preserve"> </w:t>
      </w:r>
      <w:r>
        <w:rPr>
          <w:rFonts w:hint="eastAsia"/>
          <w:bCs/>
          <w:color w:val="auto"/>
          <w:spacing w:val="10"/>
          <w:kern w:val="2"/>
          <w:sz w:val="15"/>
          <w:szCs w:val="15"/>
        </w:rPr>
        <w:t>张家港市杨舍镇人民中路</w:t>
      </w:r>
      <w:r>
        <w:rPr>
          <w:rFonts w:hint="eastAsia"/>
          <w:bCs/>
          <w:color w:val="auto"/>
          <w:spacing w:val="10"/>
          <w:kern w:val="2"/>
          <w:sz w:val="15"/>
          <w:szCs w:val="15"/>
        </w:rPr>
        <w:t>66</w:t>
      </w:r>
      <w:r>
        <w:rPr>
          <w:rFonts w:hint="eastAsia"/>
          <w:bCs/>
          <w:color w:val="auto"/>
          <w:spacing w:val="10"/>
          <w:kern w:val="2"/>
          <w:sz w:val="15"/>
          <w:szCs w:val="15"/>
        </w:rPr>
        <w:t>号</w:t>
      </w:r>
    </w:p>
    <w:p w14:paraId="132B4E52" w14:textId="77777777" w:rsidR="00470404" w:rsidRDefault="00FB533B">
      <w:pPr>
        <w:pStyle w:val="a5"/>
        <w:spacing w:before="0" w:after="0" w:line="240" w:lineRule="auto"/>
        <w:ind w:firstLineChars="250" w:firstLine="425"/>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0512-56960032</w:t>
      </w:r>
    </w:p>
    <w:p w14:paraId="315864D8" w14:textId="77777777" w:rsidR="00470404" w:rsidRDefault="00FB533B">
      <w:pPr>
        <w:pStyle w:val="a5"/>
        <w:spacing w:before="0" w:after="0" w:line="240" w:lineRule="auto"/>
        <w:ind w:firstLineChars="250" w:firstLine="425"/>
        <w:rPr>
          <w:b/>
          <w:color w:val="auto"/>
          <w:spacing w:val="10"/>
          <w:kern w:val="2"/>
          <w:sz w:val="15"/>
          <w:szCs w:val="15"/>
        </w:rPr>
      </w:pPr>
      <w:r>
        <w:rPr>
          <w:rFonts w:hint="eastAsia"/>
          <w:bCs/>
          <w:color w:val="auto"/>
          <w:spacing w:val="10"/>
          <w:kern w:val="2"/>
          <w:sz w:val="15"/>
          <w:szCs w:val="15"/>
          <w:lang w:eastAsia="zh-Hans"/>
        </w:rPr>
        <w:t>官网</w:t>
      </w:r>
      <w:r>
        <w:rPr>
          <w:bCs/>
          <w:color w:val="auto"/>
          <w:spacing w:val="10"/>
          <w:kern w:val="2"/>
          <w:sz w:val="15"/>
          <w:szCs w:val="15"/>
          <w:lang w:eastAsia="zh-Hans"/>
        </w:rPr>
        <w:t>：</w:t>
      </w:r>
      <w:r>
        <w:rPr>
          <w:rFonts w:hint="eastAsia"/>
          <w:bCs/>
          <w:color w:val="auto"/>
          <w:spacing w:val="10"/>
          <w:kern w:val="2"/>
          <w:sz w:val="15"/>
          <w:szCs w:val="15"/>
        </w:rPr>
        <w:t xml:space="preserve">https://www.zrcbank.com </w:t>
      </w:r>
    </w:p>
    <w:permEnd w:id="1836654706"/>
    <w:p w14:paraId="4C191CCA" w14:textId="77777777" w:rsidR="00470404" w:rsidRDefault="00470404">
      <w:pPr>
        <w:pStyle w:val="a5"/>
        <w:spacing w:before="0" w:after="0" w:line="240" w:lineRule="auto"/>
        <w:ind w:firstLine="0"/>
        <w:jc w:val="both"/>
        <w:rPr>
          <w:b/>
          <w:color w:val="auto"/>
          <w:spacing w:val="10"/>
          <w:kern w:val="2"/>
          <w:sz w:val="15"/>
          <w:szCs w:val="15"/>
          <w:u w:val="single"/>
        </w:rPr>
      </w:pPr>
    </w:p>
    <w:p w14:paraId="0474B733" w14:textId="77777777" w:rsidR="00470404" w:rsidRDefault="00FB533B">
      <w:pPr>
        <w:pStyle w:val="a5"/>
        <w:spacing w:before="0" w:after="0" w:line="240" w:lineRule="auto"/>
        <w:ind w:firstLine="0"/>
        <w:jc w:val="center"/>
        <w:rPr>
          <w:b/>
          <w:color w:val="auto"/>
          <w:spacing w:val="10"/>
          <w:kern w:val="2"/>
          <w:sz w:val="15"/>
          <w:szCs w:val="15"/>
          <w:u w:val="single"/>
        </w:rPr>
      </w:pPr>
      <w:r>
        <w:rPr>
          <w:rFonts w:hint="eastAsia"/>
          <w:b/>
          <w:color w:val="auto"/>
          <w:spacing w:val="10"/>
          <w:kern w:val="2"/>
          <w:sz w:val="15"/>
          <w:szCs w:val="15"/>
          <w:u w:val="single"/>
        </w:rPr>
        <w:t>仔细阅读提示</w:t>
      </w:r>
    </w:p>
    <w:p w14:paraId="69490889" w14:textId="77777777" w:rsidR="00470404" w:rsidRDefault="00FB533B">
      <w:pPr>
        <w:ind w:firstLineChars="200" w:firstLine="341"/>
        <w:rPr>
          <w:b/>
          <w:spacing w:val="10"/>
          <w:sz w:val="15"/>
          <w:szCs w:val="15"/>
          <w:u w:val="single"/>
        </w:rPr>
      </w:pPr>
      <w:r>
        <w:rPr>
          <w:rFonts w:hint="eastAsia"/>
          <w:b/>
          <w:spacing w:val="10"/>
          <w:sz w:val="15"/>
          <w:szCs w:val="15"/>
          <w:u w:val="single"/>
        </w:rPr>
        <w:t>请投资者务必仔细阅读本理财产品销售文件，包括但不限于本理财产品对应的《理财产品销售协议书》《理财产品说明书》《理财产品风险揭示书》《投资者权益须知》《理财产品投资协议书》等，了解理财产品具体情况，关注投资风险，自主决定是否投资。</w:t>
      </w:r>
    </w:p>
    <w:p w14:paraId="7FA32330" w14:textId="77777777" w:rsidR="00470404" w:rsidRDefault="00470404"/>
    <w:p w14:paraId="27B5942F" w14:textId="77777777" w:rsidR="00470404" w:rsidRDefault="00470404">
      <w:pPr>
        <w:pStyle w:val="1"/>
      </w:pPr>
    </w:p>
    <w:p w14:paraId="729C558E" w14:textId="77777777" w:rsidR="00470404" w:rsidRDefault="00470404"/>
    <w:p w14:paraId="6E4B0512" w14:textId="77777777" w:rsidR="00470404" w:rsidRDefault="00470404">
      <w:pPr>
        <w:pStyle w:val="1"/>
      </w:pPr>
    </w:p>
    <w:p w14:paraId="5D727912" w14:textId="77777777" w:rsidR="00470404" w:rsidRDefault="00470404"/>
    <w:p w14:paraId="46E2C9FF" w14:textId="77777777" w:rsidR="00470404" w:rsidRDefault="00470404">
      <w:pPr>
        <w:pStyle w:val="1"/>
      </w:pPr>
    </w:p>
    <w:p w14:paraId="40517F32" w14:textId="77777777" w:rsidR="00470404" w:rsidRDefault="00470404"/>
    <w:p w14:paraId="697245C9" w14:textId="77777777" w:rsidR="00470404" w:rsidRDefault="00470404">
      <w:pPr>
        <w:pStyle w:val="1"/>
      </w:pPr>
    </w:p>
    <w:p w14:paraId="558CEC77" w14:textId="77777777" w:rsidR="00470404" w:rsidRDefault="00470404"/>
    <w:p w14:paraId="5C445CBA" w14:textId="77777777" w:rsidR="00470404" w:rsidRDefault="00470404">
      <w:pPr>
        <w:pStyle w:val="1"/>
      </w:pPr>
    </w:p>
    <w:p w14:paraId="1E25ADA5" w14:textId="77777777" w:rsidR="00470404" w:rsidRDefault="00470404"/>
    <w:p w14:paraId="6D8B1982" w14:textId="77777777" w:rsidR="00470404" w:rsidRDefault="00470404">
      <w:pPr>
        <w:pStyle w:val="1"/>
      </w:pPr>
    </w:p>
    <w:p w14:paraId="0AB8A77A" w14:textId="77777777" w:rsidR="00470404" w:rsidRDefault="00470404"/>
    <w:p w14:paraId="66610E49" w14:textId="77777777" w:rsidR="00470404" w:rsidRDefault="00470404">
      <w:pPr>
        <w:pStyle w:val="1"/>
      </w:pPr>
    </w:p>
    <w:p w14:paraId="2CA6B8D0" w14:textId="77777777" w:rsidR="00470404" w:rsidRDefault="00470404"/>
    <w:p w14:paraId="2C4A73AC" w14:textId="77777777" w:rsidR="00470404" w:rsidRDefault="00470404">
      <w:pPr>
        <w:pStyle w:val="1"/>
      </w:pPr>
    </w:p>
    <w:p w14:paraId="4DEE52FB" w14:textId="77777777" w:rsidR="00470404" w:rsidRDefault="00470404"/>
    <w:p w14:paraId="6381603C" w14:textId="77777777" w:rsidR="00470404" w:rsidRDefault="00470404">
      <w:pPr>
        <w:pStyle w:val="1"/>
      </w:pPr>
    </w:p>
    <w:p w14:paraId="6355CC72" w14:textId="77777777" w:rsidR="00470404" w:rsidRDefault="00470404"/>
    <w:p w14:paraId="0CC74BB0" w14:textId="77777777" w:rsidR="00470404" w:rsidRDefault="00470404">
      <w:pPr>
        <w:pStyle w:val="1"/>
      </w:pPr>
    </w:p>
    <w:p w14:paraId="7B1260A3" w14:textId="77777777" w:rsidR="00470404" w:rsidRDefault="00470404"/>
    <w:p w14:paraId="5F85EFE9" w14:textId="77777777" w:rsidR="00470404" w:rsidRDefault="00470404">
      <w:pPr>
        <w:pStyle w:val="1"/>
      </w:pPr>
    </w:p>
    <w:p w14:paraId="46D0895B" w14:textId="77777777" w:rsidR="00470404" w:rsidRDefault="00470404"/>
    <w:p w14:paraId="0D6118FF" w14:textId="77777777" w:rsidR="00470404" w:rsidRDefault="00470404">
      <w:pPr>
        <w:pStyle w:val="1"/>
      </w:pPr>
    </w:p>
    <w:p w14:paraId="4487D396" w14:textId="77777777" w:rsidR="00470404" w:rsidRDefault="00470404"/>
    <w:p w14:paraId="15AB0833" w14:textId="77777777" w:rsidR="00470404" w:rsidRDefault="00470404">
      <w:pPr>
        <w:pStyle w:val="1"/>
      </w:pPr>
    </w:p>
    <w:p w14:paraId="45A66F14" w14:textId="77777777" w:rsidR="00470404" w:rsidRDefault="00470404"/>
    <w:p w14:paraId="62F1D9D2" w14:textId="77777777" w:rsidR="00470404" w:rsidRDefault="00470404">
      <w:pPr>
        <w:pStyle w:val="11"/>
        <w:spacing w:line="300" w:lineRule="auto"/>
        <w:ind w:firstLineChars="0" w:firstLine="0"/>
        <w:jc w:val="center"/>
        <w:rPr>
          <w:rFonts w:ascii="方正黑体_GBK" w:eastAsia="方正黑体_GBK" w:hAnsi="宋体" w:cs="FZSSK--GBK1-0"/>
          <w:b/>
          <w:kern w:val="0"/>
          <w:sz w:val="24"/>
          <w:szCs w:val="24"/>
        </w:rPr>
      </w:pPr>
    </w:p>
    <w:p w14:paraId="515EAEA9" w14:textId="77777777" w:rsidR="00470404" w:rsidRDefault="00470404">
      <w:pPr>
        <w:pStyle w:val="11"/>
        <w:spacing w:line="300" w:lineRule="auto"/>
        <w:ind w:firstLineChars="0" w:firstLine="0"/>
        <w:jc w:val="center"/>
        <w:rPr>
          <w:rFonts w:ascii="方正黑体_GBK" w:eastAsia="方正黑体_GBK" w:hAnsi="宋体" w:cs="FZSSK--GBK1-0"/>
          <w:b/>
          <w:kern w:val="0"/>
          <w:sz w:val="24"/>
          <w:szCs w:val="24"/>
        </w:rPr>
      </w:pPr>
    </w:p>
    <w:p w14:paraId="586D5D2B" w14:textId="77777777" w:rsidR="00470404" w:rsidRDefault="00FB533B">
      <w:pPr>
        <w:pStyle w:val="11"/>
        <w:spacing w:line="300" w:lineRule="auto"/>
        <w:ind w:firstLineChars="0" w:firstLine="0"/>
        <w:jc w:val="center"/>
        <w:rPr>
          <w:rFonts w:ascii="方正黑体_GBK" w:eastAsia="方正黑体_GBK" w:hAnsi="宋体" w:cs="宋体"/>
          <w:b/>
          <w:sz w:val="24"/>
          <w:szCs w:val="24"/>
        </w:rPr>
      </w:pPr>
      <w:r>
        <w:rPr>
          <w:rFonts w:ascii="方正黑体_GBK" w:eastAsia="方正黑体_GBK" w:hAnsi="宋体" w:cs="FZSSK--GBK1-0" w:hint="eastAsia"/>
          <w:b/>
          <w:kern w:val="0"/>
          <w:sz w:val="24"/>
          <w:szCs w:val="24"/>
        </w:rPr>
        <w:t>理财产品投资协议书</w:t>
      </w:r>
    </w:p>
    <w:p w14:paraId="157899BC" w14:textId="77777777" w:rsidR="00470404" w:rsidRDefault="00FB533B">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经南银理财有限责任公司（下称“甲方”或“理财产品管理人”）与投资者（下称“乙方”）协商一致，就乙方购买的对应期次理财产品投资事宜，达成如下协议：</w:t>
      </w:r>
    </w:p>
    <w:p w14:paraId="0A52A5B0" w14:textId="77777777" w:rsidR="00470404" w:rsidRDefault="00FB533B">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一、重要提示</w:t>
      </w:r>
    </w:p>
    <w:p w14:paraId="3DEA758E" w14:textId="77777777" w:rsidR="00470404" w:rsidRDefault="00FB533B">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b/>
          <w:sz w:val="15"/>
          <w:szCs w:val="15"/>
        </w:rPr>
        <w:t>理财非存款、产品有风险、投资须谨慎。</w:t>
      </w:r>
      <w:r>
        <w:rPr>
          <w:rFonts w:ascii="方正黑体_GBK" w:eastAsia="方正黑体_GBK" w:hAnsi="宋体" w:cs="宋体" w:hint="eastAsia"/>
          <w:sz w:val="15"/>
          <w:szCs w:val="15"/>
        </w:rPr>
        <w:t>理财产品面临的风险详见对应期次《理财产品风险揭示书》和《理财产品说明书》的详细条款，乙方应仔细阅读并充分理解对应期次理财产品可能发生的风险。</w:t>
      </w:r>
    </w:p>
    <w:p w14:paraId="0DA8CC95" w14:textId="77777777" w:rsidR="00470404" w:rsidRDefault="00FB533B">
      <w:pPr>
        <w:pStyle w:val="11"/>
        <w:spacing w:line="300" w:lineRule="auto"/>
        <w:ind w:firstLineChars="0" w:firstLine="442"/>
        <w:rPr>
          <w:rFonts w:ascii="方正黑体_GBK" w:eastAsia="方正黑体_GBK" w:hAnsi="宋体" w:cs="宋体"/>
          <w:sz w:val="15"/>
          <w:szCs w:val="15"/>
        </w:rPr>
      </w:pPr>
      <w:r>
        <w:rPr>
          <w:rFonts w:ascii="方正黑体_GBK" w:eastAsia="方正黑体_GBK" w:hAnsi="宋体" w:cs="宋体" w:hint="eastAsia"/>
          <w:b/>
          <w:bCs/>
          <w:sz w:val="15"/>
          <w:szCs w:val="15"/>
        </w:rPr>
        <w:t>本协议为理财产品销售文件不可分割之组成部分，乙方签署本协议（含电子渠道）视为已详细阅读过本协议及完整理财产品完整销售文件并且充分理解本理财产品销售文件各项条款和潜在风险，自愿购买本理财产品，同意、确认并遵守对应期次的《理财产品说明书》《理财产品风险揭示书》《理财产品销售协议书》及《投资者权益须知》等完整理财产品销售文件中的各项条款。</w:t>
      </w:r>
    </w:p>
    <w:p w14:paraId="0BB4B679" w14:textId="77777777" w:rsidR="00470404" w:rsidRDefault="00FB533B">
      <w:pPr>
        <w:pStyle w:val="11"/>
        <w:spacing w:line="300" w:lineRule="auto"/>
        <w:ind w:firstLine="301"/>
        <w:rPr>
          <w:rFonts w:ascii="方正黑体_GBK" w:eastAsia="方正黑体_GBK" w:hAnsi="宋体" w:cs="宋体"/>
          <w:b/>
          <w:sz w:val="15"/>
          <w:szCs w:val="15"/>
        </w:rPr>
      </w:pPr>
      <w:r>
        <w:rPr>
          <w:rFonts w:ascii="方正黑体_GBK" w:eastAsia="方正黑体_GBK" w:hAnsi="宋体" w:cs="宋体" w:hint="eastAsia"/>
          <w:b/>
          <w:sz w:val="15"/>
          <w:szCs w:val="15"/>
        </w:rPr>
        <w:t>二、双方权利与义务</w:t>
      </w:r>
    </w:p>
    <w:p w14:paraId="2089493A" w14:textId="77777777" w:rsidR="00470404" w:rsidRDefault="00FB533B">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（一）甲方的权利与义务</w:t>
      </w:r>
    </w:p>
    <w:p w14:paraId="31192945" w14:textId="77777777" w:rsidR="00470404" w:rsidRDefault="00FB533B">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甲方应当履行恪尽职守、勤勉尽责、诚实守信、有效管理的义务。</w:t>
      </w:r>
    </w:p>
    <w:p w14:paraId="7D97A2A0" w14:textId="77777777" w:rsidR="00470404" w:rsidRDefault="00FB533B">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按照法律法规及对应期次《理财产品说明书》约定的投资范围和权限内，</w:t>
      </w:r>
      <w:r>
        <w:rPr>
          <w:rFonts w:ascii="方正黑体_GBK" w:eastAsia="方正黑体_GBK" w:hAnsi="宋体" w:cs="宋体" w:hint="eastAsia"/>
          <w:sz w:val="15"/>
          <w:szCs w:val="15"/>
        </w:rPr>
        <w:t>甲方拥有管理和运用理财资金的权利。</w:t>
      </w:r>
    </w:p>
    <w:p w14:paraId="4351304E" w14:textId="77777777" w:rsidR="00470404" w:rsidRDefault="00FB533B">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甲方应当按照对应期次《理财产品说明书》的约定向乙方分配收益。</w:t>
      </w:r>
    </w:p>
    <w:p w14:paraId="610E8C47" w14:textId="77777777" w:rsidR="00470404" w:rsidRDefault="00FB533B">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甲方有权按照对应期次《理财产品说明书》的约定收取相应费用。</w:t>
      </w:r>
    </w:p>
    <w:p w14:paraId="1B907EF1" w14:textId="77777777" w:rsidR="00470404" w:rsidRDefault="00FB533B">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6A179D30" w14:textId="77777777" w:rsidR="00470404" w:rsidRDefault="00FB533B">
      <w:pPr>
        <w:pStyle w:val="11"/>
        <w:spacing w:line="300" w:lineRule="auto"/>
        <w:ind w:firstLine="300"/>
        <w:rPr>
          <w:rFonts w:ascii="方正黑体_GBK" w:eastAsia="方正黑体_GBK" w:hAnsi="宋体" w:cs="宋体"/>
          <w:b/>
          <w:bCs/>
          <w:sz w:val="15"/>
          <w:szCs w:val="15"/>
        </w:rPr>
      </w:pPr>
      <w:r>
        <w:rPr>
          <w:rFonts w:ascii="方正黑体_GBK" w:eastAsia="方正黑体_GBK" w:hAnsi="宋体" w:cs="宋体" w:hint="eastAsia"/>
          <w:sz w:val="15"/>
          <w:szCs w:val="15"/>
        </w:rPr>
        <w:t>6.</w:t>
      </w:r>
      <w:r>
        <w:rPr>
          <w:rFonts w:ascii="方正黑体_GBK" w:eastAsia="方正黑体_GBK" w:hAnsi="宋体" w:cs="宋体" w:hint="eastAsia"/>
          <w:sz w:val="15"/>
          <w:szCs w:val="15"/>
        </w:rPr>
        <w:t>甲方作为理财产品管理人，全权负责理财产品资金的运用和</w:t>
      </w:r>
      <w:r>
        <w:rPr>
          <w:rFonts w:ascii="方正黑体_GBK" w:eastAsia="方正黑体_GBK" w:hAnsi="宋体" w:cs="宋体" w:hint="eastAsia"/>
          <w:sz w:val="15"/>
          <w:szCs w:val="15"/>
        </w:rPr>
        <w:t>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宋体" w:cs="宋体" w:hint="eastAsia"/>
          <w:sz w:val="15"/>
          <w:szCs w:val="15"/>
        </w:rPr>
        <w:t>/</w:t>
      </w:r>
      <w:r>
        <w:rPr>
          <w:rFonts w:ascii="方正黑体_GBK" w:eastAsia="方正黑体_GBK" w:hAnsi="宋体" w:cs="宋体" w:hint="eastAsia"/>
          <w:sz w:val="15"/>
          <w:szCs w:val="15"/>
        </w:rPr>
        <w:t>仲裁、申请保全</w:t>
      </w:r>
      <w:r>
        <w:rPr>
          <w:rFonts w:ascii="方正黑体_GBK" w:eastAsia="方正黑体_GBK" w:hAnsi="宋体" w:cs="宋体" w:hint="eastAsia"/>
          <w:sz w:val="15"/>
          <w:szCs w:val="15"/>
        </w:rPr>
        <w:t>/</w:t>
      </w:r>
      <w:r>
        <w:rPr>
          <w:rFonts w:ascii="方正黑体_GBK" w:eastAsia="方正黑体_GBK" w:hAnsi="宋体" w:cs="宋体" w:hint="eastAsia"/>
          <w:sz w:val="15"/>
          <w:szCs w:val="15"/>
        </w:rPr>
        <w:t>执行等，由此产生的费用由理财产品承担，在实际发生时列支。</w:t>
      </w:r>
    </w:p>
    <w:p w14:paraId="30836E96" w14:textId="77777777" w:rsidR="00470404" w:rsidRDefault="00FB533B">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7.</w:t>
      </w:r>
      <w:r>
        <w:rPr>
          <w:rFonts w:ascii="方正黑体_GBK" w:eastAsia="方正黑体_GBK" w:hAnsi="宋体" w:cs="宋体" w:hint="eastAsia"/>
          <w:sz w:val="15"/>
          <w:szCs w:val="15"/>
        </w:rPr>
        <w:t>甲方有权根据产品运作的需要选任必要的业务合作机构，并确定合作模式等相关内</w:t>
      </w:r>
      <w:r>
        <w:rPr>
          <w:rFonts w:ascii="方正黑体_GBK" w:eastAsia="方正黑体_GBK" w:hAnsi="宋体" w:cs="宋体" w:hint="eastAsia"/>
          <w:sz w:val="15"/>
          <w:szCs w:val="15"/>
        </w:rPr>
        <w:t>容。</w:t>
      </w:r>
    </w:p>
    <w:p w14:paraId="5C06AE83" w14:textId="77777777" w:rsidR="00470404" w:rsidRDefault="00FB533B">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sz w:val="15"/>
          <w:szCs w:val="15"/>
        </w:rPr>
        <w:t>8.</w:t>
      </w:r>
      <w:r>
        <w:rPr>
          <w:rFonts w:ascii="方正黑体_GBK" w:eastAsia="方正黑体_GBK" w:hAnsi="宋体" w:cs="宋体" w:hint="eastAsia"/>
          <w:b/>
          <w:bCs/>
          <w:sz w:val="15"/>
          <w:szCs w:val="15"/>
        </w:rPr>
        <w:t>在本理财产品存续期内：</w:t>
      </w:r>
    </w:p>
    <w:p w14:paraId="06C2FE89" w14:textId="77777777" w:rsidR="00470404" w:rsidRDefault="00FB533B">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1</w:t>
      </w:r>
      <w:r>
        <w:rPr>
          <w:rFonts w:ascii="方正黑体_GBK" w:eastAsia="方正黑体_GBK" w:hAnsi="宋体" w:cs="宋体" w:hint="eastAsia"/>
          <w:b/>
          <w:bCs/>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52B0403" w14:textId="77777777" w:rsidR="00470404" w:rsidRDefault="00FB533B">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2</w:t>
      </w:r>
      <w:r>
        <w:rPr>
          <w:rFonts w:ascii="方正黑体_GBK" w:eastAsia="方正黑体_GBK" w:hAnsi="宋体" w:cs="宋体" w:hint="eastAsia"/>
          <w:b/>
          <w:bCs/>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甲方有权单方面对本理财产品的销售文件进行修订，包括但不限于对本理财产品的投资范</w:t>
      </w:r>
      <w:r>
        <w:rPr>
          <w:rFonts w:ascii="方正黑体_GBK" w:eastAsia="方正黑体_GBK" w:hAnsi="宋体" w:cs="宋体" w:hint="eastAsia"/>
          <w:b/>
          <w:bCs/>
          <w:sz w:val="15"/>
          <w:szCs w:val="15"/>
        </w:rPr>
        <w:t>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EC19117" w14:textId="77777777" w:rsidR="00470404" w:rsidRDefault="00FB533B">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投资者特此同意并授权甲方及销售机构有权按照法律法规规定，遵循正当、必要的原则，收集、使用投资者个人信息，包括但不限于根据法</w:t>
      </w:r>
      <w:r>
        <w:rPr>
          <w:rFonts w:ascii="方正黑体_GBK" w:eastAsia="方正黑体_GBK" w:hAnsi="宋体" w:cs="宋体" w:hint="eastAsia"/>
          <w:b/>
          <w:bCs/>
          <w:sz w:val="15"/>
          <w:szCs w:val="15"/>
        </w:rPr>
        <w:t>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甲方及销售机构保证信息采集、处理及使用的安全性和合法性。</w:t>
      </w:r>
    </w:p>
    <w:p w14:paraId="17129908" w14:textId="77777777" w:rsidR="00470404" w:rsidRDefault="00FB533B">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10.</w:t>
      </w:r>
      <w:r>
        <w:rPr>
          <w:rFonts w:ascii="方正黑体_GBK" w:eastAsia="方正黑体_GBK" w:hAnsi="宋体" w:cs="宋体" w:hint="eastAsia"/>
          <w:sz w:val="15"/>
          <w:szCs w:val="15"/>
        </w:rPr>
        <w:t>法律法规规定或理财产品销售文件约定的其它权利及义务。</w:t>
      </w:r>
    </w:p>
    <w:p w14:paraId="13592ACA" w14:textId="77777777" w:rsidR="00470404" w:rsidRDefault="00FB533B">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（二）乙方的权利与义务</w:t>
      </w:r>
    </w:p>
    <w:p w14:paraId="57DCF328" w14:textId="77777777" w:rsidR="00470404" w:rsidRDefault="00FB533B">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乙方保证具有完全民事行为能力，有完全适当的资格与能力订立并履行本协议。</w:t>
      </w:r>
    </w:p>
    <w:p w14:paraId="4C6DF5CC" w14:textId="77777777" w:rsidR="00470404" w:rsidRDefault="00FB533B">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乙方能够自行识别、判断和承担理财产品的相关风险；不存在法律法规、有权</w:t>
      </w:r>
      <w:r>
        <w:rPr>
          <w:rFonts w:ascii="方正黑体_GBK" w:eastAsia="方正黑体_GBK" w:hAnsi="宋体" w:cs="宋体" w:hint="eastAsia"/>
          <w:sz w:val="15"/>
          <w:szCs w:val="15"/>
        </w:rPr>
        <w:t>机关或主管机关禁止或限制购买理财产品的各种情形。乙方按其购买金额在对应期次理财协议中享有相应的权利，承担相应的义务和风险。</w:t>
      </w:r>
    </w:p>
    <w:p w14:paraId="2D400B33" w14:textId="77777777" w:rsidR="00470404" w:rsidRDefault="00FB533B">
      <w:pPr>
        <w:pStyle w:val="11"/>
        <w:spacing w:line="300" w:lineRule="auto"/>
        <w:ind w:firstLineChars="280"/>
        <w:rPr>
          <w:rFonts w:ascii="方正黑体_GBK" w:eastAsia="方正黑体_GBK" w:hAnsi="宋体" w:cs="宋体"/>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乙方自愿购买甲方管理的理财产品，接受甲方提供的投资理财服务。甲方向乙方提供的市场分析和预测（如有）仅供参考，乙方据此做出的任何决策均出于乙方自身的判断，甲方不承担任何责任。</w:t>
      </w:r>
    </w:p>
    <w:p w14:paraId="48732347" w14:textId="77777777" w:rsidR="00470404" w:rsidRDefault="00FB533B">
      <w:pPr>
        <w:pStyle w:val="11"/>
        <w:spacing w:line="300" w:lineRule="auto"/>
        <w:ind w:firstLineChars="280"/>
        <w:rPr>
          <w:rFonts w:ascii="方正黑体_GBK" w:eastAsia="方正黑体_GBK" w:hAnsi="宋体" w:cs="宋体"/>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乙方已仔细阅读《投资者权益须知》《理财产品说明书》并清楚知晓其内容，接受并签署《理财产品风险揭示书》《理财产品销售协议书》和本协议。</w:t>
      </w:r>
    </w:p>
    <w:p w14:paraId="7241D02A" w14:textId="77777777" w:rsidR="00470404" w:rsidRDefault="00FB533B">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乙方已充分知悉对应期次理财产品风险等级（该产品通过代理销售机构渠道销</w:t>
      </w:r>
      <w:r>
        <w:rPr>
          <w:rFonts w:ascii="方正黑体_GBK" w:eastAsia="方正黑体_GBK" w:hAnsi="宋体" w:cs="宋体" w:hint="eastAsia"/>
          <w:sz w:val="15"/>
          <w:szCs w:val="15"/>
        </w:rPr>
        <w:t>售的，理财产品评级应当以代理销售机构最终披露的评级结果为准），并确定以相应理财资金购买对应期次理财产品，乙方承诺由此产生的相关风险由其自身承担。</w:t>
      </w:r>
    </w:p>
    <w:p w14:paraId="006C3C26" w14:textId="77777777" w:rsidR="00470404" w:rsidRDefault="00FB533B">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6.</w:t>
      </w:r>
      <w:r>
        <w:rPr>
          <w:rFonts w:ascii="方正黑体_GBK" w:eastAsia="方正黑体_GBK" w:hAnsi="宋体" w:cs="宋体" w:hint="eastAsia"/>
          <w:b/>
          <w:bCs/>
          <w:sz w:val="15"/>
          <w:szCs w:val="15"/>
        </w:rPr>
        <w:t>乙方应当保证其理财资金为合法拥有的自有资金，不得使用贷款、发行债券等方式筹集的非自有资金购买理财产品，不存在涉嫌洗钱、恶意逃避税收征收管理等违法违规行为，保证可提供资金来源合法的证明文件，配合甲方或销售机构为识别合格投资者等目的进行的尽职调查。</w:t>
      </w:r>
    </w:p>
    <w:p w14:paraId="69F59D49" w14:textId="77777777" w:rsidR="00470404" w:rsidRDefault="00FB533B">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7.</w:t>
      </w:r>
      <w:r>
        <w:rPr>
          <w:rFonts w:ascii="方正黑体_GBK" w:eastAsia="方正黑体_GBK" w:hAnsi="宋体" w:cs="宋体" w:hint="eastAsia"/>
          <w:b/>
          <w:bCs/>
          <w:sz w:val="15"/>
          <w:szCs w:val="15"/>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甲方或销售机构发现或有合理理由怀疑乙方或</w:t>
      </w:r>
      <w:r>
        <w:rPr>
          <w:rFonts w:ascii="方正黑体_GBK" w:eastAsia="方正黑体_GBK" w:hAnsi="宋体" w:cs="宋体" w:hint="eastAsia"/>
          <w:b/>
          <w:bCs/>
          <w:sz w:val="15"/>
          <w:szCs w:val="15"/>
        </w:rPr>
        <w:t>其资金存在洗钱、恐怖融资、逃税等嫌疑，甲方有权提前终止本协议，造成乙方损失的，甲方不承担责任。</w:t>
      </w:r>
    </w:p>
    <w:p w14:paraId="3E445F0E" w14:textId="77777777" w:rsidR="00470404" w:rsidRDefault="00FB533B">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8</w:t>
      </w:r>
      <w:r>
        <w:rPr>
          <w:rFonts w:ascii="方正黑体_GBK" w:eastAsia="方正黑体_GBK" w:hAnsi="宋体" w:cs="宋体" w:hint="eastAsia"/>
          <w:sz w:val="15"/>
          <w:szCs w:val="15"/>
        </w:rPr>
        <w:t>.</w:t>
      </w:r>
      <w:r>
        <w:rPr>
          <w:rFonts w:ascii="方正黑体_GBK" w:eastAsia="方正黑体_GBK" w:hAnsi="宋体" w:cs="宋体" w:hint="eastAsia"/>
          <w:b/>
          <w:bCs/>
          <w:sz w:val="15"/>
          <w:szCs w:val="15"/>
        </w:rPr>
        <w:t>乙方应确保其提供的所有资料真实、完整、合法、有效，如果有任何变更，乙方应及时通知甲方或销售机构并办理变更手续。如因乙方未及时通知甲方或销售机构并办理相应的变更手续，由此导致的一切后果由乙方承担。</w:t>
      </w:r>
    </w:p>
    <w:p w14:paraId="6BC166C5" w14:textId="77777777" w:rsidR="00470404" w:rsidRDefault="00FB533B">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40615730" w14:textId="77777777" w:rsidR="00470404" w:rsidRDefault="00FB533B">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10.</w:t>
      </w:r>
      <w:r>
        <w:rPr>
          <w:rFonts w:ascii="方正黑体_GBK" w:eastAsia="方正黑体_GBK" w:hAnsi="宋体" w:cs="宋体" w:hint="eastAsia"/>
          <w:b/>
          <w:bCs/>
          <w:sz w:val="15"/>
          <w:szCs w:val="15"/>
        </w:rPr>
        <w:t>乙方对因购买、持有本理财产品而知悉的甲方及销售机构保密信息承担保密义务，乙方承诺不以任何方式向任何第三方披露甲方或销售机构的保密信息，法律法规另有规定的除外。</w:t>
      </w:r>
    </w:p>
    <w:p w14:paraId="3A81D3E9" w14:textId="77777777" w:rsidR="00470404" w:rsidRDefault="00FB533B">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11.</w:t>
      </w:r>
      <w:r>
        <w:rPr>
          <w:rFonts w:ascii="方正黑体_GBK" w:eastAsia="方正黑体_GBK" w:hAnsi="宋体" w:cs="宋体" w:hint="eastAsia"/>
          <w:sz w:val="15"/>
          <w:szCs w:val="15"/>
        </w:rPr>
        <w:t>法律法规规定或理财产品销售文件约定的其它权利及义务。</w:t>
      </w:r>
    </w:p>
    <w:p w14:paraId="1491160A" w14:textId="77777777" w:rsidR="00470404" w:rsidRDefault="00FB533B">
      <w:pPr>
        <w:pStyle w:val="11"/>
        <w:spacing w:line="300" w:lineRule="auto"/>
        <w:ind w:firstLine="301"/>
        <w:rPr>
          <w:rFonts w:ascii="方正黑体_GBK" w:eastAsia="方正黑体_GBK" w:hAnsi="宋体" w:cs="宋体"/>
          <w:b/>
          <w:sz w:val="15"/>
          <w:szCs w:val="15"/>
        </w:rPr>
      </w:pPr>
      <w:r>
        <w:rPr>
          <w:rFonts w:ascii="方正黑体_GBK" w:eastAsia="方正黑体_GBK" w:hAnsi="宋体" w:cs="宋体" w:hint="eastAsia"/>
          <w:b/>
          <w:sz w:val="15"/>
          <w:szCs w:val="15"/>
        </w:rPr>
        <w:t>三、协议的生效和终止</w:t>
      </w:r>
    </w:p>
    <w:p w14:paraId="42C9CE2A" w14:textId="77777777" w:rsidR="00470404" w:rsidRDefault="00FB533B">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一）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w:t>
      </w:r>
      <w:r>
        <w:rPr>
          <w:rFonts w:ascii="方正黑体_GBK" w:eastAsia="方正黑体_GBK" w:hAnsi="宋体" w:cs="宋体" w:hint="eastAsia"/>
          <w:sz w:val="15"/>
          <w:szCs w:val="15"/>
        </w:rPr>
        <w:t>成立并生效。</w:t>
      </w:r>
    </w:p>
    <w:p w14:paraId="08F6CEA4" w14:textId="77777777" w:rsidR="00470404" w:rsidRDefault="00FB533B">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二）本协议书以数据电文形式订立的，乙方应在电子渠道仔细阅读本协议的所有条款，对本协议条款的含义及相应的法律后果应全部知晓并充分理解，同意接受本协议条款。本协议自乙方成功缴纳购买资金并经甲方系统确认购买份额后成立并生效。</w:t>
      </w:r>
    </w:p>
    <w:p w14:paraId="72C04F11" w14:textId="77777777" w:rsidR="00470404" w:rsidRDefault="00FB533B">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（三）乙方购买理财产品失败、甲方提前终止对应期次理财产品以及对应期次理财产品到期并结清后，本协议自动终止。</w:t>
      </w:r>
    </w:p>
    <w:p w14:paraId="69F7E1BE" w14:textId="77777777" w:rsidR="00470404" w:rsidRDefault="00FB533B">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四、不可抗力及其他免责条款</w:t>
      </w:r>
    </w:p>
    <w:p w14:paraId="150708B0" w14:textId="77777777" w:rsidR="00470404" w:rsidRDefault="00FB533B">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因法律法规及监管政策变化、自然灾害、战争等不能预见、不能避免、不能克服的不可抗力事件或系统故障、通讯故障、投资市场停止交易等意外事件，导致甲</w:t>
      </w:r>
      <w:r>
        <w:rPr>
          <w:rFonts w:ascii="方正黑体_GBK" w:eastAsia="方正黑体_GBK" w:hAnsi="宋体" w:cs="宋体" w:hint="eastAsia"/>
          <w:b/>
          <w:bCs/>
          <w:sz w:val="15"/>
          <w:szCs w:val="15"/>
        </w:rPr>
        <w:t>方无法或延后履行本协议的有关义务，甲方不承担责任，但应以适当的方式通知乙方，并采取一切必要的补救措施以减少有关损失。由于国家的有关法律、法规、规章、政策的改变、紧急措施的出台而导致的风险，甲方不承担责任。</w:t>
      </w:r>
    </w:p>
    <w:p w14:paraId="42083A2F" w14:textId="77777777" w:rsidR="00470404" w:rsidRDefault="00FB533B">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非因甲方原因（包括但不限于理财产品投资者遗失理财产品销售文件、理财产品销售文件被盗用等原因）造成的损失，甲方不承担责任。</w:t>
      </w:r>
    </w:p>
    <w:p w14:paraId="466911F8" w14:textId="77777777" w:rsidR="00470404" w:rsidRDefault="00FB533B">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五、争议解决</w:t>
      </w:r>
    </w:p>
    <w:p w14:paraId="7BA0F718" w14:textId="77777777" w:rsidR="00470404" w:rsidRDefault="00FB533B">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甲乙双方因履行本协议或与本协议有关的活动而产生的一切争议，应首先本着诚实信用原则通过友好协商解决；不能协商解决的，由甲方所在地人民法院诉讼解决。本协议适用中华人民共和国（</w:t>
      </w:r>
      <w:r>
        <w:rPr>
          <w:rFonts w:ascii="方正黑体_GBK" w:eastAsia="方正黑体_GBK" w:hAnsi="宋体" w:cs="宋体" w:hint="eastAsia"/>
          <w:b/>
          <w:bCs/>
          <w:sz w:val="15"/>
          <w:szCs w:val="15"/>
        </w:rPr>
        <w:t>为各项理财产品销售文件之目的，不包括香港特别行政区、澳门特别行政区和台湾地区）法律。</w:t>
      </w:r>
    </w:p>
    <w:p w14:paraId="222FFAD1" w14:textId="77777777" w:rsidR="00470404" w:rsidRDefault="00FB533B">
      <w:pPr>
        <w:pStyle w:val="11"/>
        <w:spacing w:line="300" w:lineRule="auto"/>
        <w:ind w:firstLine="301"/>
        <w:rPr>
          <w:rFonts w:ascii="方正黑体_GBK" w:eastAsia="方正黑体_GBK" w:hAnsi="宋体" w:cs="宋体"/>
          <w:sz w:val="15"/>
          <w:szCs w:val="15"/>
        </w:rPr>
      </w:pPr>
      <w:r>
        <w:rPr>
          <w:rFonts w:ascii="方正黑体_GBK" w:eastAsia="方正黑体_GBK" w:hAnsi="宋体" w:cs="宋体" w:hint="eastAsia"/>
          <w:b/>
          <w:bCs/>
          <w:sz w:val="15"/>
          <w:szCs w:val="15"/>
        </w:rPr>
        <w:t>六、</w:t>
      </w:r>
      <w:r>
        <w:rPr>
          <w:rFonts w:ascii="方正黑体_GBK" w:eastAsia="方正黑体_GBK" w:hAnsi="宋体" w:cs="宋体" w:hint="eastAsia"/>
          <w:sz w:val="15"/>
          <w:szCs w:val="15"/>
        </w:rPr>
        <w:t>本协议未尽事宜，以《理财产品说明书》《理财产品风险揭示书》《理财产品销售协议书》及《投资者权益须知》等销售文件的内容为准。</w:t>
      </w:r>
    </w:p>
    <w:p w14:paraId="01B57F7E" w14:textId="77777777" w:rsidR="00470404" w:rsidRDefault="00470404">
      <w:pPr>
        <w:pStyle w:val="11"/>
        <w:spacing w:line="300" w:lineRule="auto"/>
        <w:ind w:firstLine="300"/>
        <w:rPr>
          <w:rFonts w:ascii="方正黑体_GBK" w:eastAsia="方正黑体_GBK" w:hAnsi="宋体" w:cs="宋体"/>
          <w:sz w:val="15"/>
          <w:szCs w:val="15"/>
        </w:rPr>
      </w:pPr>
    </w:p>
    <w:p w14:paraId="7D336962" w14:textId="77777777" w:rsidR="00470404" w:rsidRDefault="00FB533B">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请投资者在购买本理财产品前认真阅读以上条款，尤其是加粗的条款。如果投资者不同意本协议的任何内容，或者无法准确理解相关条款的解释，请不要进行后续操作。</w:t>
      </w:r>
    </w:p>
    <w:p w14:paraId="56443D06" w14:textId="77777777" w:rsidR="00470404" w:rsidRDefault="00FB533B">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（以下无正文）</w:t>
      </w:r>
    </w:p>
    <w:p w14:paraId="36F66CBB" w14:textId="77777777" w:rsidR="00470404" w:rsidRDefault="00470404">
      <w:pPr>
        <w:pStyle w:val="11"/>
        <w:spacing w:line="300" w:lineRule="auto"/>
        <w:ind w:firstLine="300"/>
        <w:rPr>
          <w:rFonts w:ascii="方正黑体_GBK" w:eastAsia="方正黑体_GBK" w:hAnsi="宋体" w:cs="宋体"/>
          <w:sz w:val="15"/>
          <w:szCs w:val="15"/>
        </w:rPr>
      </w:pPr>
    </w:p>
    <w:p w14:paraId="794C953E" w14:textId="77777777" w:rsidR="00470404" w:rsidRDefault="00FB533B">
      <w:pPr>
        <w:spacing w:line="300" w:lineRule="auto"/>
        <w:ind w:left="300"/>
        <w:rPr>
          <w:rFonts w:ascii="方正黑体_GBK" w:eastAsia="方正黑体_GBK" w:hAnsi="宋体"/>
          <w:sz w:val="15"/>
          <w:szCs w:val="15"/>
        </w:rPr>
      </w:pPr>
      <w:r>
        <w:rPr>
          <w:rStyle w:val="fontstyle01"/>
          <w:rFonts w:ascii="方正黑体_GBK" w:eastAsia="方正黑体_GBK" w:hint="eastAsia"/>
          <w:sz w:val="15"/>
          <w:szCs w:val="15"/>
        </w:rPr>
        <w:t>个人投资者（如适用）：</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机构投资者（如适用）：</w:t>
      </w:r>
      <w:r>
        <w:rPr>
          <w:rFonts w:ascii="方正黑体_GBK" w:eastAsia="方正黑体_GBK" w:hint="eastAsia"/>
          <w:color w:val="000000"/>
          <w:sz w:val="15"/>
          <w:szCs w:val="15"/>
        </w:rPr>
        <w:br/>
      </w:r>
      <w:r>
        <w:rPr>
          <w:rStyle w:val="fontstyle01"/>
          <w:rFonts w:ascii="方正黑体_GBK" w:eastAsia="方正黑体_GBK" w:hint="eastAsia"/>
          <w:sz w:val="15"/>
          <w:szCs w:val="15"/>
        </w:rPr>
        <w:t>个人投资者：</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（签名或盖章）</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w:t>
      </w:r>
      <w:r>
        <w:rPr>
          <w:rFonts w:ascii="方正黑体_GBK" w:eastAsia="方正黑体_GBK" w:hAnsi="宋体" w:cs="宋体" w:hint="eastAsia"/>
          <w:sz w:val="15"/>
          <w:szCs w:val="15"/>
        </w:rPr>
        <w:t>公章或合同专用章</w:t>
      </w:r>
      <w:r>
        <w:rPr>
          <w:rStyle w:val="fontstyle01"/>
          <w:rFonts w:ascii="方正黑体_GBK" w:eastAsia="方正黑体_GBK" w:hint="eastAsia"/>
          <w:sz w:val="15"/>
          <w:szCs w:val="15"/>
        </w:rPr>
        <w:t>）</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法定代表人或授权代理人：（签名或盖章）</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p>
    <w:p w14:paraId="38C4DF42" w14:textId="77777777" w:rsidR="00470404" w:rsidRDefault="00470404">
      <w:pPr>
        <w:pStyle w:val="1"/>
      </w:pPr>
    </w:p>
    <w:p>
      <w:r>
        <w:br w:type="page"/>
      </w:r>
    </w:p>
    <w:sectPr w:rsidR="00151840">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2A33A1">
      <w:r>
        <w:separator/>
      </w:r>
    </w:p>
  </w:endnote>
  <w:endnote w:type="continuationSeparator" w:id="0">
    <w:p w:rsidR="00000000" w:rsidRDefault="002A3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2A33A1">
      <w:r>
        <w:separator/>
      </w:r>
    </w:p>
  </w:footnote>
  <w:footnote w:type="continuationSeparator" w:id="0">
    <w:p w:rsidR="00000000" w:rsidRDefault="002A3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840" w:rsidRDefault="002A33A1">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051DE0"/>
    <w:multiLevelType w:val="multilevel"/>
    <w:tmpl w:val="B89496F6"/>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4DE46AD0"/>
    <w:multiLevelType w:val="hybridMultilevel"/>
    <w:tmpl w:val="E0FE3064"/>
    <w:lvl w:ilvl="0" w:tplc="ECE829CC">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DB7A85C6">
      <w:start w:val="1"/>
      <w:numFmt w:val="lowerLetter"/>
      <w:lvlText w:val="%2)"/>
      <w:lvlJc w:val="left"/>
      <w:pPr>
        <w:tabs>
          <w:tab w:val="num" w:pos="0"/>
        </w:tabs>
        <w:ind w:left="1141" w:hanging="420"/>
      </w:pPr>
      <w:rPr>
        <w:rFonts w:ascii="方正黑体_GBK" w:eastAsia="方正黑体_GBK" w:hAnsi="方正黑体_GBK" w:hint="default"/>
      </w:rPr>
    </w:lvl>
    <w:lvl w:ilvl="2" w:tplc="5E14C006">
      <w:start w:val="1"/>
      <w:numFmt w:val="decimal"/>
      <w:lvlText w:val="%3."/>
      <w:lvlJc w:val="right"/>
      <w:pPr>
        <w:tabs>
          <w:tab w:val="num" w:pos="0"/>
        </w:tabs>
        <w:ind w:left="1561" w:hanging="420"/>
      </w:pPr>
      <w:rPr>
        <w:rFonts w:ascii="方正黑体_GBK" w:eastAsia="方正黑体_GBK" w:hAnsi="方正黑体_GBK" w:hint="default"/>
      </w:rPr>
    </w:lvl>
    <w:lvl w:ilvl="3" w:tplc="581E0B3C">
      <w:start w:val="1"/>
      <w:numFmt w:val="decimal"/>
      <w:lvlText w:val="%4."/>
      <w:lvlJc w:val="left"/>
      <w:pPr>
        <w:tabs>
          <w:tab w:val="num" w:pos="0"/>
        </w:tabs>
        <w:ind w:left="1981" w:hanging="420"/>
      </w:pPr>
      <w:rPr>
        <w:rFonts w:ascii="方正黑体_GBK" w:eastAsia="方正黑体_GBK" w:hAnsi="方正黑体_GBK" w:hint="default"/>
      </w:rPr>
    </w:lvl>
    <w:lvl w:ilvl="4" w:tplc="7EF03254">
      <w:start w:val="1"/>
      <w:numFmt w:val="lowerLetter"/>
      <w:lvlText w:val="%5)"/>
      <w:lvlJc w:val="left"/>
      <w:pPr>
        <w:tabs>
          <w:tab w:val="num" w:pos="0"/>
        </w:tabs>
        <w:ind w:left="2401" w:hanging="420"/>
      </w:pPr>
      <w:rPr>
        <w:rFonts w:ascii="方正黑体_GBK" w:eastAsia="方正黑体_GBK" w:hAnsi="方正黑体_GBK" w:hint="default"/>
      </w:rPr>
    </w:lvl>
    <w:lvl w:ilvl="5" w:tplc="49A6B37A">
      <w:start w:val="1"/>
      <w:numFmt w:val="decimal"/>
      <w:lvlText w:val="%6."/>
      <w:lvlJc w:val="right"/>
      <w:pPr>
        <w:tabs>
          <w:tab w:val="num" w:pos="0"/>
        </w:tabs>
        <w:ind w:left="2821" w:hanging="420"/>
      </w:pPr>
      <w:rPr>
        <w:rFonts w:ascii="方正黑体_GBK" w:eastAsia="方正黑体_GBK" w:hAnsi="方正黑体_GBK" w:hint="default"/>
      </w:rPr>
    </w:lvl>
    <w:lvl w:ilvl="6" w:tplc="CDC486A8">
      <w:start w:val="1"/>
      <w:numFmt w:val="decimal"/>
      <w:lvlText w:val="%7."/>
      <w:lvlJc w:val="left"/>
      <w:pPr>
        <w:tabs>
          <w:tab w:val="num" w:pos="0"/>
        </w:tabs>
        <w:ind w:left="3241" w:hanging="420"/>
      </w:pPr>
      <w:rPr>
        <w:rFonts w:ascii="方正黑体_GBK" w:eastAsia="方正黑体_GBK" w:hAnsi="方正黑体_GBK" w:hint="default"/>
      </w:rPr>
    </w:lvl>
    <w:lvl w:ilvl="7" w:tplc="45FAEB46">
      <w:start w:val="1"/>
      <w:numFmt w:val="lowerLetter"/>
      <w:lvlText w:val="%8)"/>
      <w:lvlJc w:val="left"/>
      <w:pPr>
        <w:tabs>
          <w:tab w:val="num" w:pos="0"/>
        </w:tabs>
        <w:ind w:left="3661" w:hanging="420"/>
      </w:pPr>
      <w:rPr>
        <w:rFonts w:ascii="方正黑体_GBK" w:eastAsia="方正黑体_GBK" w:hAnsi="方正黑体_GBK" w:hint="default"/>
      </w:rPr>
    </w:lvl>
    <w:lvl w:ilvl="8" w:tplc="6F60386A">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65007104"/>
    <w:multiLevelType w:val="hybridMultilevel"/>
    <w:tmpl w:val="E1D8CF0C"/>
    <w:lvl w:ilvl="0" w:tplc="C0285700">
      <w:start w:val="1"/>
      <w:numFmt w:val="decimal"/>
      <w:lvlRestart w:val="0"/>
      <w:lvlText w:val="%1."/>
      <w:lvlJc w:val="left"/>
      <w:pPr>
        <w:tabs>
          <w:tab w:val="num" w:pos="0"/>
        </w:tabs>
        <w:ind w:left="660" w:hanging="360"/>
      </w:pPr>
      <w:rPr>
        <w:rFonts w:ascii="方正黑体_GBK" w:eastAsia="方正黑体_GBK" w:hAnsi="方正黑体_GBK" w:hint="default"/>
      </w:rPr>
    </w:lvl>
    <w:lvl w:ilvl="1" w:tplc="353A4CE0">
      <w:start w:val="1"/>
      <w:numFmt w:val="lowerLetter"/>
      <w:lvlText w:val="%2)"/>
      <w:lvlJc w:val="left"/>
      <w:pPr>
        <w:tabs>
          <w:tab w:val="num" w:pos="0"/>
        </w:tabs>
        <w:ind w:left="1140" w:hanging="420"/>
      </w:pPr>
      <w:rPr>
        <w:rFonts w:ascii="方正黑体_GBK" w:eastAsia="方正黑体_GBK" w:hAnsi="方正黑体_GBK" w:hint="default"/>
      </w:rPr>
    </w:lvl>
    <w:lvl w:ilvl="2" w:tplc="97BA6A60">
      <w:start w:val="1"/>
      <w:numFmt w:val="decimal"/>
      <w:lvlText w:val="%3."/>
      <w:lvlJc w:val="right"/>
      <w:pPr>
        <w:tabs>
          <w:tab w:val="num" w:pos="0"/>
        </w:tabs>
        <w:ind w:left="1560" w:hanging="420"/>
      </w:pPr>
      <w:rPr>
        <w:rFonts w:ascii="方正黑体_GBK" w:eastAsia="方正黑体_GBK" w:hAnsi="方正黑体_GBK" w:hint="default"/>
      </w:rPr>
    </w:lvl>
    <w:lvl w:ilvl="3" w:tplc="3B12A158">
      <w:start w:val="1"/>
      <w:numFmt w:val="decimal"/>
      <w:lvlText w:val="%4."/>
      <w:lvlJc w:val="left"/>
      <w:pPr>
        <w:tabs>
          <w:tab w:val="num" w:pos="0"/>
        </w:tabs>
        <w:ind w:left="1980" w:hanging="420"/>
      </w:pPr>
      <w:rPr>
        <w:rFonts w:ascii="方正黑体_GBK" w:eastAsia="方正黑体_GBK" w:hAnsi="方正黑体_GBK" w:hint="default"/>
      </w:rPr>
    </w:lvl>
    <w:lvl w:ilvl="4" w:tplc="4808C4EE">
      <w:start w:val="1"/>
      <w:numFmt w:val="lowerLetter"/>
      <w:lvlText w:val="%5)"/>
      <w:lvlJc w:val="left"/>
      <w:pPr>
        <w:tabs>
          <w:tab w:val="num" w:pos="0"/>
        </w:tabs>
        <w:ind w:left="2400" w:hanging="420"/>
      </w:pPr>
      <w:rPr>
        <w:rFonts w:ascii="方正黑体_GBK" w:eastAsia="方正黑体_GBK" w:hAnsi="方正黑体_GBK" w:hint="default"/>
      </w:rPr>
    </w:lvl>
    <w:lvl w:ilvl="5" w:tplc="5A2A8FF8">
      <w:start w:val="1"/>
      <w:numFmt w:val="decimal"/>
      <w:lvlText w:val="%6."/>
      <w:lvlJc w:val="right"/>
      <w:pPr>
        <w:tabs>
          <w:tab w:val="num" w:pos="0"/>
        </w:tabs>
        <w:ind w:left="2820" w:hanging="420"/>
      </w:pPr>
      <w:rPr>
        <w:rFonts w:ascii="方正黑体_GBK" w:eastAsia="方正黑体_GBK" w:hAnsi="方正黑体_GBK" w:hint="default"/>
      </w:rPr>
    </w:lvl>
    <w:lvl w:ilvl="6" w:tplc="9742426C">
      <w:start w:val="1"/>
      <w:numFmt w:val="decimal"/>
      <w:lvlText w:val="%7."/>
      <w:lvlJc w:val="left"/>
      <w:pPr>
        <w:tabs>
          <w:tab w:val="num" w:pos="0"/>
        </w:tabs>
        <w:ind w:left="3240" w:hanging="420"/>
      </w:pPr>
      <w:rPr>
        <w:rFonts w:ascii="方正黑体_GBK" w:eastAsia="方正黑体_GBK" w:hAnsi="方正黑体_GBK" w:hint="default"/>
      </w:rPr>
    </w:lvl>
    <w:lvl w:ilvl="7" w:tplc="AC2EEF74">
      <w:start w:val="1"/>
      <w:numFmt w:val="lowerLetter"/>
      <w:lvlText w:val="%8)"/>
      <w:lvlJc w:val="left"/>
      <w:pPr>
        <w:tabs>
          <w:tab w:val="num" w:pos="0"/>
        </w:tabs>
        <w:ind w:left="3660" w:hanging="420"/>
      </w:pPr>
      <w:rPr>
        <w:rFonts w:ascii="方正黑体_GBK" w:eastAsia="方正黑体_GBK" w:hAnsi="方正黑体_GBK" w:hint="default"/>
      </w:rPr>
    </w:lvl>
    <w:lvl w:ilvl="8" w:tplc="DCB0E538">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791C6BAF"/>
    <w:multiLevelType w:val="multilevel"/>
    <w:tmpl w:val="D2602ED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4" w15:restartNumberingAfterBreak="0">
    <w:nsid w:val="011FF2C4"/>
    <w:multiLevelType w:val="singleLevel"/>
    <w:tmpl w:val="5DF84C9C"/>
    <w:lvl w:ilvl="0">
      <w:start w:val="1"/>
      <w:numFmt w:val="decimal"/>
      <w:suff w:val="nothing"/>
      <w:lvlText w:val="%1."/>
      <w:lvlJc w:val="left"/>
    </w:lvl>
  </w:abstractNum>
  <w:abstractNum w:abstractNumId="5" w15:restartNumberingAfterBreak="0">
    <w:nsid w:val="0255F386"/>
    <w:multiLevelType w:val="singleLevel"/>
    <w:tmpl w:val="5DF84CBD"/>
    <w:lvl w:ilvl="0">
      <w:start w:val="1"/>
      <w:numFmt w:val="decimal"/>
      <w:suff w:val="nothing"/>
      <w:lvlText w:val="（%1）"/>
      <w:lvlJc w:val="left"/>
    </w:lvl>
  </w:abstractNum>
  <w:abstractNum w:abstractNumId="6" w15:restartNumberingAfterBreak="0">
    <w:nsid w:val="01F7CD22"/>
    <w:multiLevelType w:val="singleLevel"/>
    <w:tmpl w:val="5DF84D07"/>
    <w:lvl w:ilvl="0">
      <w:start w:val="1"/>
      <w:numFmt w:val="decimal"/>
      <w:suff w:val="nothing"/>
      <w:lvlText w:val="（%1）"/>
      <w:lvlJc w:val="left"/>
    </w:lvl>
  </w:abstractNum>
  <w:abstractNum w:abstractNumId="7" w15:restartNumberingAfterBreak="0">
    <w:nsid w:val="01D23322"/>
    <w:multiLevelType w:val="singleLevel"/>
    <w:tmpl w:val="510A3506"/>
    <w:lvl w:ilvl="0">
      <w:start w:val="1"/>
      <w:numFmt w:val="decimal"/>
      <w:suff w:val="nothing"/>
      <w:lvlText w:val="（%1）"/>
      <w:lvlJc w:val="left"/>
    </w:lvl>
  </w:abstractNum>
  <w:abstractNum w:abstractNumId="8" w15:restartNumberingAfterBreak="0">
    <w:nsid w:val="01021DE9"/>
    <w:multiLevelType w:val="multilevel"/>
    <w:tmpl w:val="54B02AA4"/>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9" w15:restartNumberingAfterBreak="0">
    <w:nsid w:val="03240199"/>
    <w:multiLevelType w:val="multilevel"/>
    <w:tmpl w:val="3CFA0BAF"/>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0" w15:restartNumberingAfterBreak="0">
    <w:nsid w:val="014AE986"/>
    <w:multiLevelType w:val="singleLevel"/>
    <w:tmpl w:val="7A29506B"/>
    <w:lvl w:ilvl="0">
      <w:start w:val="1"/>
      <w:numFmt w:val="decimal"/>
      <w:suff w:val="nothing"/>
      <w:lvlText w:val="（%1）"/>
      <w:lvlJc w:val="left"/>
    </w:lvl>
  </w:abstractNum>
  <w:abstractNum w:abstractNumId="11" w15:restartNumberingAfterBreak="0">
    <w:nsid w:val="002E1656"/>
    <w:multiLevelType w:val="multilevel"/>
    <w:tmpl w:val="38167239"/>
    <w:lvl w:ilvl="0">
      <w:start w:val="1"/>
      <w:numFmt w:val="lowerRoman"/>
      <w:lvlText w:val="%1."/>
      <w:lvlJc w:val="left"/>
      <w:pPr>
        <w:ind w:left="760" w:hanging="420"/>
      </w:pPr>
      <w:rPr>
        <w:rFonts w:ascii="Times New Roman" w:hAnsi="Times New Roman" w:cs="Times New Roman" w:hint="default"/>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2" w15:restartNumberingAfterBreak="0">
    <w:nsid w:val="021515C1"/>
    <w:multiLevelType w:val="multilevel"/>
    <w:tmpl w:val="2EA814D3"/>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3" w15:restartNumberingAfterBreak="0">
    <w:nsid w:val="0050EBC2"/>
    <w:multiLevelType w:val="singleLevel"/>
    <w:tmpl w:val="6D2A3EBA"/>
    <w:lvl w:ilvl="0">
      <w:start w:val="1"/>
      <w:numFmt w:val="decimal"/>
      <w:suff w:val="nothing"/>
      <w:lvlText w:val="（%1）"/>
      <w:lvlJc w:val="left"/>
    </w:lvl>
  </w:abstractNum>
  <w:num w:numId="1">
    <w:abstractNumId w:val="0"/>
  </w:num>
  <w:num w:numId="2">
    <w:abstractNumId w:val="3"/>
  </w:num>
  <w:num w:numId="3">
    <w:abstractNumId w:val="1"/>
  </w:num>
  <w:num w:numId="5">
    <w:abstractNumId w:val="4"/>
  </w:num>
  <w:num w:numId="6">
    <w:abstractNumId w:val="5"/>
  </w:num>
  <w:num w:numId="7">
    <w:abstractNumId w:val="6"/>
  </w:num>
  <w:num w:numId="8">
    <w:abstractNumId w:val="6"/>
    <w:lvlOverride w:ilvl="0">
      <w:startOverride w:val="1"/>
    </w:lvlOverride>
  </w:num>
  <w:num w:numId="9">
    <w:abstractNumId w:val="7"/>
  </w:num>
  <w:num w:numId="10">
    <w:abstractNumId w:val="8"/>
  </w:num>
  <w:num w:numId="11">
    <w:abstractNumId w:val="8"/>
    <w:lvlOverride w:ilvl="0">
      <w:startOverride w:val="1"/>
    </w:lvlOverride>
  </w:num>
  <w:num w:numId="12">
    <w:abstractNumId w:val="9"/>
  </w:num>
  <w:num w:numId="13">
    <w:abstractNumId w:val="10"/>
  </w:num>
  <w:num w:numId="14">
    <w:abstractNumId w:val="11"/>
  </w:num>
  <w:num w:numId="15">
    <w:abstractNumId w:val="12"/>
  </w:num>
  <w:num w:numId="16">
    <w:abstractNumId w:val="1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151840"/>
    <w:rsid w:val="00151840"/>
    <w:rsid w:val="002A3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6EFDF6E5-5517-44F6-9FB8-95AC07C2D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9d55f5f6">
    <w:name w:val="Normal9d55f5f6"/>
    <w:pPr>
      <w:widowControl w:val="0"/>
      <w:jc w:val="both"/>
    </w:pPr>
    <w:rPr>
      <w:rFonts w:ascii="方正黑体_GBK" w:eastAsia="方正黑体_GBK" w:hAnsi="方正黑体_GBK" w:cs="Times New Roman"/>
      <w:szCs w:val="21"/>
    </w:rPr>
  </w:style>
  <w:style w:type="paragraph" w:customStyle="1" w:styleId="heading1233a430e">
    <w:name w:val="heading 1233a430e"/>
    <w:basedOn w:val="Normal9d55f5f6"/>
    <w:next w:val="a"/>
    <w:pPr>
      <w:keepNext/>
      <w:keepLines/>
      <w:spacing w:before="340" w:after="330" w:line="578" w:lineRule="auto"/>
      <w:outlineLvl w:val="0"/>
    </w:pPr>
    <w:rPr>
      <w:b/>
      <w:bCs/>
      <w:kern w:val="44"/>
      <w:sz w:val="44"/>
    </w:rPr>
  </w:style>
  <w:style w:type="paragraph" w:customStyle="1" w:styleId="heading236360948">
    <w:name w:val="heading 236360948"/>
    <w:basedOn w:val="Normal9d55f5f6"/>
    <w:next w:val="a"/>
    <w:pPr>
      <w:keepNext/>
      <w:keepLines/>
      <w:spacing w:before="260" w:after="260" w:line="415" w:lineRule="auto"/>
      <w:outlineLvl w:val="1"/>
    </w:pPr>
    <w:rPr>
      <w:b/>
      <w:sz w:val="32"/>
    </w:rPr>
  </w:style>
  <w:style w:type="paragraph" w:customStyle="1" w:styleId="heading32575ebe2">
    <w:name w:val="heading 32575ebe2"/>
    <w:basedOn w:val="Normal9d55f5f6"/>
    <w:next w:val="a"/>
    <w:pPr>
      <w:keepNext/>
      <w:keepLines/>
      <w:spacing w:before="260" w:after="260" w:line="415" w:lineRule="auto"/>
      <w:outlineLvl w:val="2"/>
    </w:pPr>
    <w:rPr>
      <w:b/>
      <w:sz w:val="32"/>
    </w:rPr>
  </w:style>
  <w:style w:type="character" w:customStyle="1" w:styleId="DefaultParagraphFont51d33f7f">
    <w:name w:val="Default Paragraph Font51d33f7f"/>
  </w:style>
  <w:style w:type="paragraph" w:customStyle="1" w:styleId="toc159840e02">
    <w:name w:val="toc 159840e02"/>
    <w:basedOn w:val="Normal9d55f5f6"/>
    <w:next w:val="a"/>
    <w:autoRedefine/>
  </w:style>
  <w:style w:type="paragraph" w:customStyle="1" w:styleId="toc21adb6060">
    <w:name w:val="toc 21adb6060"/>
    <w:basedOn w:val="Normal9d55f5f6"/>
    <w:next w:val="a"/>
    <w:autoRedefine/>
    <w:pPr>
      <w:ind w:left="420"/>
    </w:pPr>
  </w:style>
  <w:style w:type="paragraph" w:customStyle="1" w:styleId="toc302d64597">
    <w:name w:val="toc 302d64597"/>
    <w:basedOn w:val="Normal9d55f5f6"/>
    <w:next w:val="a"/>
    <w:autoRedefine/>
    <w:pPr>
      <w:ind w:left="840"/>
    </w:pPr>
  </w:style>
  <w:style w:type="paragraph" w:customStyle="1" w:styleId="toc4419e9c75">
    <w:name w:val="toc 4419e9c75"/>
    <w:basedOn w:val="Normal9d55f5f6"/>
    <w:next w:val="a"/>
    <w:autoRedefine/>
    <w:pPr>
      <w:ind w:left="1260"/>
    </w:pPr>
  </w:style>
  <w:style w:type="paragraph" w:customStyle="1" w:styleId="toc5e34c2271">
    <w:name w:val="toc 5e34c2271"/>
    <w:basedOn w:val="Normal9d55f5f6"/>
    <w:next w:val="a"/>
    <w:autoRedefine/>
    <w:pPr>
      <w:ind w:left="1680"/>
    </w:pPr>
  </w:style>
  <w:style w:type="paragraph" w:customStyle="1" w:styleId="headeraed005b9">
    <w:name w:val="headeraed005b9"/>
    <w:basedOn w:val="Normal9d55f5f6"/>
    <w:pPr>
      <w:pBdr>
        <w:bottom w:val="single" w:sz="6" w:space="1" w:color="auto"/>
      </w:pBdr>
      <w:tabs>
        <w:tab w:val="center" w:pos="4153"/>
        <w:tab w:val="right" w:pos="8307"/>
      </w:tabs>
      <w:snapToGrid w:val="0"/>
      <w:jc w:val="center"/>
    </w:pPr>
    <w:rPr>
      <w:sz w:val="18"/>
    </w:rPr>
  </w:style>
  <w:style w:type="paragraph" w:customStyle="1" w:styleId="footerd7baf63c">
    <w:name w:val="footerd7baf63c"/>
    <w:basedOn w:val="Normal9d55f5f6"/>
    <w:pPr>
      <w:tabs>
        <w:tab w:val="center" w:pos="4153"/>
        <w:tab w:val="right" w:pos="8307"/>
      </w:tabs>
      <w:snapToGrid w:val="0"/>
      <w:jc w:val="left"/>
    </w:pPr>
    <w:rPr>
      <w:sz w:val="18"/>
    </w:rPr>
  </w:style>
  <w:style w:type="character" w:customStyle="1" w:styleId="Strong9d1e3249">
    <w:name w:val="Strong9d1e3249"/>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c9493ccd">
    <w:name w:val="Normalc9493ccd"/>
    <w:next w:val="TOC1"/>
    <w:pPr>
      <w:widowControl w:val="0"/>
      <w:jc w:val="both"/>
    </w:pPr>
    <w:rPr>
      <w:rFonts w:ascii="方正黑体_GBK" w:eastAsia="方正黑体_GBK" w:hAnsi="方正黑体_GBK" w:cs="Times New Roman"/>
      <w:sz w:val="18"/>
      <w:szCs w:val="18"/>
    </w:rPr>
  </w:style>
  <w:style w:type="paragraph" w:customStyle="1" w:styleId="heading1230c5b8c">
    <w:name w:val="heading 1230c5b8c"/>
    <w:basedOn w:val="Normalc9493ccd"/>
    <w:next w:val="a"/>
    <w:pPr>
      <w:keepNext/>
      <w:keepLines/>
      <w:spacing w:before="340" w:after="330" w:line="578" w:lineRule="auto"/>
      <w:outlineLvl w:val="0"/>
    </w:pPr>
    <w:rPr>
      <w:b/>
      <w:bCs/>
      <w:kern w:val="44"/>
      <w:sz w:val="44"/>
    </w:rPr>
  </w:style>
  <w:style w:type="paragraph" w:customStyle="1" w:styleId="heading244ae0cf2">
    <w:name w:val="heading 244ae0cf2"/>
    <w:basedOn w:val="Normalc9493ccd"/>
    <w:next w:val="a"/>
    <w:pPr>
      <w:keepNext/>
      <w:keepLines/>
      <w:spacing w:before="260" w:after="260" w:line="415" w:lineRule="auto"/>
      <w:outlineLvl w:val="1"/>
    </w:pPr>
    <w:rPr>
      <w:b/>
      <w:sz w:val="32"/>
    </w:rPr>
  </w:style>
  <w:style w:type="paragraph" w:customStyle="1" w:styleId="heading33f7e2cc4">
    <w:name w:val="heading 33f7e2cc4"/>
    <w:basedOn w:val="Normalc9493ccd"/>
    <w:next w:val="a"/>
    <w:pPr>
      <w:keepNext/>
      <w:keepLines/>
      <w:spacing w:before="260" w:after="260" w:line="415" w:lineRule="auto"/>
      <w:outlineLvl w:val="2"/>
    </w:pPr>
    <w:rPr>
      <w:b/>
      <w:sz w:val="32"/>
    </w:rPr>
  </w:style>
  <w:style w:type="character" w:customStyle="1" w:styleId="DefaultParagraphFont7cfc199a">
    <w:name w:val="Default Paragraph Font7cfc199a"/>
  </w:style>
  <w:style w:type="paragraph" w:customStyle="1" w:styleId="NormalIndent188d53bc">
    <w:name w:val="Normal Indent188d53bc"/>
    <w:basedOn w:val="Normalc9493ccd"/>
    <w:pPr>
      <w:ind w:firstLineChars="200" w:firstLine="200"/>
    </w:pPr>
  </w:style>
  <w:style w:type="paragraph" w:customStyle="1" w:styleId="toc5a3cd0ebb">
    <w:name w:val="toc 5a3cd0ebb"/>
    <w:basedOn w:val="Normalc9493ccd"/>
    <w:next w:val="a"/>
    <w:pPr>
      <w:ind w:left="1680"/>
    </w:pPr>
  </w:style>
  <w:style w:type="paragraph" w:customStyle="1" w:styleId="toc3bfc695c4">
    <w:name w:val="toc 3bfc695c4"/>
    <w:basedOn w:val="Normalc9493ccd"/>
    <w:next w:val="a"/>
    <w:pPr>
      <w:ind w:left="840"/>
    </w:pPr>
  </w:style>
  <w:style w:type="paragraph" w:customStyle="1" w:styleId="footer563a9b7e">
    <w:name w:val="footer563a9b7e"/>
    <w:basedOn w:val="Normalc9493ccd"/>
    <w:pPr>
      <w:tabs>
        <w:tab w:val="center" w:pos="4153"/>
        <w:tab w:val="right" w:pos="8307"/>
      </w:tabs>
      <w:snapToGrid w:val="0"/>
      <w:jc w:val="left"/>
    </w:pPr>
  </w:style>
  <w:style w:type="paragraph" w:customStyle="1" w:styleId="header17c3c2aa">
    <w:name w:val="header17c3c2aa"/>
    <w:basedOn w:val="Normalc9493ccd"/>
    <w:pPr>
      <w:pBdr>
        <w:bottom w:val="single" w:sz="6" w:space="1" w:color="auto"/>
      </w:pBdr>
      <w:tabs>
        <w:tab w:val="center" w:pos="4153"/>
        <w:tab w:val="right" w:pos="8307"/>
      </w:tabs>
      <w:snapToGrid w:val="0"/>
      <w:jc w:val="center"/>
    </w:pPr>
  </w:style>
  <w:style w:type="paragraph" w:customStyle="1" w:styleId="toc1d1e274cc">
    <w:name w:val="toc 1d1e274cc"/>
    <w:basedOn w:val="Normalc9493ccd"/>
    <w:next w:val="a"/>
  </w:style>
  <w:style w:type="paragraph" w:customStyle="1" w:styleId="toc4bdcc69f2">
    <w:name w:val="toc 4bdcc69f2"/>
    <w:basedOn w:val="Normalc9493ccd"/>
    <w:next w:val="a"/>
    <w:pPr>
      <w:ind w:left="1260"/>
    </w:pPr>
  </w:style>
  <w:style w:type="paragraph" w:customStyle="1" w:styleId="toc24adbb527">
    <w:name w:val="toc 24adbb527"/>
    <w:basedOn w:val="Normalc9493ccd"/>
    <w:next w:val="a"/>
    <w:pPr>
      <w:ind w:left="420"/>
    </w:pPr>
  </w:style>
  <w:style w:type="paragraph" w:customStyle="1" w:styleId="NormalWeb3b29b31b">
    <w:name w:val="Normal (Web)3b29b31b"/>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4a36be1d4a36be1d">
    <w:name w:val="Normal4a36be1d4a36be1d"/>
    <w:next w:val="TOC1"/>
    <w:pPr>
      <w:widowControl w:val="0"/>
      <w:jc w:val="both"/>
    </w:pPr>
    <w:rPr>
      <w:rFonts w:ascii="方正黑体_GBK" w:eastAsia="方正黑体_GBK" w:hAnsi="方正黑体_GBK" w:cs="Times New Roman"/>
      <w:szCs w:val="21"/>
    </w:rPr>
  </w:style>
  <w:style w:type="paragraph" w:customStyle="1" w:styleId="heading12195263f2195263f">
    <w:name w:val="heading 12195263f2195263f"/>
    <w:basedOn w:val="Normal4a36be1d4a36be1d"/>
    <w:next w:val="a"/>
    <w:pPr>
      <w:keepNext/>
      <w:keepLines/>
      <w:spacing w:before="340" w:after="330" w:line="578" w:lineRule="auto"/>
      <w:outlineLvl w:val="0"/>
    </w:pPr>
    <w:rPr>
      <w:b/>
      <w:bCs/>
      <w:kern w:val="44"/>
      <w:sz w:val="44"/>
    </w:rPr>
  </w:style>
  <w:style w:type="paragraph" w:customStyle="1" w:styleId="heading2f59d6b92f59d6b92">
    <w:name w:val="heading 2f59d6b92f59d6b92"/>
    <w:basedOn w:val="Normal4a36be1d4a36be1d"/>
    <w:next w:val="a"/>
    <w:pPr>
      <w:keepNext/>
      <w:keepLines/>
      <w:spacing w:before="260" w:after="260" w:line="415" w:lineRule="auto"/>
      <w:outlineLvl w:val="1"/>
    </w:pPr>
    <w:rPr>
      <w:b/>
      <w:sz w:val="32"/>
    </w:rPr>
  </w:style>
  <w:style w:type="paragraph" w:customStyle="1" w:styleId="heading30808b4cc0808b4cc">
    <w:name w:val="heading 30808b4cc0808b4cc"/>
    <w:basedOn w:val="Normal4a36be1d4a36be1d"/>
    <w:next w:val="a"/>
    <w:pPr>
      <w:keepNext/>
      <w:keepLines/>
      <w:spacing w:before="260" w:after="260" w:line="415" w:lineRule="auto"/>
      <w:outlineLvl w:val="2"/>
    </w:pPr>
    <w:rPr>
      <w:b/>
      <w:sz w:val="32"/>
    </w:rPr>
  </w:style>
  <w:style w:type="character" w:customStyle="1" w:styleId="DefaultParagraphFont87715e5b87715e5b">
    <w:name w:val="Default Paragraph Font87715e5b87715e5b"/>
  </w:style>
  <w:style w:type="paragraph" w:customStyle="1" w:styleId="16a6221d96a6221d9">
    <w:name w:val="引文目录16a6221d96a6221d9"/>
    <w:basedOn w:val="Normal4a36be1d4a36be1d"/>
    <w:next w:val="a"/>
    <w:pPr>
      <w:ind w:leftChars="200" w:left="200"/>
    </w:pPr>
  </w:style>
  <w:style w:type="paragraph" w:customStyle="1" w:styleId="toc52cfd53612cfd5361">
    <w:name w:val="toc 52cfd53612cfd5361"/>
    <w:basedOn w:val="Normal4a36be1d4a36be1d"/>
    <w:next w:val="a"/>
    <w:pPr>
      <w:ind w:left="1680"/>
    </w:pPr>
  </w:style>
  <w:style w:type="paragraph" w:customStyle="1" w:styleId="toc3090b23c5090b23c5">
    <w:name w:val="toc 3090b23c5090b23c5"/>
    <w:basedOn w:val="Normal4a36be1d4a36be1d"/>
    <w:next w:val="a"/>
    <w:pPr>
      <w:ind w:left="840"/>
    </w:pPr>
  </w:style>
  <w:style w:type="paragraph" w:customStyle="1" w:styleId="footer6b0eb4bc6b0eb4bc">
    <w:name w:val="footer6b0eb4bc6b0eb4bc"/>
    <w:basedOn w:val="Normal4a36be1d4a36be1d"/>
    <w:pPr>
      <w:tabs>
        <w:tab w:val="center" w:pos="4153"/>
        <w:tab w:val="right" w:pos="8307"/>
      </w:tabs>
      <w:snapToGrid w:val="0"/>
      <w:jc w:val="left"/>
    </w:pPr>
    <w:rPr>
      <w:sz w:val="18"/>
    </w:rPr>
  </w:style>
  <w:style w:type="paragraph" w:customStyle="1" w:styleId="headerffe56c8effe56c8e">
    <w:name w:val="headerffe56c8effe56c8e"/>
    <w:basedOn w:val="Normal4a36be1d4a36be1d"/>
    <w:pPr>
      <w:pBdr>
        <w:bottom w:val="single" w:sz="6" w:space="1" w:color="auto"/>
      </w:pBdr>
      <w:tabs>
        <w:tab w:val="center" w:pos="4153"/>
        <w:tab w:val="right" w:pos="8307"/>
      </w:tabs>
      <w:snapToGrid w:val="0"/>
      <w:jc w:val="center"/>
    </w:pPr>
    <w:rPr>
      <w:sz w:val="18"/>
    </w:rPr>
  </w:style>
  <w:style w:type="paragraph" w:customStyle="1" w:styleId="toc16ff33b7d6ff33b7d">
    <w:name w:val="toc 16ff33b7d6ff33b7d"/>
    <w:basedOn w:val="Normal4a36be1d4a36be1d"/>
    <w:next w:val="a"/>
  </w:style>
  <w:style w:type="paragraph" w:customStyle="1" w:styleId="toc4bd3ba723bd3ba723">
    <w:name w:val="toc 4bd3ba723bd3ba723"/>
    <w:basedOn w:val="Normal4a36be1d4a36be1d"/>
    <w:next w:val="a"/>
    <w:pPr>
      <w:ind w:left="1260"/>
    </w:pPr>
  </w:style>
  <w:style w:type="paragraph" w:customStyle="1" w:styleId="toc231885ace31885ace">
    <w:name w:val="toc 231885ace31885ace"/>
    <w:basedOn w:val="Normal4a36be1d4a36be1d"/>
    <w:next w:val="a"/>
    <w:pPr>
      <w:ind w:left="420"/>
    </w:pPr>
  </w:style>
  <w:style w:type="paragraph" w:customStyle="1" w:styleId="1ec295339ec295339">
    <w:name w:val="列出段落1ec295339ec295339"/>
    <w:pPr>
      <w:widowControl w:val="0"/>
      <w:ind w:firstLineChars="200" w:firstLine="200"/>
      <w:jc w:val="both"/>
    </w:pPr>
    <w:rPr>
      <w:rFonts w:ascii="方正黑体_GBK" w:eastAsia="方正黑体_GBK" w:hAnsi="方正黑体_GBK" w:cs="Times New Roman"/>
      <w:szCs w:val="21"/>
    </w:rPr>
  </w:style>
  <w:style w:type="paragraph" w:customStyle="1" w:styleId="10">
    <w:name w:val="列出段落1"/>
    <w:basedOn w:val="a"/>
    <w:uiPriority w:val="99"/>
    <w:qFormat/>
    <w:pPr>
      <w:ind w:firstLineChars="200" w:firstLine="420"/>
    </w:pPr>
  </w:style>
  <w:style w:type="paragraph" w:customStyle="1" w:styleId="11">
    <w:name w:val="列表段落1"/>
    <w:basedOn w:val="a"/>
    <w:uiPriority w:val="34"/>
    <w:unhideWhenUsed/>
    <w:qFormat/>
    <w:pPr>
      <w:ind w:firstLineChars="200" w:firstLine="420"/>
    </w:pPr>
  </w:style>
  <w:style w:type="character" w:customStyle="1" w:styleId="fontstyle01">
    <w:name w:val="fontstyle01"/>
    <w:qFormat/>
    <w:rPr>
      <w:rFonts w:ascii="MicrosoftYaHei_PDF_Subset" w:hAnsi="MicrosoftYaHei_PDF_Subse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4039</Words>
  <Characters>23026</Characters>
  <Application>Microsoft Office Word</Application>
  <DocSecurity>0</DocSecurity>
  <Lines>191</Lines>
  <Paragraphs>54</Paragraphs>
  <ScaleCrop>false</ScaleCrop>
  <Company/>
  <LinksUpToDate>false</LinksUpToDate>
  <CharactersWithSpaces>27011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2025-11-07T07:52:00Z</dcterms:created>
  <dcterms:modified xsi:type="dcterms:W3CDTF">2025-11-07T07:52:00Z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