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cb88155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cb88155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cb88155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cb88155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cb88155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cb88155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cb88155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cb88155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cb88155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cb88155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cb881551"/>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347ae190"/>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347ae190"/>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455aa467"/>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南银理财珠联璧合鑫逸稳三个月110期封闭式公募人民币理财产品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ZZ700322500595</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Z7003225000386(投资者可依据该编码在中国理财网www.chinawealth.com.cn查询理财产品相关信息）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A份额：Y80110</w:t>
            </w:r>
          </w:p>
          <w:p>
            <w:pPr>
              <w:pStyle w:val="null10"/>
              <w:spacing w:lineRule="exact" w:line="200"/>
            </w:pPr>
            <w:r>
              <w:rPr>
                <w:rFonts w:ascii="方正黑体_GBK" w:hAnsi="方正黑体_GBK" w:cs="宋体" w:eastAsia="方正黑体_GBK"/>
                <w:sz w:val="18"/>
                <w:szCs w:val="18"/>
              </w:rPr>
              <w:t>B份额：Y81110</w:t>
            </w:r>
          </w:p>
          <w:p>
            <w:pPr>
              <w:pStyle w:val="null10"/>
              <w:spacing w:lineRule="exact" w:line="200"/>
            </w:pPr>
            <w:r>
              <w:rPr>
                <w:rFonts w:ascii="方正黑体_GBK" w:hAnsi="方正黑体_GBK" w:cs="宋体" w:eastAsia="方正黑体_GBK"/>
                <w:sz w:val="18"/>
                <w:szCs w:val="18"/>
              </w:rPr>
              <w:t>C份额：Y82110</w:t>
            </w:r>
          </w:p>
          <w:p>
            <w:pPr>
              <w:pStyle w:val="null10"/>
              <w:spacing w:lineRule="exact" w:line="200"/>
            </w:pPr>
            <w:r>
              <w:rPr>
                <w:rFonts w:ascii="方正黑体_GBK" w:hAnsi="方正黑体_GBK" w:cs="宋体" w:eastAsia="方正黑体_GBK"/>
                <w:sz w:val="18"/>
                <w:szCs w:val="18"/>
              </w:rPr>
              <w:t>D份额：Y83110</w:t>
            </w:r>
          </w:p>
          <w:p>
            <w:pPr>
              <w:pStyle w:val="null10"/>
              <w:spacing w:lineRule="exact" w:line="200"/>
            </w:pPr>
            <w:r>
              <w:rPr>
                <w:rFonts w:ascii="方正黑体_GBK" w:hAnsi="方正黑体_GBK" w:cs="宋体" w:eastAsia="方正黑体_GBK"/>
                <w:sz w:val="18"/>
                <w:szCs w:val="18"/>
              </w:rPr>
              <w:t>E份额：Y84110</w:t>
            </w:r>
          </w:p>
          <w:p>
            <w:pPr>
              <w:pStyle w:val="null10"/>
              <w:spacing w:lineRule="exact" w:line="200"/>
            </w:pPr>
            <w:r>
              <w:rPr>
                <w:rFonts w:ascii="方正黑体_GBK" w:hAnsi="方正黑体_GBK" w:cs="宋体" w:eastAsia="方正黑体_GBK"/>
                <w:sz w:val="18"/>
                <w:szCs w:val="18"/>
              </w:rPr>
              <w:t>H份额：Y87110</w:t>
            </w:r>
          </w:p>
          <w:p>
            <w:pPr>
              <w:pStyle w:val="null10"/>
              <w:spacing w:lineRule="exact" w:line="200"/>
            </w:pPr>
            <w:r>
              <w:rPr>
                <w:rFonts w:ascii="方正黑体_GBK" w:hAnsi="方正黑体_GBK" w:cs="宋体" w:eastAsia="方正黑体_GBK"/>
                <w:sz w:val="18"/>
                <w:szCs w:val="18"/>
              </w:rPr>
              <w:t>J份额：Y89110</w:t>
            </w:r>
          </w:p>
          <w:p>
            <w:pPr>
              <w:pStyle w:val="null10"/>
              <w:spacing w:lineRule="exact" w:line="200"/>
            </w:pPr>
            <w:r>
              <w:rPr>
                <w:rFonts w:ascii="方正黑体_GBK" w:hAnsi="方正黑体_GBK" w:cs="宋体" w:eastAsia="方正黑体_GBK"/>
                <w:sz w:val="18"/>
                <w:szCs w:val="18"/>
              </w:rPr>
              <w:t>K份额：YA80110</w:t>
            </w:r>
          </w:p>
          <w:p>
            <w:pPr>
              <w:pStyle w:val="null10"/>
              <w:spacing w:lineRule="exact" w:line="200"/>
            </w:pPr>
            <w:r>
              <w:rPr>
                <w:rFonts w:ascii="方正黑体_GBK" w:hAnsi="方正黑体_GBK" w:cs="宋体" w:eastAsia="方正黑体_GBK"/>
                <w:sz w:val="18"/>
                <w:szCs w:val="18"/>
              </w:rPr>
              <w:t>L份额：YB80110</w:t>
            </w:r>
          </w:p>
          <w:p>
            <w:pPr>
              <w:pStyle w:val="null10"/>
              <w:spacing w:lineRule="exact" w:line="200"/>
            </w:pPr>
            <w:r>
              <w:rPr>
                <w:rFonts w:ascii="方正黑体_GBK" w:hAnsi="方正黑体_GBK" w:cs="宋体" w:eastAsia="方正黑体_GBK"/>
                <w:sz w:val="18"/>
                <w:szCs w:val="18"/>
              </w:rPr>
              <w:t>P份额：YF80110</w:t>
            </w:r>
          </w:p>
          <w:p>
            <w:pPr>
              <w:pStyle w:val="null10"/>
              <w:spacing w:lineRule="exact" w:line="200"/>
            </w:pPr>
            <w:r>
              <w:rPr>
                <w:rFonts w:ascii="方正黑体_GBK" w:hAnsi="方正黑体_GBK" w:cs="宋体" w:eastAsia="方正黑体_GBK"/>
                <w:sz w:val="18"/>
                <w:szCs w:val="18"/>
              </w:rPr>
              <w:t>Q份额：YG80110</w:t>
            </w:r>
          </w:p>
          <w:p>
            <w:pPr>
              <w:pStyle w:val="null10"/>
              <w:spacing w:lineRule="exact" w:line="200"/>
            </w:pPr>
            <w:r>
              <w:rPr>
                <w:rFonts w:ascii="方正黑体_GBK" w:hAnsi="方正黑体_GBK" w:cs="宋体" w:eastAsia="方正黑体_GBK"/>
                <w:sz w:val="18"/>
                <w:szCs w:val="18"/>
              </w:rPr>
              <w:t>R份额：YH80110</w:t>
            </w:r>
          </w:p>
          <w:p>
            <w:pPr>
              <w:pStyle w:val="null10"/>
              <w:spacing w:lineRule="exact" w:line="200"/>
            </w:pPr>
            <w:r>
              <w:rPr>
                <w:rFonts w:ascii="方正黑体_GBK" w:hAnsi="方正黑体_GBK" w:cs="宋体" w:eastAsia="方正黑体_GBK"/>
                <w:sz w:val="18"/>
                <w:szCs w:val="18"/>
              </w:rPr>
              <w:t>Q1份额：YI80110</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 除B、C、D、E、H、J、K、L、P、Q、R、Q1份额以外的所有客户（详见“销售机构”条款）。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B份额：南京银行股份有限公司(新客或新资金或代发客户)、江苏太仓农村商业银行股份有限公司、青岛银行股份有限公司(私行客户)、温州银行股份有限公司、烟台银行股份有限公司(工会卡 )、浙江民泰商业银行股份有限公司、河北银行股份有限公司(常规客户 )、广州银行股份有限公司、江苏常熟农村商业银行股份有限公司(专属客户)、江苏苏州农村商业银行股份有限公司( 专属客户)、江苏江南农村商业银行股份有限公司( 财富客户)、苏州银行股份有限公司(特邀客户)、秦皇岛银行股份有限公司、青岛农村商业银行股份有限公司、潍坊银行股份有限公司、宁波东海银行股份有限公司、齐鲁银行股份有限公司(白金/私行客户)、甘肃银行股份有限公司( 常规客户)、台州银行股份有限公司( 普通客群)、天津农村商业银行股份有限公司(零售客群)、云南红塔银行股份有限公司( 代发客户)、上海农村商业银行股份有限公司( 受邀客户（在我行时点资产大于等于20万元）)、桂林银行股份有限公司( 常规客户)、宁波通商银行股份有限公司( 普通客群)、江苏扬州农村商业银行股份有限公司( 新客户)、江苏江都农村商业银行股份有限公司、江苏镇江农村商业银行股份有限公司(20万元起购 )、江苏如皋农村商业银行股份有限公司( 代发客户)、徐州农村商业银行股份有限公司( 财富客群)、江苏紫金农村商业银行股份有限公司、江苏沛县农村商业银行股份有限公司、江苏仪征农村商业银行股份有限公司( 20万元起购)、江苏海安农村商业银行股份有限公司、江苏泰州农村商业银行股份有限公司、枣庄银行股份有限公司( 普通客群)、湖州银行股份有限公司( 代发工资客户专属)。</w:t>
            </w:r>
          </w:p>
          <w:p>
            <w:pPr>
              <w:pStyle w:val="null10"/>
              <w:spacing w:lineRule="exact" w:line="200"/>
            </w:pPr>
            <w:r>
              <w:rPr>
                <w:rFonts w:ascii="方正黑体_GBK" w:hAnsi="方正黑体_GBK" w:cs="宋体" w:eastAsia="方正黑体_GBK"/>
                <w:sz w:val="18"/>
                <w:szCs w:val="18"/>
              </w:rPr>
              <w:t>C份额：四川天府银行股份有限公司( 新客新资金)、烟台银行股份有限公司( 特邀客户)、河北银行股份有限公司(集群客户)、江苏江南农村商业银行股份有限公司(私享客户)、蒙商银行股份有限公司(特邀客户)、郑州银行股份有限公司、苏州银行股份有限公司(新资金客户)、泰安银行股份有限公司、齐鲁银行股份有限公司( 特邀客户)、甘肃银行股份有限公司( 教师节特供)、台州银行股份有限公司(特邀客群)、天津农村商业银行股份有限公司(专项客群)、兰州银行股份有限公司、桂林银行股份有限公司(特供客户)、宁波通商银行股份有限公司( 特邀客户)、江苏泰兴农村商业银行股份有限公司、江苏响水农村商业银行股份有限公司(起点金额50万)、江苏靖江农村商业银行股份有限公司、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仪征农村商业银行股份有限公司( 50万元起购)、枣庄银行股份有限公司( 代发客群)。</w:t>
            </w:r>
          </w:p>
          <w:p>
            <w:pPr>
              <w:pStyle w:val="null10"/>
              <w:spacing w:lineRule="exact" w:line="200"/>
            </w:pPr>
            <w:r>
              <w:rPr>
                <w:rFonts w:ascii="方正黑体_GBK" w:hAnsi="方正黑体_GBK" w:cs="宋体" w:eastAsia="方正黑体_GBK"/>
                <w:sz w:val="18"/>
                <w:szCs w:val="18"/>
              </w:rPr>
              <w:t>D份额：天津农村商业银行股份有限公司( 新客户)。</w:t>
            </w:r>
          </w:p>
          <w:p>
            <w:pPr>
              <w:pStyle w:val="null10"/>
              <w:spacing w:lineRule="exact" w:line="200"/>
            </w:pPr>
            <w:r>
              <w:rPr>
                <w:rFonts w:ascii="方正黑体_GBK" w:hAnsi="方正黑体_GBK" w:cs="宋体" w:eastAsia="方正黑体_GBK"/>
                <w:sz w:val="18"/>
                <w:szCs w:val="18"/>
              </w:rPr>
              <w:t>E份额：南京银行股份有限公司特邀客户。</w:t>
            </w:r>
          </w:p>
          <w:p>
            <w:pPr>
              <w:pStyle w:val="null10"/>
              <w:spacing w:lineRule="exact" w:line="200"/>
            </w:pPr>
            <w:r>
              <w:rPr>
                <w:rFonts w:ascii="方正黑体_GBK" w:hAnsi="方正黑体_GBK" w:cs="宋体" w:eastAsia="方正黑体_GBK"/>
                <w:sz w:val="18"/>
                <w:szCs w:val="18"/>
              </w:rPr>
              <w:t>H份额：广发银行股份有限公司所有个人客户。</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K份额：吉林银行股份有限公司。</w:t>
            </w:r>
          </w:p>
          <w:p>
            <w:pPr>
              <w:pStyle w:val="null10"/>
              <w:spacing w:lineRule="exact" w:line="200"/>
            </w:pPr>
            <w:r>
              <w:rPr>
                <w:rFonts w:ascii="方正黑体_GBK" w:hAnsi="方正黑体_GBK" w:cs="宋体" w:eastAsia="方正黑体_GBK"/>
                <w:sz w:val="18"/>
                <w:szCs w:val="18"/>
              </w:rPr>
              <w:t>L份额：江苏江南农村商业银行股份有限公司( 高净值客户专享份额)、天津农村商业银行股份有限公司(私行客群)、江苏扬州农村商业银行股份有限公司( 公司客户)。</w:t>
            </w:r>
          </w:p>
          <w:p>
            <w:pPr>
              <w:pStyle w:val="null10"/>
              <w:spacing w:lineRule="exact" w:line="200"/>
            </w:pPr>
            <w:r>
              <w:rPr>
                <w:rFonts w:ascii="方正黑体_GBK" w:hAnsi="方正黑体_GBK" w:cs="宋体" w:eastAsia="方正黑体_GBK"/>
                <w:sz w:val="18"/>
                <w:szCs w:val="18"/>
              </w:rPr>
              <w:t>P份额： 湖北银行股份有限公司金融资产50万（含）-100万元以上客群，1万元起购。</w:t>
            </w:r>
          </w:p>
          <w:p>
            <w:pPr>
              <w:pStyle w:val="null10"/>
              <w:spacing w:lineRule="exact" w:line="200"/>
            </w:pPr>
            <w:r>
              <w:rPr>
                <w:rFonts w:ascii="方正黑体_GBK" w:hAnsi="方正黑体_GBK" w:cs="宋体" w:eastAsia="方正黑体_GBK"/>
                <w:sz w:val="18"/>
                <w:szCs w:val="18"/>
              </w:rPr>
              <w:t>Q份额：湖北银行股份有限公司普通客群，50万元起购。</w:t>
            </w:r>
          </w:p>
          <w:p>
            <w:pPr>
              <w:pStyle w:val="null10"/>
              <w:spacing w:lineRule="exact" w:line="200"/>
            </w:pPr>
            <w:r>
              <w:rPr>
                <w:rFonts w:ascii="方正黑体_GBK" w:hAnsi="方正黑体_GBK" w:cs="宋体" w:eastAsia="方正黑体_GBK"/>
                <w:sz w:val="18"/>
                <w:szCs w:val="18"/>
              </w:rPr>
              <w:t>R份额：湖北银行股份有限公司普通客群，100万元起购。</w:t>
            </w:r>
          </w:p>
          <w:p>
            <w:pPr>
              <w:pStyle w:val="null10"/>
              <w:spacing w:lineRule="exact" w:line="200"/>
            </w:pPr>
            <w:r>
              <w:rPr>
                <w:rFonts w:ascii="方正黑体_GBK" w:hAnsi="方正黑体_GBK" w:cs="宋体" w:eastAsia="方正黑体_GBK"/>
                <w:sz w:val="18"/>
                <w:szCs w:val="18"/>
              </w:rPr>
              <w:t>Q1份额：湖北银行股份有限金融资产100万元（含）以上客群，1万元起购。</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r>
              <w:rPr>
                <w:rFonts w:ascii="方正黑体_GBK" w:hAnsi="方正黑体_GBK" w:cs="宋体" w:eastAsia="方正黑体_GBK"/>
                <w:sz w:val="18"/>
                <w:b/>
                <w:szCs w:val="18"/>
              </w:rPr>
              <w:t>南京银行股份有限公司特邀客户：</w:t>
            </w:r>
            <w:r>
              <w:rPr>
                <w:rFonts w:ascii="方正黑体_GBK" w:hAnsi="方正黑体_GBK" w:cs="宋体" w:eastAsia="方正黑体_GBK"/>
                <w:sz w:val="18"/>
                <w:szCs w:val="18"/>
              </w:rPr>
              <w:t>是指单笔金额100万起的特邀公司类客户。</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A份额/B份额/C份额/D份额/J份额/K份额/L份额/P份额/Q份额/R份额/Q1份额：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E份额：</w:t>
            </w:r>
          </w:p>
          <w:p>
            <w:pPr>
              <w:pStyle w:val="null10"/>
              <w:spacing w:lineRule="exact" w:line="200"/>
            </w:pPr>
            <w:r>
              <w:rPr>
                <w:rFonts w:ascii="方正黑体_GBK" w:hAnsi="方正黑体_GBK" w:cs="宋体" w:eastAsia="方正黑体_GBK"/>
                <w:sz w:val="18"/>
                <w:szCs w:val="18"/>
              </w:rPr>
              <w:t>机构投资者投资起点金额100万元人民币，以1元的整数倍递增；</w:t>
            </w:r>
          </w:p>
          <w:p>
            <w:pPr>
              <w:pStyle w:val="null10"/>
              <w:spacing w:lineRule="exact" w:line="200"/>
            </w:pPr>
            <w:r>
              <w:rPr>
                <w:rFonts w:ascii="方正黑体_GBK" w:hAnsi="方正黑体_GBK" w:cs="宋体" w:eastAsia="方正黑体_GBK"/>
                <w:sz w:val="18"/>
                <w:szCs w:val="18"/>
              </w:rPr>
              <w:t>H份额：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A份额/B份额/C份额/D份额/E份额/H份额/J份额/K份额/L份额/P份额/Q份额/R份额/Q1份额：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2025年11月19日 09:00—2025年11月25日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2025年11月26日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2025年11月26日—实际到期日（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2026年03月05日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A份额：业绩比较基准为1.78%(年化)。</w:t>
            </w:r>
          </w:p>
          <w:p>
            <w:pPr>
              <w:pStyle w:val="null10"/>
              <w:spacing w:lineRule="exact" w:line="200"/>
            </w:pPr>
            <w:r>
              <w:rPr>
                <w:rFonts w:ascii="方正黑体_GBK" w:hAnsi="方正黑体_GBK" w:cs="宋体" w:eastAsia="方正黑体_GBK"/>
                <w:sz w:val="18"/>
                <w:szCs w:val="18"/>
              </w:rPr>
              <w:t>B份额：业绩比较基准为1.88%(年化)。</w:t>
            </w:r>
          </w:p>
          <w:p>
            <w:pPr>
              <w:pStyle w:val="null10"/>
              <w:spacing w:lineRule="exact" w:line="200"/>
            </w:pPr>
            <w:r>
              <w:rPr>
                <w:rFonts w:ascii="方正黑体_GBK" w:hAnsi="方正黑体_GBK" w:cs="宋体" w:eastAsia="方正黑体_GBK"/>
                <w:sz w:val="18"/>
                <w:szCs w:val="18"/>
              </w:rPr>
              <w:t>C份额：业绩比较基准为1.98%(年化)。</w:t>
            </w:r>
          </w:p>
          <w:p>
            <w:pPr>
              <w:pStyle w:val="null10"/>
              <w:spacing w:lineRule="exact" w:line="200"/>
            </w:pPr>
            <w:r>
              <w:rPr>
                <w:rFonts w:ascii="方正黑体_GBK" w:hAnsi="方正黑体_GBK" w:cs="宋体" w:eastAsia="方正黑体_GBK"/>
                <w:sz w:val="18"/>
                <w:szCs w:val="18"/>
              </w:rPr>
              <w:t>D份额：业绩比较基准为2.03%(年化)。</w:t>
            </w:r>
          </w:p>
          <w:p>
            <w:pPr>
              <w:pStyle w:val="null10"/>
              <w:spacing w:lineRule="exact" w:line="200"/>
            </w:pPr>
            <w:r>
              <w:rPr>
                <w:rFonts w:ascii="方正黑体_GBK" w:hAnsi="方正黑体_GBK" w:cs="宋体" w:eastAsia="方正黑体_GBK"/>
                <w:sz w:val="18"/>
                <w:szCs w:val="18"/>
              </w:rPr>
              <w:t>E份额：业绩比较基准为1.93%(年化)。</w:t>
            </w:r>
          </w:p>
          <w:p>
            <w:pPr>
              <w:pStyle w:val="null10"/>
              <w:spacing w:lineRule="exact" w:line="200"/>
            </w:pPr>
            <w:r>
              <w:rPr>
                <w:rFonts w:ascii="方正黑体_GBK" w:hAnsi="方正黑体_GBK" w:cs="宋体" w:eastAsia="方正黑体_GBK"/>
                <w:sz w:val="18"/>
                <w:szCs w:val="18"/>
              </w:rPr>
              <w:t>H份额：业绩比较基准为1.88%(年化)。</w:t>
            </w:r>
          </w:p>
          <w:p>
            <w:pPr>
              <w:pStyle w:val="null10"/>
              <w:spacing w:lineRule="exact" w:line="200"/>
            </w:pPr>
            <w:r>
              <w:rPr>
                <w:rFonts w:ascii="方正黑体_GBK" w:hAnsi="方正黑体_GBK" w:cs="宋体" w:eastAsia="方正黑体_GBK"/>
                <w:sz w:val="18"/>
                <w:szCs w:val="18"/>
              </w:rPr>
              <w:t>J份额：业绩比较基准为1.78%(年化)。</w:t>
            </w:r>
          </w:p>
          <w:p>
            <w:pPr>
              <w:pStyle w:val="null10"/>
              <w:spacing w:lineRule="exact" w:line="200"/>
            </w:pPr>
            <w:r>
              <w:rPr>
                <w:rFonts w:ascii="方正黑体_GBK" w:hAnsi="方正黑体_GBK" w:cs="宋体" w:eastAsia="方正黑体_GBK"/>
                <w:sz w:val="18"/>
                <w:szCs w:val="18"/>
              </w:rPr>
              <w:t>K份额：业绩比较基准为2.03%(年化)。</w:t>
            </w:r>
          </w:p>
          <w:p>
            <w:pPr>
              <w:pStyle w:val="null10"/>
              <w:spacing w:lineRule="exact" w:line="200"/>
            </w:pPr>
            <w:r>
              <w:rPr>
                <w:rFonts w:ascii="方正黑体_GBK" w:hAnsi="方正黑体_GBK" w:cs="宋体" w:eastAsia="方正黑体_GBK"/>
                <w:sz w:val="18"/>
                <w:szCs w:val="18"/>
              </w:rPr>
              <w:t>L份额：业绩比较基准为2.03%(年化)。</w:t>
            </w:r>
          </w:p>
          <w:p>
            <w:pPr>
              <w:pStyle w:val="null10"/>
              <w:spacing w:lineRule="exact" w:line="200"/>
            </w:pPr>
            <w:r>
              <w:rPr>
                <w:rFonts w:ascii="方正黑体_GBK" w:hAnsi="方正黑体_GBK" w:cs="宋体" w:eastAsia="方正黑体_GBK"/>
                <w:sz w:val="18"/>
                <w:szCs w:val="18"/>
              </w:rPr>
              <w:t>P份额：业绩比较基准为1.83%(年化)。</w:t>
            </w:r>
          </w:p>
          <w:p>
            <w:pPr>
              <w:pStyle w:val="null10"/>
              <w:spacing w:lineRule="exact" w:line="200"/>
            </w:pPr>
            <w:r>
              <w:rPr>
                <w:rFonts w:ascii="方正黑体_GBK" w:hAnsi="方正黑体_GBK" w:cs="宋体" w:eastAsia="方正黑体_GBK"/>
                <w:sz w:val="18"/>
                <w:szCs w:val="18"/>
              </w:rPr>
              <w:t>Q份额：业绩比较基准为1.83%(年化)。</w:t>
            </w:r>
          </w:p>
          <w:p>
            <w:pPr>
              <w:pStyle w:val="null10"/>
              <w:spacing w:lineRule="exact" w:line="200"/>
            </w:pPr>
            <w:r>
              <w:rPr>
                <w:rFonts w:ascii="方正黑体_GBK" w:hAnsi="方正黑体_GBK" w:cs="宋体" w:eastAsia="方正黑体_GBK"/>
                <w:sz w:val="18"/>
                <w:szCs w:val="18"/>
              </w:rPr>
              <w:t>R份额：业绩比较基准为1.88%(年化)。</w:t>
            </w:r>
          </w:p>
          <w:p>
            <w:pPr>
              <w:pStyle w:val="null10"/>
              <w:spacing w:lineRule="exact" w:line="200"/>
            </w:pPr>
            <w:r>
              <w:rPr>
                <w:rFonts w:ascii="方正黑体_GBK" w:hAnsi="方正黑体_GBK" w:cs="宋体" w:eastAsia="方正黑体_GBK"/>
                <w:sz w:val="18"/>
                <w:szCs w:val="18"/>
              </w:rPr>
              <w:t>Q1份额：业绩比较基准为1.88%(年化)。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E份额：销售费年化0.1%</w:t>
            </w:r>
          </w:p>
          <w:p>
            <w:pPr>
              <w:pStyle w:val="null10"/>
              <w:spacing w:lineRule="exact" w:line="200"/>
            </w:pPr>
            <w:r>
              <w:rPr>
                <w:rFonts w:ascii="方正黑体_GBK" w:hAnsi="方正黑体_GBK" w:cs="宋体" w:eastAsia="方正黑体_GBK"/>
                <w:sz w:val="18"/>
                <w:b/>
                <w:szCs w:val="18"/>
              </w:rPr>
              <w:t>H份额：销售费年化0.15%</w:t>
            </w:r>
          </w:p>
          <w:p>
            <w:pPr>
              <w:pStyle w:val="null10"/>
              <w:spacing w:lineRule="exact" w:line="200"/>
            </w:pPr>
            <w:r>
              <w:rPr>
                <w:rFonts w:ascii="方正黑体_GBK" w:hAnsi="方正黑体_GBK" w:cs="宋体" w:eastAsia="方正黑体_GBK"/>
                <w:sz w:val="18"/>
                <w:b/>
                <w:szCs w:val="18"/>
              </w:rPr>
              <w:t>J份额：销售费年化0.2%</w:t>
            </w:r>
          </w:p>
          <w:p>
            <w:pPr>
              <w:pStyle w:val="null10"/>
              <w:spacing w:lineRule="exact" w:line="200"/>
            </w:pPr>
            <w:r>
              <w:rPr>
                <w:rFonts w:ascii="方正黑体_GBK" w:hAnsi="方正黑体_GBK" w:cs="宋体" w:eastAsia="方正黑体_GBK"/>
                <w:sz w:val="18"/>
                <w:b/>
                <w:szCs w:val="18"/>
              </w:rPr>
              <w:t>K份额：销售费年化0.05%</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P份额：销售费年化0.15%</w:t>
            </w:r>
          </w:p>
          <w:p>
            <w:pPr>
              <w:pStyle w:val="null10"/>
              <w:spacing w:lineRule="exact" w:line="200"/>
            </w:pPr>
            <w:r>
              <w:rPr>
                <w:rFonts w:ascii="方正黑体_GBK" w:hAnsi="方正黑体_GBK" w:cs="宋体" w:eastAsia="方正黑体_GBK"/>
                <w:sz w:val="18"/>
                <w:b/>
                <w:szCs w:val="18"/>
              </w:rPr>
              <w:t>Q份额：销售费年化0.15%</w:t>
            </w:r>
          </w:p>
          <w:p>
            <w:pPr>
              <w:pStyle w:val="null10"/>
              <w:spacing w:lineRule="exact" w:line="200"/>
            </w:pPr>
            <w:r>
              <w:rPr>
                <w:rFonts w:ascii="方正黑体_GBK" w:hAnsi="方正黑体_GBK" w:cs="宋体" w:eastAsia="方正黑体_GBK"/>
                <w:sz w:val="18"/>
                <w:b/>
                <w:szCs w:val="18"/>
              </w:rPr>
              <w:t>R份额：销售费年化0.1%</w:t>
            </w:r>
          </w:p>
          <w:p>
            <w:pPr>
              <w:pStyle w:val="null10"/>
              <w:spacing w:lineRule="exact" w:line="200"/>
            </w:pPr>
            <w:r>
              <w:rPr>
                <w:rFonts w:ascii="方正黑体_GBK" w:hAnsi="方正黑体_GBK" w:cs="宋体" w:eastAsia="方正黑体_GBK"/>
                <w:sz w:val="18"/>
                <w:b/>
                <w:szCs w:val="18"/>
              </w:rPr>
              <w:t>Q1份额：销售费年化0.15%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A份额：固定管理费年化0.15%</w:t>
            </w:r>
          </w:p>
          <w:p>
            <w:pPr>
              <w:pStyle w:val="null10"/>
              <w:spacing w:lineRule="exact" w:line="200"/>
            </w:pPr>
            <w:r>
              <w:rPr>
                <w:rFonts w:ascii="方正黑体_GBK" w:hAnsi="方正黑体_GBK" w:cs="宋体" w:eastAsia="方正黑体_GBK"/>
                <w:sz w:val="18"/>
                <w:b/>
                <w:szCs w:val="18"/>
              </w:rPr>
              <w:t>B份额：固定管理费年化0.1%</w:t>
            </w:r>
          </w:p>
          <w:p>
            <w:pPr>
              <w:pStyle w:val="null10"/>
              <w:spacing w:lineRule="exact" w:line="200"/>
            </w:pPr>
            <w:r>
              <w:rPr>
                <w:rFonts w:ascii="方正黑体_GBK" w:hAnsi="方正黑体_GBK" w:cs="宋体" w:eastAsia="方正黑体_GBK"/>
                <w:sz w:val="18"/>
                <w:b/>
                <w:szCs w:val="18"/>
              </w:rPr>
              <w:t>C份额：固定管理费年化0.1%</w:t>
            </w:r>
          </w:p>
          <w:p>
            <w:pPr>
              <w:pStyle w:val="null10"/>
              <w:spacing w:lineRule="exact" w:line="200"/>
            </w:pPr>
            <w:r>
              <w:rPr>
                <w:rFonts w:ascii="方正黑体_GBK" w:hAnsi="方正黑体_GBK" w:cs="宋体" w:eastAsia="方正黑体_GBK"/>
                <w:sz w:val="18"/>
                <w:b/>
                <w:szCs w:val="18"/>
              </w:rPr>
              <w:t>D份额：固定管理费年化0.1%</w:t>
            </w:r>
          </w:p>
          <w:p>
            <w:pPr>
              <w:pStyle w:val="null10"/>
              <w:spacing w:lineRule="exact" w:line="200"/>
            </w:pPr>
            <w:r>
              <w:rPr>
                <w:rFonts w:ascii="方正黑体_GBK" w:hAnsi="方正黑体_GBK" w:cs="宋体" w:eastAsia="方正黑体_GBK"/>
                <w:sz w:val="18"/>
                <w:b/>
                <w:szCs w:val="18"/>
              </w:rPr>
              <w:t>E份额：固定管理费年化0.1%</w:t>
            </w:r>
          </w:p>
          <w:p>
            <w:pPr>
              <w:pStyle w:val="null10"/>
              <w:spacing w:lineRule="exact" w:line="200"/>
            </w:pPr>
            <w:r>
              <w:rPr>
                <w:rFonts w:ascii="方正黑体_GBK" w:hAnsi="方正黑体_GBK" w:cs="宋体" w:eastAsia="方正黑体_GBK"/>
                <w:sz w:val="18"/>
                <w:b/>
                <w:szCs w:val="18"/>
              </w:rPr>
              <w:t>H份额：固定管理费年化0.1%</w:t>
            </w:r>
          </w:p>
          <w:p>
            <w:pPr>
              <w:pStyle w:val="null10"/>
              <w:spacing w:lineRule="exact" w:line="200"/>
            </w:pPr>
            <w:r>
              <w:rPr>
                <w:rFonts w:ascii="方正黑体_GBK" w:hAnsi="方正黑体_GBK" w:cs="宋体" w:eastAsia="方正黑体_GBK"/>
                <w:sz w:val="18"/>
                <w:b/>
                <w:szCs w:val="18"/>
              </w:rPr>
              <w:t>J份额：固定管理费年化0.15%</w:t>
            </w:r>
          </w:p>
          <w:p>
            <w:pPr>
              <w:pStyle w:val="null10"/>
              <w:spacing w:lineRule="exact" w:line="200"/>
            </w:pPr>
            <w:r>
              <w:rPr>
                <w:rFonts w:ascii="方正黑体_GBK" w:hAnsi="方正黑体_GBK" w:cs="宋体" w:eastAsia="方正黑体_GBK"/>
                <w:sz w:val="18"/>
                <w:b/>
                <w:szCs w:val="18"/>
              </w:rPr>
              <w:t>K份额：固定管理费年化0.05%</w:t>
            </w:r>
          </w:p>
          <w:p>
            <w:pPr>
              <w:pStyle w:val="null10"/>
              <w:spacing w:lineRule="exact" w:line="200"/>
            </w:pPr>
            <w:r>
              <w:rPr>
                <w:rFonts w:ascii="方正黑体_GBK" w:hAnsi="方正黑体_GBK" w:cs="宋体" w:eastAsia="方正黑体_GBK"/>
                <w:sz w:val="18"/>
                <w:b/>
                <w:szCs w:val="18"/>
              </w:rPr>
              <w:t>L份额：固定管理费年化0.05%</w:t>
            </w:r>
          </w:p>
          <w:p>
            <w:pPr>
              <w:pStyle w:val="null10"/>
              <w:spacing w:lineRule="exact" w:line="200"/>
            </w:pPr>
            <w:r>
              <w:rPr>
                <w:rFonts w:ascii="方正黑体_GBK" w:hAnsi="方正黑体_GBK" w:cs="宋体" w:eastAsia="方正黑体_GBK"/>
                <w:sz w:val="18"/>
                <w:b/>
                <w:szCs w:val="18"/>
              </w:rPr>
              <w:t>P份额：固定管理费年化0.15%</w:t>
            </w:r>
          </w:p>
          <w:p>
            <w:pPr>
              <w:pStyle w:val="null10"/>
              <w:spacing w:lineRule="exact" w:line="200"/>
            </w:pPr>
            <w:r>
              <w:rPr>
                <w:rFonts w:ascii="方正黑体_GBK" w:hAnsi="方正黑体_GBK" w:cs="宋体" w:eastAsia="方正黑体_GBK"/>
                <w:sz w:val="18"/>
                <w:b/>
                <w:szCs w:val="18"/>
              </w:rPr>
              <w:t>Q份额：固定管理费年化0.15%</w:t>
            </w:r>
          </w:p>
          <w:p>
            <w:pPr>
              <w:pStyle w:val="null10"/>
              <w:spacing w:lineRule="exact" w:line="200"/>
            </w:pPr>
            <w:r>
              <w:rPr>
                <w:rFonts w:ascii="方正黑体_GBK" w:hAnsi="方正黑体_GBK" w:cs="宋体" w:eastAsia="方正黑体_GBK"/>
                <w:sz w:val="18"/>
                <w:b/>
                <w:szCs w:val="18"/>
              </w:rPr>
              <w:t>R份额：固定管理费年化0.15%</w:t>
            </w:r>
          </w:p>
          <w:p>
            <w:pPr>
              <w:pStyle w:val="null10"/>
              <w:spacing w:lineRule="exact" w:line="200"/>
            </w:pPr>
            <w:r>
              <w:rPr>
                <w:rFonts w:ascii="方正黑体_GBK" w:hAnsi="方正黑体_GBK" w:cs="宋体" w:eastAsia="方正黑体_GBK"/>
                <w:sz w:val="18"/>
                <w:b/>
                <w:szCs w:val="18"/>
              </w:rPr>
              <w:t>Q1份额：固定管理费年化0.1%</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A份额：到期兑付时，当期产品投资的实际资产组合收益（扣除销售费、固定管理费、托管费等相关费用）超过1.78%（年化，即产品该份额对应的业绩报酬计提基准）时，超过部分管理人将按60%收取业绩报酬。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B份额：到期兑付时，当期产品投资的实际资产组合收益（扣除销售费、固定管理费、托管费等相关费用）超过1.88%（年化，即产品该份额对应的业绩报酬计提基准）时，超过部分管理人将按60%收取业绩报酬。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C份额：到期兑付时，当期产品投资的实际资产组合收益（扣除销售费、固定管理费、托管费等相关费用）超过1.98%（年化，即产品该份额对应的业绩报酬计提基准）时，超过部分管理人将按60%收取业绩报酬。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D份额：到期兑付时，当期产品投资的实际资产组合收益（扣除销售费、固定管理费、托管费等相关费用）超过2.03%（年化，即产品该份额对应的业绩报酬计提基准）时，超过部分管理人将按60%收取业绩报酬。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E份额：到期兑付时，当期产品投资的实际资产组合收益（扣除销售费、固定管理费、托管费等相关费用）超过1.93%（年化，即产品该份额对应的业绩报酬计提基准）时，超过部分管理人将按60%收取业绩报酬。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H份额：到期兑付时，当期产品投资的实际资产组合收益（扣除销售费、固定管理费、托管费等相关费用）超过1.88%（年化，即产品该份额对应的业绩报酬计提基准）时，超过部分管理人将按60%收取业绩报酬。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J份额：到期兑付时，当期产品投资的实际资产组合收益（扣除销售费、固定管理费、托管费等相关费用）超过1.78%（年化，即产品该份额对应的业绩报酬计提基准）时，超过部分管理人将按60%收取业绩报酬。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K份额：到期兑付时，当期产品投资的实际资产组合收益（扣除销售费、固定管理费、托管费等相关费用）超过2.03%（年化，即产品该份额对应的业绩报酬计提基准）时，超过部分管理人将按60%收取业绩报酬。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L份额：到期兑付时，当期产品投资的实际资产组合收益（扣除销售费、固定管理费、托管费等相关费用）超过2.03%（年化，即产品该份额对应的业绩报酬计提基准）时，超过部分管理人将按60%收取业绩报酬。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P份额：到期兑付时，当期产品投资的实际资产组合收益（扣除销售费、固定管理费、托管费等相关费用）超过1.83%（年化，即产品该份额对应的业绩报酬计提基准）时，超过部分管理人将按60%收取业绩报酬。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Q份额：到期兑付时，当期产品投资的实际资产组合收益（扣除销售费、固定管理费、托管费等相关费用）超过1.83%（年化，即产品该份额对应的业绩报酬计提基准）时，超过部分管理人将按60%收取业绩报酬。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R份额：到期兑付时，当期产品投资的实际资产组合收益（扣除销售费、固定管理费、托管费等相关费用）超过1.88%（年化，即产品该份额对应的业绩报酬计提基准）时，超过部分管理人将按60%收取业绩报酬。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Q1份额：到期兑付时，当期产品投资的实际资产组合收益（扣除销售费、固定管理费、托管费等相关费用）超过1.88%（年化，即产品该份额对应的业绩报酬计提基准）时，超过部分管理人将按60%收取业绩报酬。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p>
            <w:pPr>
              <w:pStyle w:val="null10"/>
              <w:spacing w:lineRule="exact" w:line="200"/>
            </w:pPr>
            <w:r>
              <w:rPr>
                <w:rFonts w:ascii="方正黑体_GBK" w:hAnsi="方正黑体_GBK" w:cs="宋体" w:eastAsia="方正黑体_GBK"/>
                <w:sz w:val="18"/>
                <w:b/>
                <w:szCs w:val="18"/>
              </w:rPr>
              <w:t>3.本理财产品所有份额的固定管理费自本理财产品成立日（含）至2025年12月31日（含）期间优惠至0.01%。</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嘉兴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九江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乌鲁木齐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吉林银行股份有限公司、连云港东方农村商业银行股份有限公司、德州银行股份有限公司、四川天府银行股份有限公司、上海农村商业银行股份有限公司、广发银行股份有限公司、江苏沭阳农村商业银行股份有限公司、湖州银行股份有限公司、江苏灌云农村商业银行股份有限公司、江苏海安农村商业银行股份有限公司、江苏昆山农村商业银行股份有限公司、广州农村商业银行股份有限公司、江苏泰州农村商业银行股份有限公司、青岛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347ae190"/>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9bc5cec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9bc5cec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9bc5cecf"/>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9bc5ce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9bc5cecf"/>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9bc5ce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9bc5ce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9bc5ce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9bc5ce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9bc5cecf"/>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9bc5ce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9bc5ce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9bc5ce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9bc5ce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9bc5ce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9bc5ce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9bc5cecf"/>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9bc5ce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9bc5ce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9bc5ce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9bc5ce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9bc5ce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9bc5ce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9bc5ce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9bc5ce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9bc5ce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9bc5ce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9bc5ce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9bc5ce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9bc5ce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9bc5cecf"/>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9bc5cecf"/>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南银理财珠联璧合鑫逸稳三个月110期封闭式公募人民币理财产品</w:t>
      </w:r>
      <w:r>
        <w:rPr>
          <w:rFonts w:ascii="方正黑体_GBK" w:eastAsia="方正黑体_GBK" w:hint="eastAsia" w:hAnsi="方正黑体_GBK"/>
          <w:vanish w:val="0"/>
          <w:color w:val="3D3D3D"/>
          <w:kern w:val="0"/>
          <w:sz w:val="15"/>
          <w:szCs w:val="15"/>
        </w:rPr>
        <w:t>。</w:t>
      </w:r>
    </w:p>
    <w:p>
      <w:pPr>
        <w:pStyle w:val="9bc5ce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9bc5ce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9bc5ce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9bc5ce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9bc5cecf"/>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9bc5ce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9bc5ce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9bc5ce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9bc5ce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9bc5ce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9bc5ce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9bc5ce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9bc5ce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9bc5ce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9bc5ce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9bc5ce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9bc5cec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9bc5cecf"/>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9bc5cecf"/>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875849bf"/>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875849bf"/>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875849bf"/>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875849bf"/>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875849bf"/>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875849bf"/>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9bc5cecf"/>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9bc5cecf"/>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9bc5cecf"/>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347ae19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347ae19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875849bf"/>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347ae190"/>
        <w:keepNext w:val="0"/>
        <w:keepLines w:val="0"/>
        <w:pageBreakBefore w:val="0"/>
        <w:widowControl/>
        <w:suppressLineNumbers w:val="0"/>
        <w:suppressAutoHyphens w:val="0"/>
        <w:spacing w:line="200" w:lineRule="exact"/>
        <w:ind w:firstLineChars="200" w:firstLine="300"/>
        <w:rPr>
          <w:rStyle w:val="875849bf"/>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347ae19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347ae19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347ae190"/>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347ae190"/>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347ae19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347ae19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347ae19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347ae19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347ae19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347ae19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347ae19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347ae19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347ae19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347ae19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347ae19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347ae19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347ae19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347ae19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347ae19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347ae19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347ae19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347ae19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347ae19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347ae19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347ae190"/>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347ae19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347ae19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347ae19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347ae190"/>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347ae19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347ae190"/>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347ae19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347ae19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347ae19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347ae19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347ae19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347ae19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347ae190"/>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1"/>
  </w:num>
  <w:num w:numId="2">
    <w:abstractNumId w:val="4"/>
  </w:num>
  <w:num w:numId="3">
    <w:abstractNumId w:val="2"/>
  </w:num>
  <w:num w:numId="4">
    <w:abstractNumId w:val="3"/>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cb881551">
    <w:name w:val="Normalcb881551"/>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4f7b5a7c">
    <w:name w:val="heading 14f7b5a7c"/>
    <w:basedOn w:val="cb881551"/>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434e03d2">
    <w:name w:val="heading 2434e03d2"/>
    <w:basedOn w:val="cb881551"/>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56e64212">
    <w:name w:val="heading 356e64212"/>
    <w:basedOn w:val="cb881551"/>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1fb3a10d">
    <w:name w:val="Default Paragraph Font1fb3a10d"/>
  </w:style>
  <w:style xmlns:r="http://schemas.openxmlformats.org/officeDocument/2006/relationships" w:type="paragraph" w:styleId="13a732e4">
    <w:name w:val="toc 113a732e4"/>
    <w:basedOn w:val="cb881551"/>
    <w:autoRedefine/>
    <w:next w:val="0"/>
  </w:style>
  <w:style xmlns:r="http://schemas.openxmlformats.org/officeDocument/2006/relationships" w:type="paragraph" w:styleId="f9ad78be">
    <w:name w:val="toc 2f9ad78be"/>
    <w:basedOn w:val="cb881551"/>
    <w:autoRedefine/>
    <w:next w:val="0"/>
    <w:pPr>
      <w:ind w:left="420"/>
    </w:pPr>
  </w:style>
  <w:style xmlns:r="http://schemas.openxmlformats.org/officeDocument/2006/relationships" w:type="paragraph" w:styleId="be2b3194">
    <w:name w:val="toc 3be2b3194"/>
    <w:basedOn w:val="cb881551"/>
    <w:autoRedefine/>
    <w:next w:val="0"/>
    <w:pPr>
      <w:ind w:left="840"/>
    </w:pPr>
  </w:style>
  <w:style xmlns:r="http://schemas.openxmlformats.org/officeDocument/2006/relationships" w:type="paragraph" w:styleId="570b8afa">
    <w:name w:val="toc 4570b8afa"/>
    <w:basedOn w:val="cb881551"/>
    <w:autoRedefine/>
    <w:next w:val="0"/>
    <w:pPr>
      <w:ind w:left="1260"/>
    </w:pPr>
  </w:style>
  <w:style xmlns:r="http://schemas.openxmlformats.org/officeDocument/2006/relationships" w:type="paragraph" w:styleId="a398869a">
    <w:name w:val="toc 5a398869a"/>
    <w:basedOn w:val="cb881551"/>
    <w:autoRedefine/>
    <w:next w:val="0"/>
    <w:pPr>
      <w:ind w:left="1680"/>
    </w:pPr>
  </w:style>
  <w:style xmlns:r="http://schemas.openxmlformats.org/officeDocument/2006/relationships" w:type="paragraph" w:styleId="2fd17376">
    <w:name w:val="header2fd17376"/>
    <w:basedOn w:val="cb881551"/>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1043efe3">
    <w:name w:val="footer1043efe3"/>
    <w:basedOn w:val="cb881551"/>
    <w:pPr>
      <w:tabs>
        <w:tab w:val="center" w:pos="4153"/>
        <w:tab w:val="right" w:pos="8307"/>
      </w:tabs>
      <w:adjustRightInd/>
      <w:snapToGrid w:val="0"/>
      <w:contextualSpacing w:val="0"/>
      <w:jc w:val="left"/>
    </w:pPr>
    <w:rPr>
      <w:sz w:val="18"/>
    </w:rPr>
  </w:style>
  <w:style xmlns:r="http://schemas.openxmlformats.org/officeDocument/2006/relationships" w:type="character" w:styleId="8711096e">
    <w:name w:val="Strong8711096e"/>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347ae190">
    <w:name w:val="Normal347ae190"/>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fff6b780">
    <w:name w:val="heading 1fff6b780"/>
    <w:basedOn w:val="347ae19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fb7b3f23">
    <w:name w:val="heading 2fb7b3f23"/>
    <w:basedOn w:val="347ae19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9427a2a2">
    <w:name w:val="heading 39427a2a2"/>
    <w:basedOn w:val="347ae19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0b3fa49f">
    <w:name w:val="Default Paragraph Font0b3fa49f"/>
  </w:style>
  <w:style xmlns:r="http://schemas.openxmlformats.org/officeDocument/2006/relationships" w:type="paragraph" w:styleId="53c0a25d">
    <w:name w:val="Normal Indent53c0a25d"/>
    <w:basedOn w:val="347ae190"/>
    <w:pPr>
      <w:ind w:firstLineChars="200" w:firstLine="200"/>
    </w:pPr>
  </w:style>
  <w:style xmlns:r="http://schemas.openxmlformats.org/officeDocument/2006/relationships" w:type="paragraph" w:styleId="70fbcdec">
    <w:name w:val="toc 570fbcdec"/>
    <w:basedOn w:val="347ae190"/>
    <w:next w:val="0"/>
    <w:pPr>
      <w:ind w:left="1680"/>
    </w:pPr>
  </w:style>
  <w:style xmlns:r="http://schemas.openxmlformats.org/officeDocument/2006/relationships" w:type="paragraph" w:styleId="04092121">
    <w:name w:val="toc 304092121"/>
    <w:basedOn w:val="347ae190"/>
    <w:next w:val="0"/>
    <w:pPr>
      <w:ind w:left="840"/>
    </w:pPr>
  </w:style>
  <w:style xmlns:r="http://schemas.openxmlformats.org/officeDocument/2006/relationships" w:type="paragraph" w:styleId="3df25b94">
    <w:name w:val="footer3df25b94"/>
    <w:basedOn w:val="347ae190"/>
    <w:pPr>
      <w:tabs>
        <w:tab w:val="center" w:pos="4153"/>
        <w:tab w:val="right" w:pos="8307"/>
      </w:tabs>
      <w:adjustRightInd/>
      <w:snapToGrid w:val="0"/>
      <w:contextualSpacing w:val="0"/>
      <w:jc w:val="left"/>
    </w:pPr>
    <w:rPr>
      <w:sz w:val="18"/>
    </w:rPr>
  </w:style>
  <w:style xmlns:r="http://schemas.openxmlformats.org/officeDocument/2006/relationships" w:type="paragraph" w:styleId="5117e98a">
    <w:name w:val="header5117e98a"/>
    <w:basedOn w:val="347ae19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1e3268b3">
    <w:name w:val="toc 11e3268b3"/>
    <w:basedOn w:val="347ae190"/>
    <w:next w:val="0"/>
  </w:style>
  <w:style xmlns:r="http://schemas.openxmlformats.org/officeDocument/2006/relationships" w:type="paragraph" w:styleId="654df5fe">
    <w:name w:val="toc 4654df5fe"/>
    <w:basedOn w:val="347ae190"/>
    <w:next w:val="0"/>
    <w:pPr>
      <w:ind w:left="1260"/>
    </w:pPr>
  </w:style>
  <w:style xmlns:r="http://schemas.openxmlformats.org/officeDocument/2006/relationships" w:type="paragraph" w:styleId="b4d4091e">
    <w:name w:val="toc 2b4d4091e"/>
    <w:basedOn w:val="347ae190"/>
    <w:next w:val="0"/>
    <w:pPr>
      <w:ind w:left="420"/>
    </w:pPr>
  </w:style>
  <w:style xmlns:r="http://schemas.openxmlformats.org/officeDocument/2006/relationships" w:type="paragraph" w:styleId="455aa467">
    <w:name w:val="Normal (Web)455aa467"/>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9bc5cecf">
    <w:name w:val="Normal9bc5cecf9bc5cecf"/>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c981cbb4">
    <w:name w:val="heading 1c981cbb4c981cbb4"/>
    <w:basedOn w:val="9bc5cecf"/>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62b881d5">
    <w:name w:val="heading 262b881d562b881d5"/>
    <w:basedOn w:val="9bc5cecf"/>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e402543a">
    <w:name w:val="heading 3e402543ae402543a"/>
    <w:basedOn w:val="9bc5cecf"/>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48506650">
    <w:name w:val="Default Paragraph Font4850665048506650"/>
  </w:style>
  <w:style xmlns:r="http://schemas.openxmlformats.org/officeDocument/2006/relationships" w:type="paragraph" w:customStyle="1" w:styleId="47d939df">
    <w:name w:val="引文目录147d939df47d939df"/>
    <w:basedOn w:val="9bc5cecf"/>
    <w:next w:val="0"/>
    <w:pPr>
      <w:ind w:leftChars="200" w:left="200"/>
    </w:pPr>
  </w:style>
  <w:style xmlns:r="http://schemas.openxmlformats.org/officeDocument/2006/relationships" w:type="paragraph" w:styleId="0ccbaef2">
    <w:name w:val="toc 50ccbaef20ccbaef2"/>
    <w:basedOn w:val="9bc5cecf"/>
    <w:next w:val="0"/>
    <w:pPr>
      <w:ind w:left="1680"/>
    </w:pPr>
  </w:style>
  <w:style xmlns:r="http://schemas.openxmlformats.org/officeDocument/2006/relationships" w:type="paragraph" w:styleId="27076e32">
    <w:name w:val="toc 327076e3227076e32"/>
    <w:basedOn w:val="9bc5cecf"/>
    <w:next w:val="0"/>
    <w:pPr>
      <w:ind w:left="840"/>
    </w:pPr>
  </w:style>
  <w:style xmlns:r="http://schemas.openxmlformats.org/officeDocument/2006/relationships" w:type="paragraph" w:styleId="f9420faf">
    <w:name w:val="footerf9420faff9420faf"/>
    <w:basedOn w:val="9bc5cecf"/>
    <w:pPr>
      <w:tabs>
        <w:tab w:val="center" w:pos="4153"/>
        <w:tab w:val="right" w:pos="8307"/>
      </w:tabs>
      <w:adjustRightInd/>
      <w:snapToGrid w:val="0"/>
      <w:contextualSpacing w:val="0"/>
      <w:jc w:val="left"/>
    </w:pPr>
    <w:rPr>
      <w:sz w:val="18"/>
    </w:rPr>
  </w:style>
  <w:style xmlns:r="http://schemas.openxmlformats.org/officeDocument/2006/relationships" w:type="paragraph" w:styleId="8affe79c">
    <w:name w:val="header8affe79c8affe79c"/>
    <w:basedOn w:val="9bc5cecf"/>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10695644">
    <w:name w:val="toc 11069564410695644"/>
    <w:basedOn w:val="9bc5cecf"/>
    <w:next w:val="0"/>
  </w:style>
  <w:style xmlns:r="http://schemas.openxmlformats.org/officeDocument/2006/relationships" w:type="paragraph" w:styleId="b2ca465d">
    <w:name w:val="toc 4b2ca465db2ca465d"/>
    <w:basedOn w:val="9bc5cecf"/>
    <w:next w:val="0"/>
    <w:pPr>
      <w:ind w:left="1260"/>
    </w:pPr>
  </w:style>
  <w:style xmlns:r="http://schemas.openxmlformats.org/officeDocument/2006/relationships" w:type="paragraph" w:styleId="51bfb072">
    <w:name w:val="toc 251bfb07251bfb072"/>
    <w:basedOn w:val="9bc5cecf"/>
    <w:next w:val="0"/>
    <w:pPr>
      <w:ind w:left="420"/>
    </w:pPr>
  </w:style>
  <w:style xmlns:r="http://schemas.openxmlformats.org/officeDocument/2006/relationships" w:type="paragraph" w:customStyle="1" w:styleId="875849bf">
    <w:name w:val="列出段落1875849bf875849bf"/>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