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934C7" w:rsidRDefault="0068015B">
      <w:pPr>
        <w:adjustRightInd/>
        <w:snapToGrid/>
        <w:spacing w:after="0"/>
        <w:jc w:val="center"/>
        <w:rPr>
          <w:rFonts w:ascii="宋体" w:eastAsia="宋体" w:hAnsi="宋体" w:cs="宋体"/>
          <w:sz w:val="24"/>
          <w:szCs w:val="24"/>
        </w:rPr>
      </w:pPr>
      <w:r>
        <w:rPr>
          <w:rFonts w:ascii="宋体" w:eastAsia="宋体" w:hAnsi="宋体" w:cs="宋体" w:hint="eastAsia"/>
          <w:b/>
          <w:bCs/>
          <w:sz w:val="36"/>
        </w:rPr>
        <w:t>关于代销</w:t>
      </w:r>
      <w:r w:rsidR="00575FD0">
        <w:rPr>
          <w:rFonts w:ascii="宋体" w:eastAsia="宋体" w:hAnsi="宋体" w:cs="宋体" w:hint="eastAsia"/>
          <w:b/>
          <w:bCs/>
          <w:sz w:val="36"/>
        </w:rPr>
        <w:t>兴银理财丰利</w:t>
      </w:r>
      <w:r w:rsidR="00AB17CA">
        <w:rPr>
          <w:rFonts w:ascii="宋体" w:eastAsia="宋体" w:hAnsi="宋体" w:cs="宋体" w:hint="eastAsia"/>
          <w:b/>
          <w:bCs/>
          <w:sz w:val="36"/>
        </w:rPr>
        <w:t>兴动多策略</w:t>
      </w:r>
      <w:r w:rsidR="00B20362">
        <w:rPr>
          <w:rFonts w:ascii="宋体" w:eastAsia="宋体" w:hAnsi="宋体" w:cs="宋体" w:hint="eastAsia"/>
          <w:b/>
          <w:bCs/>
          <w:sz w:val="36"/>
        </w:rPr>
        <w:t>封闭式38号</w:t>
      </w:r>
      <w:proofErr w:type="gramStart"/>
      <w:r w:rsidR="001C7D22" w:rsidRPr="001C7D22">
        <w:rPr>
          <w:rFonts w:ascii="宋体" w:eastAsia="宋体" w:hAnsi="宋体" w:cs="宋体" w:hint="eastAsia"/>
          <w:b/>
          <w:bCs/>
          <w:sz w:val="36"/>
        </w:rPr>
        <w:t>增强型固收类理财</w:t>
      </w:r>
      <w:proofErr w:type="gramEnd"/>
      <w:r w:rsidR="001C7D22" w:rsidRPr="001C7D22">
        <w:rPr>
          <w:rFonts w:ascii="宋体" w:eastAsia="宋体" w:hAnsi="宋体" w:cs="宋体" w:hint="eastAsia"/>
          <w:b/>
          <w:bCs/>
          <w:sz w:val="36"/>
        </w:rPr>
        <w:t>产品</w:t>
      </w:r>
      <w:r>
        <w:rPr>
          <w:rFonts w:ascii="宋体" w:eastAsia="宋体" w:hAnsi="宋体" w:cs="宋体" w:hint="eastAsia"/>
          <w:b/>
          <w:bCs/>
          <w:sz w:val="36"/>
        </w:rPr>
        <w:t>的通知</w:t>
      </w:r>
    </w:p>
    <w:p w:rsidR="00C934C7" w:rsidRDefault="0068015B">
      <w:pPr>
        <w:adjustRightInd/>
        <w:snapToGrid/>
        <w:spacing w:after="0" w:line="555" w:lineRule="atLeast"/>
        <w:rPr>
          <w:rFonts w:ascii="微软雅黑" w:hAnsi="微软雅黑" w:cs="宋体"/>
          <w:color w:val="000000"/>
          <w:sz w:val="30"/>
          <w:szCs w:val="30"/>
        </w:rPr>
      </w:pPr>
      <w:r>
        <w:rPr>
          <w:rFonts w:ascii="仿宋_GB2312" w:eastAsia="仿宋_GB2312" w:hAnsi="微软雅黑" w:cs="宋体" w:hint="eastAsia"/>
          <w:color w:val="000000"/>
          <w:sz w:val="32"/>
          <w:szCs w:val="32"/>
        </w:rPr>
        <w:t>各分(支)行、总行营业部：</w:t>
      </w:r>
    </w:p>
    <w:p w:rsidR="00C934C7" w:rsidRPr="005F3FF9" w:rsidRDefault="0068015B" w:rsidP="005F3FF9">
      <w:pPr>
        <w:spacing w:line="360" w:lineRule="auto"/>
        <w:ind w:firstLineChars="200" w:firstLine="640"/>
        <w:rPr>
          <w:rFonts w:ascii="微软简仿宋" w:eastAsia="微软简仿宋"/>
          <w:szCs w:val="21"/>
        </w:rPr>
      </w:pPr>
      <w:r>
        <w:rPr>
          <w:rFonts w:ascii="仿宋_GB2312" w:eastAsia="仿宋_GB2312" w:hAnsi="微软雅黑" w:cs="宋体" w:hint="eastAsia"/>
          <w:color w:val="000000"/>
          <w:sz w:val="32"/>
          <w:szCs w:val="32"/>
        </w:rPr>
        <w:t>我行代销</w:t>
      </w:r>
      <w:r w:rsidR="008026DB" w:rsidRPr="00EC4186">
        <w:rPr>
          <w:rFonts w:ascii="仿宋_GB2312" w:eastAsia="仿宋_GB2312" w:hAnsi="微软雅黑" w:cs="宋体" w:hint="eastAsia"/>
          <w:sz w:val="32"/>
          <w:szCs w:val="32"/>
        </w:rPr>
        <w:t>兴银</w:t>
      </w:r>
      <w:r w:rsidRPr="00EC4186">
        <w:rPr>
          <w:rFonts w:ascii="仿宋_GB2312" w:eastAsia="仿宋_GB2312" w:hAnsi="微软雅黑" w:cs="宋体" w:hint="eastAsia"/>
          <w:sz w:val="32"/>
          <w:szCs w:val="32"/>
        </w:rPr>
        <w:t>理财有限责任公司</w:t>
      </w:r>
      <w:r>
        <w:rPr>
          <w:rFonts w:ascii="仿宋_GB2312" w:eastAsia="仿宋_GB2312" w:hAnsi="微软雅黑" w:cs="宋体" w:hint="eastAsia"/>
          <w:color w:val="000000"/>
          <w:sz w:val="32"/>
          <w:szCs w:val="32"/>
        </w:rPr>
        <w:t>发行的</w:t>
      </w:r>
      <w:r w:rsidR="001C7D22" w:rsidRPr="001C7D22">
        <w:rPr>
          <w:rFonts w:ascii="仿宋_GB2312" w:eastAsia="仿宋_GB2312" w:hAnsi="微软雅黑" w:cs="宋体" w:hint="eastAsia"/>
          <w:color w:val="FF0000"/>
          <w:sz w:val="32"/>
          <w:szCs w:val="32"/>
        </w:rPr>
        <w:t>丰利</w:t>
      </w:r>
      <w:r w:rsidR="00AB17CA">
        <w:rPr>
          <w:rFonts w:ascii="仿宋_GB2312" w:eastAsia="仿宋_GB2312" w:hAnsi="微软雅黑" w:cs="宋体" w:hint="eastAsia"/>
          <w:color w:val="FF0000"/>
          <w:sz w:val="32"/>
          <w:szCs w:val="32"/>
        </w:rPr>
        <w:t>兴动多策略</w:t>
      </w:r>
      <w:r w:rsidR="00B20362">
        <w:rPr>
          <w:rFonts w:ascii="仿宋_GB2312" w:eastAsia="仿宋_GB2312" w:hAnsi="微软雅黑" w:cs="宋体" w:hint="eastAsia"/>
          <w:color w:val="FF0000"/>
          <w:sz w:val="32"/>
          <w:szCs w:val="32"/>
        </w:rPr>
        <w:t>封闭式38号</w:t>
      </w:r>
      <w:proofErr w:type="gramStart"/>
      <w:r w:rsidR="001C7D22" w:rsidRPr="001C7D22">
        <w:rPr>
          <w:rFonts w:ascii="仿宋_GB2312" w:eastAsia="仿宋_GB2312" w:hAnsi="微软雅黑" w:cs="宋体" w:hint="eastAsia"/>
          <w:color w:val="FF0000"/>
          <w:sz w:val="32"/>
          <w:szCs w:val="32"/>
        </w:rPr>
        <w:t>增强型固收类理财</w:t>
      </w:r>
      <w:proofErr w:type="gramEnd"/>
      <w:r w:rsidR="001C7D22" w:rsidRPr="001C7D22">
        <w:rPr>
          <w:rFonts w:ascii="仿宋_GB2312" w:eastAsia="仿宋_GB2312" w:hAnsi="微软雅黑" w:cs="宋体" w:hint="eastAsia"/>
          <w:color w:val="FF0000"/>
          <w:sz w:val="32"/>
          <w:szCs w:val="32"/>
        </w:rPr>
        <w:t>产品</w:t>
      </w:r>
      <w:r>
        <w:rPr>
          <w:rFonts w:ascii="仿宋_GB2312" w:eastAsia="仿宋_GB2312" w:hAnsi="微软雅黑" w:cs="宋体" w:hint="eastAsia"/>
          <w:color w:val="000000"/>
          <w:sz w:val="32"/>
          <w:szCs w:val="32"/>
        </w:rPr>
        <w:t>将</w:t>
      </w:r>
      <w:r>
        <w:rPr>
          <w:rFonts w:ascii="仿宋_GB2312" w:eastAsia="仿宋_GB2312" w:hAnsi="微软雅黑" w:cs="宋体" w:hint="eastAsia"/>
          <w:sz w:val="32"/>
          <w:szCs w:val="32"/>
        </w:rPr>
        <w:t>于</w:t>
      </w:r>
      <w:r>
        <w:rPr>
          <w:rFonts w:ascii="仿宋_GB2312" w:eastAsia="仿宋_GB2312" w:hAnsi="微软雅黑" w:cs="宋体" w:hint="eastAsia"/>
          <w:color w:val="FF0000"/>
          <w:sz w:val="32"/>
          <w:szCs w:val="32"/>
        </w:rPr>
        <w:t>202</w:t>
      </w:r>
      <w:r w:rsidR="001C7D22">
        <w:rPr>
          <w:rFonts w:ascii="仿宋_GB2312" w:eastAsia="仿宋_GB2312" w:hAnsi="微软雅黑" w:cs="宋体" w:hint="eastAsia"/>
          <w:color w:val="FF0000"/>
          <w:sz w:val="32"/>
          <w:szCs w:val="32"/>
        </w:rPr>
        <w:t>3</w:t>
      </w:r>
      <w:r>
        <w:rPr>
          <w:rFonts w:ascii="仿宋_GB2312" w:eastAsia="仿宋_GB2312" w:hAnsi="微软雅黑" w:cs="宋体" w:hint="eastAsia"/>
          <w:color w:val="FF0000"/>
          <w:sz w:val="32"/>
          <w:szCs w:val="32"/>
        </w:rPr>
        <w:t>年</w:t>
      </w:r>
      <w:r w:rsidR="00CD3048">
        <w:rPr>
          <w:rFonts w:ascii="仿宋_GB2312" w:eastAsia="仿宋_GB2312" w:hAnsi="微软雅黑" w:cs="宋体" w:hint="eastAsia"/>
          <w:color w:val="FF0000"/>
          <w:sz w:val="32"/>
          <w:szCs w:val="32"/>
        </w:rPr>
        <w:t>8</w:t>
      </w:r>
      <w:r>
        <w:rPr>
          <w:rFonts w:ascii="仿宋_GB2312" w:eastAsia="仿宋_GB2312" w:hAnsi="微软雅黑" w:cs="宋体" w:hint="eastAsia"/>
          <w:color w:val="FF0000"/>
          <w:sz w:val="32"/>
          <w:szCs w:val="32"/>
        </w:rPr>
        <w:t>月</w:t>
      </w:r>
      <w:r w:rsidR="005410BB">
        <w:rPr>
          <w:rFonts w:ascii="仿宋_GB2312" w:eastAsia="仿宋_GB2312" w:hAnsi="微软雅黑" w:cs="宋体" w:hint="eastAsia"/>
          <w:color w:val="FF0000"/>
          <w:sz w:val="32"/>
          <w:szCs w:val="32"/>
        </w:rPr>
        <w:t>8</w:t>
      </w:r>
      <w:r>
        <w:rPr>
          <w:rFonts w:ascii="仿宋_GB2312" w:eastAsia="仿宋_GB2312" w:hAnsi="微软雅黑" w:cs="宋体" w:hint="eastAsia"/>
          <w:color w:val="FF0000"/>
          <w:sz w:val="32"/>
          <w:szCs w:val="32"/>
        </w:rPr>
        <w:t>日</w:t>
      </w:r>
      <w:r w:rsidR="006B2010">
        <w:rPr>
          <w:rFonts w:ascii="仿宋_GB2312" w:eastAsia="仿宋_GB2312" w:hAnsi="微软雅黑" w:cs="宋体" w:hint="eastAsia"/>
          <w:color w:val="FF0000"/>
          <w:sz w:val="32"/>
          <w:szCs w:val="32"/>
        </w:rPr>
        <w:t>至2023年</w:t>
      </w:r>
      <w:r w:rsidR="00CD3048">
        <w:rPr>
          <w:rFonts w:ascii="仿宋_GB2312" w:eastAsia="仿宋_GB2312" w:hAnsi="微软雅黑" w:cs="宋体" w:hint="eastAsia"/>
          <w:color w:val="FF0000"/>
          <w:sz w:val="32"/>
          <w:szCs w:val="32"/>
        </w:rPr>
        <w:t>8</w:t>
      </w:r>
      <w:r w:rsidR="006B2010">
        <w:rPr>
          <w:rFonts w:ascii="仿宋_GB2312" w:eastAsia="仿宋_GB2312" w:hAnsi="微软雅黑" w:cs="宋体" w:hint="eastAsia"/>
          <w:color w:val="FF0000"/>
          <w:sz w:val="32"/>
          <w:szCs w:val="32"/>
        </w:rPr>
        <w:t>月</w:t>
      </w:r>
      <w:r w:rsidR="005410BB">
        <w:rPr>
          <w:rFonts w:ascii="仿宋_GB2312" w:eastAsia="仿宋_GB2312" w:hAnsi="微软雅黑" w:cs="宋体" w:hint="eastAsia"/>
          <w:color w:val="FF0000"/>
          <w:sz w:val="32"/>
          <w:szCs w:val="32"/>
        </w:rPr>
        <w:t>14</w:t>
      </w:r>
      <w:r w:rsidR="006B2010">
        <w:rPr>
          <w:rFonts w:ascii="仿宋_GB2312" w:eastAsia="仿宋_GB2312" w:hAnsi="微软雅黑" w:cs="宋体" w:hint="eastAsia"/>
          <w:color w:val="FF0000"/>
          <w:sz w:val="32"/>
          <w:szCs w:val="32"/>
        </w:rPr>
        <w:t>日</w:t>
      </w:r>
      <w:r w:rsidR="00550F25" w:rsidRPr="00550F25">
        <w:rPr>
          <w:rFonts w:ascii="仿宋_GB2312" w:eastAsia="仿宋_GB2312" w:hAnsi="微软雅黑" w:cs="宋体" w:hint="eastAsia"/>
          <w:sz w:val="32"/>
          <w:szCs w:val="32"/>
        </w:rPr>
        <w:t>15：00</w:t>
      </w:r>
      <w:r>
        <w:rPr>
          <w:rFonts w:ascii="仿宋_GB2312" w:eastAsia="仿宋_GB2312" w:hAnsi="微软雅黑" w:cs="宋体" w:hint="eastAsia"/>
          <w:sz w:val="32"/>
          <w:szCs w:val="32"/>
        </w:rPr>
        <w:t>销售，</w:t>
      </w:r>
      <w:r>
        <w:rPr>
          <w:rFonts w:ascii="仿宋_GB2312" w:eastAsia="仿宋_GB2312" w:hAnsi="微软雅黑" w:cs="宋体" w:hint="eastAsia"/>
          <w:color w:val="000000"/>
          <w:sz w:val="32"/>
          <w:szCs w:val="32"/>
        </w:rPr>
        <w:t>目前在</w:t>
      </w:r>
      <w:r>
        <w:rPr>
          <w:rFonts w:ascii="仿宋_GB2312" w:eastAsia="仿宋_GB2312" w:hAnsi="微软雅黑" w:cs="宋体" w:hint="eastAsia"/>
          <w:b/>
          <w:color w:val="FF0000"/>
          <w:sz w:val="32"/>
          <w:szCs w:val="32"/>
        </w:rPr>
        <w:t>手机银行</w:t>
      </w:r>
      <w:r w:rsidR="00CE130E">
        <w:rPr>
          <w:rFonts w:ascii="仿宋_GB2312" w:eastAsia="仿宋_GB2312" w:hAnsi="微软雅黑" w:cs="宋体" w:hint="eastAsia"/>
          <w:b/>
          <w:color w:val="FF0000"/>
          <w:sz w:val="32"/>
          <w:szCs w:val="32"/>
        </w:rPr>
        <w:t>和柜面</w:t>
      </w:r>
      <w:r w:rsidR="00C24A97" w:rsidRPr="00C24A97">
        <w:rPr>
          <w:rFonts w:ascii="仿宋_GB2312" w:eastAsia="仿宋_GB2312" w:hAnsi="微软雅黑" w:cs="宋体" w:hint="eastAsia"/>
          <w:b/>
          <w:sz w:val="32"/>
          <w:szCs w:val="32"/>
        </w:rPr>
        <w:t>等</w:t>
      </w:r>
      <w:r w:rsidR="00B205DE">
        <w:rPr>
          <w:rFonts w:ascii="仿宋_GB2312" w:eastAsia="仿宋_GB2312" w:hAnsi="微软雅黑" w:cs="宋体" w:hint="eastAsia"/>
          <w:b/>
          <w:color w:val="FF0000"/>
          <w:sz w:val="32"/>
          <w:szCs w:val="32"/>
        </w:rPr>
        <w:t>销售</w:t>
      </w:r>
      <w:r>
        <w:rPr>
          <w:rFonts w:ascii="仿宋_GB2312" w:eastAsia="仿宋_GB2312" w:hAnsi="微软雅黑" w:cs="宋体" w:hint="eastAsia"/>
          <w:color w:val="000000"/>
          <w:sz w:val="32"/>
          <w:szCs w:val="32"/>
        </w:rPr>
        <w:t>。</w:t>
      </w:r>
      <w:r w:rsidR="004B003C">
        <w:rPr>
          <w:rFonts w:ascii="仿宋_GB2312" w:eastAsia="仿宋_GB2312" w:hAnsi="微软雅黑" w:cs="宋体" w:hint="eastAsia"/>
          <w:color w:val="000000"/>
          <w:sz w:val="32"/>
          <w:szCs w:val="32"/>
        </w:rPr>
        <w:t>销售服务费率： 0.</w:t>
      </w:r>
      <w:r w:rsidR="005D5CE2">
        <w:rPr>
          <w:rFonts w:ascii="仿宋_GB2312" w:eastAsia="仿宋_GB2312" w:hAnsi="微软雅黑" w:cs="宋体" w:hint="eastAsia"/>
          <w:color w:val="000000"/>
          <w:sz w:val="32"/>
          <w:szCs w:val="32"/>
        </w:rPr>
        <w:t>1</w:t>
      </w:r>
      <w:r w:rsidR="004B003C">
        <w:rPr>
          <w:rFonts w:ascii="仿宋_GB2312" w:eastAsia="仿宋_GB2312" w:hAnsi="微软雅黑" w:cs="宋体" w:hint="eastAsia"/>
          <w:color w:val="000000"/>
          <w:sz w:val="32"/>
          <w:szCs w:val="32"/>
        </w:rPr>
        <w:t>5%/年，</w:t>
      </w:r>
      <w:r>
        <w:rPr>
          <w:rFonts w:ascii="仿宋_GB2312" w:eastAsia="仿宋_GB2312" w:hAnsi="微软雅黑" w:cs="宋体" w:hint="eastAsia"/>
          <w:color w:val="000000"/>
          <w:sz w:val="32"/>
          <w:szCs w:val="32"/>
        </w:rPr>
        <w:t>部分要素如下：</w:t>
      </w:r>
    </w:p>
    <w:tbl>
      <w:tblPr>
        <w:tblW w:w="964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shd w:val="solid" w:color="FFFFFF" w:fill="FFFFFF"/>
        <w:tblLayout w:type="fixed"/>
        <w:tblLook w:val="04A0"/>
      </w:tblPr>
      <w:tblGrid>
        <w:gridCol w:w="1970"/>
        <w:gridCol w:w="7675"/>
      </w:tblGrid>
      <w:tr w:rsidR="005410BB" w:rsidTr="005410BB">
        <w:trPr>
          <w:trHeight w:val="40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5410BB" w:rsidRDefault="005410BB">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理财产品名称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5410BB" w:rsidRDefault="005410BB">
            <w:pPr>
              <w:widowControl w:val="0"/>
              <w:spacing w:line="360" w:lineRule="auto"/>
              <w:rPr>
                <w:rFonts w:ascii="宋体" w:hAnsi="宋体" w:cs="宋体"/>
                <w:bCs/>
                <w:kern w:val="2"/>
                <w:sz w:val="18"/>
                <w:szCs w:val="18"/>
              </w:rPr>
            </w:pPr>
            <w:r>
              <w:rPr>
                <w:rFonts w:asciiTheme="majorEastAsia" w:eastAsiaTheme="majorEastAsia" w:hAnsiTheme="majorEastAsia" w:hint="eastAsia"/>
                <w:bCs/>
                <w:sz w:val="18"/>
                <w:szCs w:val="18"/>
              </w:rPr>
              <w:t>【兴银理财丰利兴动多策略封闭式38号增强型固收类理财产品】</w:t>
            </w:r>
          </w:p>
        </w:tc>
      </w:tr>
      <w:tr w:rsidR="005410BB" w:rsidTr="005410BB">
        <w:trPr>
          <w:trHeight w:val="38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5410BB" w:rsidRDefault="005410BB">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产品销售名称</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5410BB" w:rsidRDefault="005410B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【丰利兴动多策略封闭式38A】（适用【A】类份额）</w:t>
            </w:r>
          </w:p>
        </w:tc>
      </w:tr>
      <w:tr w:rsidR="005410BB" w:rsidTr="005410BB">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5410BB" w:rsidRDefault="005410BB">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产品登记编码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5410BB" w:rsidRDefault="005410BB">
            <w:pPr>
              <w:widowControl w:val="0"/>
              <w:spacing w:line="360" w:lineRule="auto"/>
              <w:rPr>
                <w:rFonts w:ascii="宋体" w:hAnsi="宋体" w:cs="宋体"/>
                <w:b/>
                <w:kern w:val="2"/>
                <w:sz w:val="18"/>
                <w:szCs w:val="18"/>
              </w:rPr>
            </w:pPr>
            <w:r>
              <w:rPr>
                <w:rFonts w:asciiTheme="minorEastAsia" w:hAnsiTheme="minorEastAsia" w:hint="eastAsia"/>
                <w:sz w:val="18"/>
                <w:szCs w:val="18"/>
              </w:rPr>
              <w:t>【</w:t>
            </w:r>
            <w:r>
              <w:rPr>
                <w:rFonts w:asciiTheme="minorEastAsia" w:hAnsiTheme="minorEastAsia" w:hint="eastAsia"/>
                <w:sz w:val="18"/>
                <w:szCs w:val="18"/>
              </w:rPr>
              <w:t>Z7002023000277</w:t>
            </w:r>
            <w:r>
              <w:rPr>
                <w:rFonts w:asciiTheme="minorEastAsia" w:hAnsiTheme="minorEastAsia" w:hint="eastAsia"/>
                <w:sz w:val="18"/>
                <w:szCs w:val="18"/>
              </w:rPr>
              <w:t>】</w:t>
            </w:r>
            <w:r>
              <w:rPr>
                <w:rFonts w:asciiTheme="majorEastAsia" w:eastAsiaTheme="majorEastAsia" w:hAnsiTheme="majorEastAsia" w:hint="eastAsia"/>
                <w:sz w:val="18"/>
                <w:szCs w:val="18"/>
              </w:rPr>
              <w:t>投资者可依据理财产品登记编码在中国</w:t>
            </w:r>
            <w:proofErr w:type="gramStart"/>
            <w:r>
              <w:rPr>
                <w:rFonts w:asciiTheme="majorEastAsia" w:eastAsiaTheme="majorEastAsia" w:hAnsiTheme="majorEastAsia" w:hint="eastAsia"/>
                <w:sz w:val="18"/>
                <w:szCs w:val="18"/>
              </w:rPr>
              <w:t>理财网</w:t>
            </w:r>
            <w:proofErr w:type="gramEnd"/>
            <w:r>
              <w:rPr>
                <w:rFonts w:asciiTheme="majorEastAsia" w:eastAsiaTheme="majorEastAsia" w:hAnsiTheme="majorEastAsia" w:hint="eastAsia"/>
                <w:sz w:val="18"/>
                <w:szCs w:val="18"/>
              </w:rPr>
              <w:t>(</w:t>
            </w:r>
            <w:hyperlink r:id="rId5" w:history="1">
              <w:r>
                <w:rPr>
                  <w:rStyle w:val="a8"/>
                  <w:rFonts w:asciiTheme="majorEastAsia" w:eastAsiaTheme="majorEastAsia" w:hAnsiTheme="majorEastAsia" w:hint="eastAsia"/>
                  <w:sz w:val="18"/>
                  <w:szCs w:val="18"/>
                </w:rPr>
                <w:t>www.chinawealth.com.cn</w:t>
              </w:r>
            </w:hyperlink>
            <w:r>
              <w:rPr>
                <w:rFonts w:asciiTheme="majorEastAsia" w:eastAsiaTheme="majorEastAsia" w:hAnsiTheme="majorEastAsia" w:hint="eastAsia"/>
                <w:sz w:val="18"/>
                <w:szCs w:val="18"/>
              </w:rPr>
              <w:t>）查询产品信息。</w:t>
            </w:r>
          </w:p>
        </w:tc>
      </w:tr>
      <w:tr w:rsidR="005410BB" w:rsidTr="005410BB">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b/>
                <w:bCs/>
                <w:kern w:val="2"/>
                <w:sz w:val="18"/>
                <w:szCs w:val="18"/>
              </w:rPr>
            </w:pPr>
            <w:r>
              <w:rPr>
                <w:rFonts w:hAnsi="宋体" w:hint="eastAsia"/>
                <w:sz w:val="18"/>
                <w:szCs w:val="18"/>
              </w:rPr>
              <w:t>★</w:t>
            </w:r>
            <w:r>
              <w:rPr>
                <w:rFonts w:ascii="宋体" w:hAnsi="宋体" w:hint="eastAsia"/>
                <w:b/>
                <w:bCs/>
                <w:sz w:val="18"/>
                <w:szCs w:val="18"/>
              </w:rPr>
              <w:t>产品代码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bCs/>
                <w:kern w:val="2"/>
                <w:sz w:val="18"/>
                <w:szCs w:val="18"/>
              </w:rPr>
            </w:pPr>
            <w:r>
              <w:rPr>
                <w:rFonts w:ascii="宋体" w:hAnsi="宋体" w:hint="eastAsia"/>
                <w:bCs/>
                <w:sz w:val="18"/>
                <w:szCs w:val="18"/>
              </w:rPr>
              <w:t>【</w:t>
            </w:r>
            <w:r>
              <w:rPr>
                <w:rFonts w:ascii="宋体" w:hAnsi="宋体" w:hint="eastAsia"/>
                <w:bCs/>
                <w:sz w:val="18"/>
                <w:szCs w:val="18"/>
              </w:rPr>
              <w:t>9K766380</w:t>
            </w:r>
            <w:r>
              <w:rPr>
                <w:rFonts w:ascii="宋体" w:hAnsi="宋体" w:hint="eastAsia"/>
                <w:bCs/>
                <w:sz w:val="18"/>
                <w:szCs w:val="18"/>
              </w:rPr>
              <w:t>】</w:t>
            </w:r>
          </w:p>
        </w:tc>
      </w:tr>
      <w:tr w:rsidR="005410BB" w:rsidTr="005410BB">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hideMark/>
          </w:tcPr>
          <w:p w:rsidR="005410BB" w:rsidRDefault="005410BB">
            <w:pPr>
              <w:widowControl w:val="0"/>
              <w:spacing w:line="360" w:lineRule="auto"/>
              <w:rPr>
                <w:rFonts w:ascii="Calibri" w:hAnsi="宋体" w:cs="宋体"/>
                <w:b/>
                <w:kern w:val="2"/>
                <w:sz w:val="18"/>
                <w:szCs w:val="18"/>
              </w:rPr>
            </w:pPr>
            <w:r>
              <w:rPr>
                <w:rFonts w:hAnsi="宋体" w:hint="eastAsia"/>
                <w:b/>
                <w:sz w:val="18"/>
                <w:szCs w:val="18"/>
              </w:rPr>
              <w:t>★销售代码</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5410BB" w:rsidRPr="005410BB" w:rsidRDefault="005410BB" w:rsidP="005410BB">
            <w:pPr>
              <w:spacing w:line="360" w:lineRule="auto"/>
              <w:rPr>
                <w:rFonts w:ascii="Calibri" w:eastAsia="宋体" w:hAnsi="宋体" w:cs="宋体"/>
                <w:sz w:val="18"/>
                <w:szCs w:val="18"/>
              </w:rPr>
            </w:pPr>
            <w:r>
              <w:rPr>
                <w:rFonts w:hAnsi="宋体" w:hint="eastAsia"/>
                <w:sz w:val="18"/>
                <w:szCs w:val="18"/>
              </w:rPr>
              <w:t>【</w:t>
            </w:r>
            <w:r>
              <w:rPr>
                <w:rFonts w:ascii="宋体" w:hAnsi="宋体" w:hint="eastAsia"/>
                <w:bCs/>
                <w:sz w:val="18"/>
                <w:szCs w:val="18"/>
              </w:rPr>
              <w:t>9K76638A</w:t>
            </w:r>
            <w:r>
              <w:rPr>
                <w:rFonts w:hAnsi="宋体" w:hint="eastAsia"/>
                <w:sz w:val="18"/>
                <w:szCs w:val="18"/>
              </w:rPr>
              <w:t>】（适用【</w:t>
            </w:r>
            <w:r>
              <w:rPr>
                <w:rFonts w:hAnsi="宋体"/>
                <w:sz w:val="18"/>
                <w:szCs w:val="18"/>
              </w:rPr>
              <w:t>A</w:t>
            </w:r>
            <w:r>
              <w:rPr>
                <w:rFonts w:hAnsi="宋体" w:hint="eastAsia"/>
                <w:sz w:val="18"/>
                <w:szCs w:val="18"/>
              </w:rPr>
              <w:t>】类份额）</w:t>
            </w:r>
          </w:p>
        </w:tc>
      </w:tr>
      <w:tr w:rsidR="005410BB" w:rsidTr="005410BB">
        <w:trPr>
          <w:trHeight w:val="251"/>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hAnsi="宋体" w:hint="eastAsia"/>
                <w:sz w:val="18"/>
                <w:szCs w:val="18"/>
              </w:rPr>
              <w:t>★</w:t>
            </w:r>
            <w:r>
              <w:rPr>
                <w:rFonts w:hAnsi="宋体" w:hint="eastAsia"/>
                <w:b/>
                <w:sz w:val="18"/>
                <w:szCs w:val="18"/>
              </w:rPr>
              <w:t>产品份额类别</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宋体" w:eastAsia="宋体" w:hAnsi="宋体" w:cs="宋体"/>
                <w:bCs/>
                <w:sz w:val="18"/>
                <w:szCs w:val="18"/>
              </w:rPr>
            </w:pPr>
            <w:r>
              <w:rPr>
                <w:rFonts w:ascii="宋体" w:hAnsi="宋体" w:hint="eastAsia"/>
                <w:bCs/>
                <w:sz w:val="18"/>
                <w:szCs w:val="18"/>
              </w:rPr>
              <w:t>1.</w:t>
            </w:r>
            <w:r>
              <w:rPr>
                <w:rFonts w:ascii="宋体" w:hAnsi="宋体" w:hint="eastAsia"/>
                <w:bCs/>
                <w:sz w:val="18"/>
                <w:szCs w:val="18"/>
              </w:rPr>
              <w:t>本产品根据投资者购买理财产品的金额、投资者类型、销售渠道等因素，对投资者所持有的理财产品份额设置不同的理财产品份额类别。</w:t>
            </w:r>
          </w:p>
          <w:p w:rsidR="005410BB" w:rsidRDefault="005410BB">
            <w:pPr>
              <w:spacing w:line="360" w:lineRule="auto"/>
              <w:rPr>
                <w:rFonts w:ascii="宋体" w:hAnsi="宋体"/>
                <w:bCs/>
                <w:sz w:val="18"/>
                <w:szCs w:val="18"/>
              </w:rPr>
            </w:pPr>
            <w:r>
              <w:rPr>
                <w:rFonts w:ascii="宋体" w:hAnsi="宋体" w:hint="eastAsia"/>
                <w:bCs/>
                <w:sz w:val="18"/>
                <w:szCs w:val="18"/>
              </w:rPr>
              <w:t>2.</w:t>
            </w:r>
            <w:r>
              <w:rPr>
                <w:rFonts w:ascii="宋体" w:hAnsi="宋体" w:hint="eastAsia"/>
                <w:bCs/>
                <w:sz w:val="18"/>
                <w:szCs w:val="18"/>
              </w:rPr>
              <w:t>本产品设置不同的理财产品份额，每类理财产品份额以下内容可能单独设置：</w:t>
            </w:r>
          </w:p>
          <w:p w:rsidR="005410BB" w:rsidRDefault="005410B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）销售名称</w:t>
            </w:r>
          </w:p>
          <w:p w:rsidR="005410BB" w:rsidRDefault="005410B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）收费方式</w:t>
            </w:r>
          </w:p>
          <w:p w:rsidR="005410BB" w:rsidRDefault="005410B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3</w:t>
            </w:r>
            <w:r>
              <w:rPr>
                <w:rFonts w:ascii="宋体" w:hAnsi="宋体" w:hint="eastAsia"/>
                <w:bCs/>
                <w:sz w:val="18"/>
                <w:szCs w:val="18"/>
              </w:rPr>
              <w:t>）销售服务费</w:t>
            </w:r>
          </w:p>
          <w:p w:rsidR="005410BB" w:rsidRDefault="005410B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4</w:t>
            </w:r>
            <w:r>
              <w:rPr>
                <w:rFonts w:ascii="宋体" w:hAnsi="宋体" w:hint="eastAsia"/>
                <w:bCs/>
                <w:sz w:val="18"/>
                <w:szCs w:val="18"/>
              </w:rPr>
              <w:t>）销售代码</w:t>
            </w:r>
          </w:p>
          <w:p w:rsidR="005410BB" w:rsidRDefault="005410B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5</w:t>
            </w:r>
            <w:r>
              <w:rPr>
                <w:rFonts w:ascii="宋体" w:hAnsi="宋体" w:hint="eastAsia"/>
                <w:bCs/>
                <w:sz w:val="18"/>
                <w:szCs w:val="18"/>
              </w:rPr>
              <w:t>）销售对象</w:t>
            </w:r>
          </w:p>
          <w:p w:rsidR="005410BB" w:rsidRDefault="005410B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6</w:t>
            </w:r>
            <w:r>
              <w:rPr>
                <w:rFonts w:ascii="宋体" w:hAnsi="宋体" w:hint="eastAsia"/>
                <w:bCs/>
                <w:sz w:val="18"/>
                <w:szCs w:val="18"/>
              </w:rPr>
              <w:t>）销售起点金额（认购、申购的起点金额）</w:t>
            </w:r>
          </w:p>
          <w:p w:rsidR="005410BB" w:rsidRDefault="005410BB">
            <w:pPr>
              <w:spacing w:line="360" w:lineRule="auto"/>
              <w:rPr>
                <w:rFonts w:ascii="宋体" w:hAnsi="宋体"/>
                <w:bCs/>
                <w:sz w:val="18"/>
                <w:szCs w:val="18"/>
              </w:rPr>
            </w:pPr>
            <w:r>
              <w:rPr>
                <w:rFonts w:ascii="宋体" w:hAnsi="宋体" w:hint="eastAsia"/>
                <w:bCs/>
                <w:sz w:val="18"/>
                <w:szCs w:val="18"/>
              </w:rPr>
              <w:lastRenderedPageBreak/>
              <w:t>（</w:t>
            </w:r>
            <w:r>
              <w:rPr>
                <w:rFonts w:ascii="宋体" w:hAnsi="宋体" w:hint="eastAsia"/>
                <w:bCs/>
                <w:sz w:val="18"/>
                <w:szCs w:val="18"/>
              </w:rPr>
              <w:t>7</w:t>
            </w:r>
            <w:r>
              <w:rPr>
                <w:rFonts w:ascii="宋体" w:hAnsi="宋体" w:hint="eastAsia"/>
                <w:bCs/>
                <w:sz w:val="18"/>
                <w:szCs w:val="18"/>
              </w:rPr>
              <w:t>）投资者认购、申购和赎回的数量限制</w:t>
            </w:r>
          </w:p>
          <w:p w:rsidR="005410BB" w:rsidRDefault="005410B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8</w:t>
            </w:r>
            <w:r>
              <w:rPr>
                <w:rFonts w:ascii="宋体" w:hAnsi="宋体" w:hint="eastAsia"/>
                <w:bCs/>
                <w:sz w:val="18"/>
                <w:szCs w:val="18"/>
              </w:rPr>
              <w:t>）投资者</w:t>
            </w:r>
            <w:r>
              <w:rPr>
                <w:rFonts w:asciiTheme="minorEastAsia" w:hAnsiTheme="minorEastAsia" w:hint="eastAsia"/>
                <w:bCs/>
                <w:sz w:val="18"/>
                <w:szCs w:val="18"/>
              </w:rPr>
              <w:t>持有本产品的最高限额、最低限额</w:t>
            </w:r>
          </w:p>
          <w:p w:rsidR="005410BB" w:rsidRDefault="005410BB">
            <w:pPr>
              <w:spacing w:line="360" w:lineRule="auto"/>
              <w:rPr>
                <w:rFonts w:ascii="宋体" w:hAnsi="宋体"/>
                <w:bCs/>
                <w:sz w:val="18"/>
                <w:szCs w:val="18"/>
              </w:rPr>
            </w:pPr>
            <w:r>
              <w:rPr>
                <w:rFonts w:ascii="宋体" w:hAnsi="宋体" w:hint="eastAsia"/>
                <w:bCs/>
                <w:sz w:val="18"/>
                <w:szCs w:val="18"/>
              </w:rPr>
              <w:t>（</w:t>
            </w:r>
            <w:r>
              <w:rPr>
                <w:rFonts w:ascii="宋体" w:hAnsi="宋体" w:hint="eastAsia"/>
                <w:bCs/>
                <w:sz w:val="18"/>
                <w:szCs w:val="18"/>
              </w:rPr>
              <w:t>9</w:t>
            </w:r>
            <w:r>
              <w:rPr>
                <w:rFonts w:ascii="宋体" w:hAnsi="宋体" w:hint="eastAsia"/>
                <w:bCs/>
                <w:sz w:val="18"/>
                <w:szCs w:val="18"/>
              </w:rPr>
              <w:t>）分别计算和公告产品份额净值</w:t>
            </w:r>
          </w:p>
          <w:p w:rsidR="005410BB" w:rsidRDefault="005410BB">
            <w:pPr>
              <w:spacing w:line="360" w:lineRule="auto"/>
              <w:rPr>
                <w:rFonts w:ascii="宋体" w:hAnsi="宋体"/>
                <w:bCs/>
                <w:sz w:val="18"/>
                <w:szCs w:val="18"/>
              </w:rPr>
            </w:pPr>
            <w:r>
              <w:rPr>
                <w:rFonts w:ascii="宋体" w:hAnsi="宋体" w:hint="eastAsia"/>
                <w:bCs/>
                <w:sz w:val="18"/>
                <w:szCs w:val="18"/>
              </w:rPr>
              <w:t>3.</w:t>
            </w:r>
            <w:r>
              <w:rPr>
                <w:rFonts w:ascii="宋体" w:hAnsi="宋体" w:hint="eastAsia"/>
                <w:bCs/>
                <w:sz w:val="18"/>
                <w:szCs w:val="18"/>
              </w:rPr>
              <w:t>投资者可根据实际情况自行选择认购的产品份额类别。</w:t>
            </w:r>
          </w:p>
          <w:p w:rsidR="005410BB" w:rsidRDefault="005410BB">
            <w:pPr>
              <w:widowControl w:val="0"/>
              <w:spacing w:line="360" w:lineRule="auto"/>
              <w:jc w:val="both"/>
              <w:rPr>
                <w:rFonts w:ascii="宋体" w:hAnsi="宋体" w:cs="宋体"/>
                <w:b/>
                <w:bCs/>
                <w:kern w:val="2"/>
                <w:sz w:val="18"/>
                <w:szCs w:val="18"/>
              </w:rPr>
            </w:pPr>
            <w:r>
              <w:rPr>
                <w:rFonts w:ascii="黑体" w:eastAsia="黑体" w:hAnsi="黑体" w:hint="eastAsia"/>
                <w:b/>
                <w:bCs/>
                <w:sz w:val="18"/>
                <w:szCs w:val="18"/>
              </w:rPr>
              <w:t>注：本产品说明书所列示产品份额类别仅为本产品项下某一类产品份额。其他类别的产品份额情况以产品管理人披露为准。</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sz w:val="18"/>
                <w:szCs w:val="18"/>
              </w:rPr>
              <w:t>产品基本类型</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r>
              <w:rPr>
                <w:rFonts w:ascii="宋体" w:hAnsi="宋体" w:hint="eastAsia"/>
                <w:bCs/>
                <w:sz w:val="18"/>
                <w:szCs w:val="18"/>
              </w:rPr>
              <w:t>、封闭式、固定收益类、非保本浮动收益、净值型</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产品募集方式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公募</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产品运作方式</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jc w:val="both"/>
              <w:rPr>
                <w:rFonts w:ascii="宋体" w:hAnsi="宋体" w:cs="宋体"/>
                <w:bCs/>
                <w:kern w:val="2"/>
                <w:sz w:val="18"/>
                <w:szCs w:val="18"/>
              </w:rPr>
            </w:pPr>
            <w:r>
              <w:rPr>
                <w:rFonts w:ascii="宋体" w:hAnsi="宋体" w:hint="eastAsia"/>
                <w:bCs/>
                <w:sz w:val="18"/>
                <w:szCs w:val="18"/>
              </w:rPr>
              <w:t>封闭式</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产品投资性质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ajorEastAsia" w:eastAsiaTheme="majorEastAsia" w:hAnsiTheme="majorEastAsia" w:cs="宋体"/>
                <w:b/>
                <w:color w:val="000000" w:themeColor="text1"/>
                <w:sz w:val="18"/>
                <w:szCs w:val="18"/>
              </w:rPr>
            </w:pPr>
            <w:r>
              <w:rPr>
                <w:rFonts w:asciiTheme="majorEastAsia" w:eastAsiaTheme="majorEastAsia" w:hAnsiTheme="majorEastAsia" w:hint="eastAsia"/>
                <w:b/>
                <w:color w:val="000000" w:themeColor="text1"/>
                <w:sz w:val="18"/>
                <w:szCs w:val="18"/>
              </w:rPr>
              <w:t>固定收益类</w:t>
            </w:r>
          </w:p>
          <w:p w:rsidR="005410BB" w:rsidRDefault="005410B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固定收益类产品是指根据监管相关规定，投资于存款、债券等债权类资产的比例不低于80%的产品</w:t>
            </w:r>
            <w:r>
              <w:rPr>
                <w:rFonts w:ascii="宋体" w:hAnsi="宋体" w:hint="eastAsia"/>
                <w:bCs/>
                <w:sz w:val="18"/>
                <w:szCs w:val="18"/>
              </w:rPr>
              <w:t>。</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产品收益特征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ajorEastAsia" w:eastAsiaTheme="majorEastAsia" w:hAnsiTheme="majorEastAsia" w:cs="宋体"/>
                <w:b/>
                <w:sz w:val="18"/>
                <w:szCs w:val="18"/>
              </w:rPr>
            </w:pPr>
            <w:r>
              <w:rPr>
                <w:rFonts w:asciiTheme="majorEastAsia" w:eastAsiaTheme="majorEastAsia" w:hAnsiTheme="majorEastAsia" w:hint="eastAsia"/>
                <w:b/>
                <w:sz w:val="18"/>
                <w:szCs w:val="18"/>
              </w:rPr>
              <w:t>非保本浮动收益</w:t>
            </w:r>
          </w:p>
          <w:p w:rsidR="005410BB" w:rsidRDefault="005410BB">
            <w:pPr>
              <w:spacing w:line="360" w:lineRule="auto"/>
              <w:rPr>
                <w:rFonts w:asciiTheme="majorEastAsia" w:eastAsiaTheme="majorEastAsia" w:hAnsiTheme="majorEastAsia"/>
                <w:sz w:val="18"/>
                <w:szCs w:val="18"/>
              </w:rPr>
            </w:pPr>
            <w:r>
              <w:rPr>
                <w:rFonts w:asciiTheme="majorEastAsia" w:eastAsiaTheme="majorEastAsia" w:hAnsiTheme="majorEastAsia" w:hint="eastAsia"/>
                <w:sz w:val="18"/>
                <w:szCs w:val="18"/>
              </w:rPr>
              <w:t>本产品不保证本金且不保证收益。本产品的收益随投资收益浮动，投资者可能会因市场变动而蒙受损失。</w:t>
            </w:r>
          </w:p>
          <w:p w:rsidR="005410BB" w:rsidRDefault="005410BB">
            <w:pPr>
              <w:widowControl w:val="0"/>
              <w:spacing w:line="360" w:lineRule="auto"/>
              <w:jc w:val="both"/>
              <w:rPr>
                <w:rFonts w:asciiTheme="majorEastAsia" w:eastAsiaTheme="majorEastAsia" w:hAnsiTheme="majorEastAsia" w:cs="宋体"/>
                <w:b/>
                <w:color w:val="000000" w:themeColor="text1"/>
                <w:kern w:val="2"/>
                <w:sz w:val="18"/>
                <w:szCs w:val="18"/>
              </w:rPr>
            </w:pPr>
            <w:r>
              <w:rPr>
                <w:rFonts w:ascii="宋体" w:hAnsi="宋体" w:hint="eastAsia"/>
                <w:bCs/>
                <w:sz w:val="18"/>
                <w:szCs w:val="18"/>
              </w:rPr>
              <w:t>产品管理人对本产品的本金并不提供保证，也不承诺任何固定收益。</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b/>
                <w:bCs/>
                <w:kern w:val="2"/>
                <w:sz w:val="18"/>
                <w:szCs w:val="18"/>
              </w:rPr>
            </w:pPr>
            <w:r>
              <w:rPr>
                <w:rFonts w:asciiTheme="majorEastAsia" w:eastAsiaTheme="majorEastAsia" w:hAnsiTheme="majorEastAsia" w:hint="eastAsia"/>
                <w:b/>
                <w:sz w:val="18"/>
                <w:szCs w:val="18"/>
              </w:rPr>
              <w:t>理财币种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sz w:val="18"/>
                <w:szCs w:val="18"/>
              </w:rPr>
              <w:t>人民币</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b/>
                <w:bCs/>
                <w:kern w:val="2"/>
                <w:sz w:val="18"/>
                <w:szCs w:val="18"/>
              </w:rPr>
            </w:pPr>
            <w:r>
              <w:rPr>
                <w:rFonts w:hAnsi="宋体" w:hint="eastAsia"/>
                <w:sz w:val="18"/>
                <w:szCs w:val="18"/>
              </w:rPr>
              <w:t>★</w:t>
            </w:r>
            <w:r>
              <w:rPr>
                <w:rFonts w:asciiTheme="majorEastAsia" w:eastAsiaTheme="majorEastAsia" w:hAnsiTheme="majorEastAsia" w:hint="eastAsia"/>
                <w:b/>
                <w:bCs/>
                <w:sz w:val="18"/>
                <w:szCs w:val="18"/>
              </w:rPr>
              <w:t>产品风险评级</w:t>
            </w:r>
          </w:p>
        </w:tc>
        <w:tc>
          <w:tcPr>
            <w:tcW w:w="7674" w:type="dxa"/>
            <w:tcBorders>
              <w:top w:val="single" w:sz="12" w:space="0" w:color="auto"/>
              <w:left w:val="single" w:sz="12" w:space="0" w:color="auto"/>
              <w:bottom w:val="single" w:sz="12" w:space="0" w:color="auto"/>
              <w:right w:val="single" w:sz="12" w:space="0" w:color="auto"/>
            </w:tcBorders>
            <w:shd w:val="solid" w:color="FFFFFF" w:fill="FFFFFF"/>
            <w:hideMark/>
          </w:tcPr>
          <w:p w:rsidR="005410BB" w:rsidRDefault="00CC545C">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w:t>
            </w:r>
            <w:r w:rsidR="005410BB">
              <w:rPr>
                <w:rFonts w:asciiTheme="majorEastAsia" w:eastAsiaTheme="majorEastAsia" w:hAnsiTheme="majorEastAsia" w:hint="eastAsia"/>
                <w:bCs/>
                <w:sz w:val="18"/>
                <w:szCs w:val="18"/>
              </w:rPr>
              <w:t>本产品属于【□ R1、■ R2、□ R3、□ R4、□ R5】理财产品。</w:t>
            </w:r>
          </w:p>
          <w:p w:rsidR="005410BB" w:rsidRDefault="005410BB">
            <w:pPr>
              <w:spacing w:line="360" w:lineRule="auto"/>
              <w:rPr>
                <w:rFonts w:ascii="黑体" w:eastAsia="黑体" w:hAnsi="黑体"/>
                <w:sz w:val="18"/>
                <w:szCs w:val="18"/>
              </w:rPr>
            </w:pPr>
            <w:r>
              <w:rPr>
                <w:rFonts w:ascii="黑体" w:eastAsia="黑体" w:hAnsi="黑体" w:hint="eastAsia"/>
                <w:sz w:val="18"/>
                <w:szCs w:val="18"/>
              </w:rPr>
              <w:t>本评级为理财产品管理人内部评级，仅供参考。</w:t>
            </w:r>
          </w:p>
          <w:p w:rsidR="005410BB" w:rsidRDefault="005410BB">
            <w:pPr>
              <w:widowControl w:val="0"/>
              <w:spacing w:line="360" w:lineRule="auto"/>
              <w:jc w:val="both"/>
              <w:rPr>
                <w:rFonts w:ascii="黑体" w:eastAsia="黑体" w:hAnsi="黑体" w:hint="eastAsia"/>
                <w:b/>
                <w:sz w:val="18"/>
                <w:szCs w:val="18"/>
              </w:rPr>
            </w:pPr>
            <w:r>
              <w:rPr>
                <w:rFonts w:ascii="黑体" w:eastAsia="黑体" w:hAnsi="黑体" w:hint="eastAsia"/>
                <w:b/>
                <w:sz w:val="18"/>
                <w:szCs w:val="18"/>
              </w:rPr>
              <w:t>注：若本产品通过代理销售机构销售的，理财产品评级以代理销售机构最终披露的评级结果为准。</w:t>
            </w:r>
          </w:p>
          <w:p w:rsidR="00CC545C" w:rsidRPr="00CC545C" w:rsidRDefault="00CC545C" w:rsidP="00CC545C">
            <w:pPr>
              <w:rPr>
                <w:rFonts w:ascii="仿宋" w:eastAsia="仿宋" w:hAnsi="仿宋"/>
                <w:b/>
                <w:color w:val="FF0000"/>
              </w:rPr>
            </w:pPr>
            <w:r>
              <w:rPr>
                <w:rFonts w:ascii="仿宋" w:eastAsia="仿宋" w:hAnsi="仿宋" w:hint="eastAsia"/>
                <w:b/>
                <w:color w:val="FF0000"/>
              </w:rPr>
              <w:t>2、紫金农商银行对本产品的风险评级为中等风险。</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hAnsi="宋体" w:hint="eastAsia"/>
                <w:sz w:val="18"/>
                <w:szCs w:val="18"/>
              </w:rPr>
              <w:t>★</w:t>
            </w:r>
            <w:r>
              <w:rPr>
                <w:rFonts w:asciiTheme="majorEastAsia" w:eastAsiaTheme="majorEastAsia" w:hAnsiTheme="majorEastAsia" w:hint="eastAsia"/>
                <w:b/>
                <w:bCs/>
                <w:sz w:val="18"/>
                <w:szCs w:val="18"/>
              </w:rPr>
              <w:t>销售对象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bottom"/>
            <w:hideMark/>
          </w:tcPr>
          <w:p w:rsidR="005410BB" w:rsidRDefault="005410BB">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bCs/>
                <w:color w:val="000000" w:themeColor="text1"/>
                <w:sz w:val="18"/>
                <w:szCs w:val="18"/>
              </w:rPr>
              <w:t>本产品适合以下类型投资者：</w:t>
            </w:r>
          </w:p>
          <w:p w:rsidR="005410BB" w:rsidRDefault="005410BB">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Cs/>
                <w:color w:val="000000" w:themeColor="text1"/>
                <w:sz w:val="18"/>
                <w:szCs w:val="18"/>
              </w:rPr>
              <w:t>个人投资者</w:t>
            </w:r>
          </w:p>
          <w:p w:rsidR="005410BB" w:rsidRDefault="005410B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color w:val="000000" w:themeColor="text1"/>
                <w:sz w:val="18"/>
                <w:szCs w:val="18"/>
              </w:rPr>
              <w:lastRenderedPageBreak/>
              <w:t>□机构投资者：□一般机构客户 □金融同业客户</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销售场景</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本产品可在销售机构线</w:t>
            </w:r>
            <w:proofErr w:type="gramStart"/>
            <w:r>
              <w:rPr>
                <w:rFonts w:asciiTheme="majorEastAsia" w:eastAsiaTheme="majorEastAsia" w:hAnsiTheme="majorEastAsia" w:hint="eastAsia"/>
                <w:bCs/>
                <w:sz w:val="18"/>
                <w:szCs w:val="18"/>
              </w:rPr>
              <w:t>上渠道</w:t>
            </w:r>
            <w:proofErr w:type="gramEnd"/>
            <w:r>
              <w:rPr>
                <w:rFonts w:asciiTheme="majorEastAsia" w:eastAsiaTheme="majorEastAsia" w:hAnsiTheme="majorEastAsia" w:hint="eastAsia"/>
                <w:bCs/>
                <w:sz w:val="18"/>
                <w:szCs w:val="18"/>
              </w:rPr>
              <w:t>和线下渠道等场景进行销售。</w:t>
            </w:r>
          </w:p>
          <w:p w:rsidR="005410BB" w:rsidRDefault="005410BB">
            <w:pPr>
              <w:widowControl w:val="0"/>
              <w:spacing w:line="360" w:lineRule="auto"/>
              <w:jc w:val="both"/>
              <w:rPr>
                <w:rFonts w:asciiTheme="majorEastAsia" w:eastAsiaTheme="majorEastAsia" w:hAnsiTheme="majorEastAsia" w:cs="宋体"/>
                <w:b/>
                <w:bCs/>
                <w:color w:val="000000" w:themeColor="text1"/>
                <w:kern w:val="2"/>
                <w:sz w:val="18"/>
                <w:szCs w:val="18"/>
              </w:rPr>
            </w:pPr>
            <w:r>
              <w:rPr>
                <w:rFonts w:ascii="黑体" w:eastAsia="黑体" w:hAnsi="黑体" w:hint="eastAsia"/>
                <w:b/>
                <w:bCs/>
                <w:sz w:val="18"/>
                <w:szCs w:val="18"/>
              </w:rPr>
              <w:t>特别提示：当销售机构销售产品风险评级为R4及以上的理财产品时，可在销售机构的营业网点进行，也可依据销售机构的政策在营业网点之外的其他场景进行（具体政策以销售机构公布执行的为准）。</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asciiTheme="majorEastAsia" w:eastAsiaTheme="majorEastAsia" w:hAnsiTheme="majorEastAsia" w:hint="eastAsia"/>
                <w:b/>
                <w:sz w:val="18"/>
                <w:szCs w:val="18"/>
              </w:rPr>
              <w:t>销售机构</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宋体" w:eastAsia="宋体" w:hAnsi="宋体" w:cs="宋体"/>
                <w:sz w:val="18"/>
                <w:szCs w:val="18"/>
              </w:rPr>
            </w:pPr>
            <w:r>
              <w:rPr>
                <w:rFonts w:ascii="宋体" w:hAnsi="宋体" w:hint="eastAsia"/>
                <w:sz w:val="18"/>
                <w:szCs w:val="18"/>
              </w:rPr>
              <w:t>□</w:t>
            </w:r>
            <w:r>
              <w:rPr>
                <w:rFonts w:ascii="宋体" w:hAnsi="宋体" w:hint="eastAsia"/>
                <w:sz w:val="18"/>
                <w:szCs w:val="18"/>
              </w:rPr>
              <w:t xml:space="preserve"> </w:t>
            </w:r>
            <w:r>
              <w:rPr>
                <w:rFonts w:ascii="宋体" w:hAnsi="宋体" w:hint="eastAsia"/>
                <w:sz w:val="18"/>
                <w:szCs w:val="18"/>
              </w:rPr>
              <w:t>直销适用</w:t>
            </w:r>
          </w:p>
          <w:p w:rsidR="005410BB" w:rsidRDefault="005410BB">
            <w:pPr>
              <w:spacing w:line="360" w:lineRule="auto"/>
              <w:rPr>
                <w:rFonts w:ascii="宋体" w:hAnsi="宋体"/>
                <w:sz w:val="18"/>
                <w:szCs w:val="18"/>
              </w:rPr>
            </w:pPr>
            <w:r>
              <w:rPr>
                <w:rFonts w:ascii="宋体" w:hAnsi="宋体" w:hint="eastAsia"/>
                <w:sz w:val="18"/>
                <w:szCs w:val="18"/>
              </w:rPr>
              <w:t>本产品由产品管理人销售。</w:t>
            </w:r>
          </w:p>
          <w:p w:rsidR="005410BB" w:rsidRDefault="005410BB">
            <w:pPr>
              <w:spacing w:line="360" w:lineRule="auto"/>
              <w:rPr>
                <w:rFonts w:ascii="宋体" w:hAnsi="宋体"/>
                <w:sz w:val="18"/>
                <w:szCs w:val="18"/>
              </w:rPr>
            </w:pPr>
            <w:r>
              <w:rPr>
                <w:rFonts w:asciiTheme="majorEastAsia" w:eastAsiaTheme="majorEastAsia" w:hAnsiTheme="majorEastAsia" w:hint="eastAsia"/>
                <w:bCs/>
                <w:sz w:val="18"/>
                <w:szCs w:val="18"/>
              </w:rPr>
              <w:t>■</w:t>
            </w:r>
            <w:r>
              <w:rPr>
                <w:rFonts w:ascii="宋体" w:hAnsi="宋体" w:hint="eastAsia"/>
                <w:sz w:val="18"/>
                <w:szCs w:val="18"/>
              </w:rPr>
              <w:t xml:space="preserve"> </w:t>
            </w:r>
            <w:r>
              <w:rPr>
                <w:rFonts w:ascii="宋体" w:hAnsi="宋体" w:hint="eastAsia"/>
                <w:sz w:val="18"/>
                <w:szCs w:val="18"/>
              </w:rPr>
              <w:t>代销适用</w:t>
            </w:r>
          </w:p>
          <w:p w:rsidR="005410BB" w:rsidRDefault="005410BB">
            <w:pPr>
              <w:spacing w:line="360" w:lineRule="auto"/>
              <w:rPr>
                <w:rFonts w:ascii="宋体" w:hAnsi="宋体"/>
                <w:sz w:val="18"/>
                <w:szCs w:val="18"/>
              </w:rPr>
            </w:pPr>
            <w:r>
              <w:rPr>
                <w:rFonts w:ascii="宋体" w:hAnsi="宋体" w:hint="eastAsia"/>
                <w:sz w:val="18"/>
                <w:szCs w:val="18"/>
              </w:rPr>
              <w:t>本产品由代理销售机构销售。</w:t>
            </w:r>
          </w:p>
          <w:p w:rsidR="005410BB" w:rsidRDefault="005410BB">
            <w:pPr>
              <w:widowControl w:val="0"/>
              <w:spacing w:line="360" w:lineRule="auto"/>
              <w:jc w:val="both"/>
              <w:rPr>
                <w:rFonts w:asciiTheme="majorEastAsia" w:eastAsiaTheme="majorEastAsia" w:hAnsiTheme="majorEastAsia" w:cs="宋体"/>
                <w:bCs/>
                <w:kern w:val="2"/>
                <w:sz w:val="18"/>
                <w:szCs w:val="18"/>
              </w:rPr>
            </w:pPr>
            <w:r>
              <w:rPr>
                <w:rFonts w:ascii="宋体" w:hAnsi="宋体" w:hint="eastAsia"/>
                <w:sz w:val="18"/>
                <w:szCs w:val="18"/>
              </w:rPr>
              <w:t>代理销售机构合作业务情况以产品管理人公告为准，具体代理销售机构以《（代理）销售协议书》为准。</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理财产品管理人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兴银理财有限责任公司</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t>理财产品托管人</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兴业银行股份有限公司</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bCs/>
                <w:sz w:val="18"/>
                <w:szCs w:val="18"/>
              </w:rPr>
              <w:t>产品规模</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1.本产品计划初始募集规模为【6】亿元，最小成立规模为【0.5】亿元。</w:t>
            </w:r>
          </w:p>
          <w:p w:rsidR="005410BB" w:rsidRDefault="005410B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2.产品管理人有权根据实际需要对产品规模进行调整，产品最终规模以产品管理人实际募集/管理的金额为准。</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
                <w:sz w:val="18"/>
                <w:szCs w:val="18"/>
              </w:rPr>
              <w:t>产品期限</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■有固定期限：【18个月】</w:t>
            </w:r>
          </w:p>
          <w:p w:rsidR="005410BB" w:rsidRDefault="005410BB">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□无固定期限</w:t>
            </w:r>
          </w:p>
          <w:p w:rsidR="005410BB" w:rsidRDefault="005410B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sz w:val="18"/>
                <w:szCs w:val="18"/>
              </w:rPr>
              <w:t>认购期</w:t>
            </w:r>
            <w:r>
              <w:rPr>
                <w:rFonts w:asciiTheme="minorEastAsia" w:hAnsiTheme="minorEastAsia" w:hint="eastAsia"/>
                <w:b/>
                <w:sz w:val="18"/>
                <w:szCs w:val="18"/>
              </w:rPr>
              <w:t>/</w:t>
            </w:r>
            <w:r>
              <w:rPr>
                <w:rFonts w:asciiTheme="minorEastAsia" w:hAnsiTheme="minorEastAsia" w:hint="eastAsia"/>
                <w:b/>
                <w:sz w:val="18"/>
                <w:szCs w:val="18"/>
              </w:rPr>
              <w:t>募集期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本产品认购期</w:t>
            </w:r>
            <w:r>
              <w:rPr>
                <w:rFonts w:asciiTheme="minorEastAsia" w:hAnsiTheme="minorEastAsia" w:hint="eastAsia"/>
                <w:bCs/>
                <w:sz w:val="18"/>
                <w:szCs w:val="18"/>
              </w:rPr>
              <w:t>/</w:t>
            </w:r>
            <w:r>
              <w:rPr>
                <w:rFonts w:asciiTheme="minorEastAsia" w:hAnsiTheme="minorEastAsia" w:hint="eastAsia"/>
                <w:bCs/>
                <w:sz w:val="18"/>
                <w:szCs w:val="18"/>
              </w:rPr>
              <w:t>募集期为：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08</w:t>
            </w:r>
            <w:r>
              <w:rPr>
                <w:rFonts w:asciiTheme="minorEastAsia" w:hAnsiTheme="minorEastAsia" w:cs="Times New Roman" w:hint="eastAsia"/>
                <w:sz w:val="18"/>
                <w:szCs w:val="18"/>
              </w:rPr>
              <w:t>】月【</w:t>
            </w:r>
            <w:r>
              <w:rPr>
                <w:rFonts w:asciiTheme="minorEastAsia" w:hAnsiTheme="minorEastAsia" w:cs="Times New Roman" w:hint="eastAsia"/>
                <w:sz w:val="18"/>
                <w:szCs w:val="18"/>
              </w:rPr>
              <w:t>08</w:t>
            </w:r>
            <w:r>
              <w:rPr>
                <w:rFonts w:asciiTheme="minorEastAsia" w:hAnsiTheme="minorEastAsia" w:cs="Times New Roman" w:hint="eastAsia"/>
                <w:sz w:val="18"/>
                <w:szCs w:val="18"/>
              </w:rPr>
              <w:t>】日【</w:t>
            </w:r>
            <w:r>
              <w:rPr>
                <w:rFonts w:asciiTheme="minorEastAsia" w:hAnsiTheme="minorEastAsia" w:cs="Times New Roman" w:hint="eastAsia"/>
                <w:sz w:val="18"/>
                <w:szCs w:val="18"/>
              </w:rPr>
              <w:t>9:00</w:t>
            </w:r>
            <w:r>
              <w:rPr>
                <w:rFonts w:asciiTheme="minorEastAsia" w:hAnsiTheme="minorEastAsia" w:cs="Times New Roman" w:hint="eastAsia"/>
                <w:sz w:val="18"/>
                <w:szCs w:val="18"/>
              </w:rPr>
              <w:t>】</w:t>
            </w:r>
            <w:r>
              <w:rPr>
                <w:rFonts w:asciiTheme="minorEastAsia" w:hAnsiTheme="minorEastAsia" w:cs="仿宋_GB2312" w:hint="eastAsia"/>
                <w:sz w:val="18"/>
                <w:szCs w:val="18"/>
              </w:rPr>
              <w:t>至</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08</w:t>
            </w:r>
            <w:r>
              <w:rPr>
                <w:rFonts w:asciiTheme="minorEastAsia" w:hAnsiTheme="minorEastAsia" w:cs="Times New Roman" w:hint="eastAsia"/>
                <w:sz w:val="18"/>
                <w:szCs w:val="18"/>
              </w:rPr>
              <w:t>】月【</w:t>
            </w:r>
            <w:r>
              <w:rPr>
                <w:rFonts w:asciiTheme="minorEastAsia" w:hAnsiTheme="minorEastAsia" w:cs="Times New Roman" w:hint="eastAsia"/>
                <w:sz w:val="18"/>
                <w:szCs w:val="18"/>
              </w:rPr>
              <w:t>14</w:t>
            </w:r>
            <w:r>
              <w:rPr>
                <w:rFonts w:asciiTheme="minorEastAsia" w:hAnsiTheme="minorEastAsia" w:cs="Times New Roman" w:hint="eastAsia"/>
                <w:sz w:val="18"/>
                <w:szCs w:val="18"/>
              </w:rPr>
              <w:t>】日</w:t>
            </w:r>
            <w:r>
              <w:rPr>
                <w:rFonts w:asciiTheme="majorEastAsia" w:eastAsiaTheme="majorEastAsia" w:hAnsiTheme="majorEastAsia" w:hint="eastAsia"/>
                <w:sz w:val="18"/>
                <w:szCs w:val="18"/>
              </w:rPr>
              <w:t>【17:00】。</w:t>
            </w:r>
          </w:p>
          <w:p w:rsidR="005410BB" w:rsidRDefault="005410BB">
            <w:pPr>
              <w:spacing w:line="360" w:lineRule="auto"/>
              <w:rPr>
                <w:rFonts w:ascii="宋体" w:hAnsi="宋体"/>
                <w:bCs/>
                <w:sz w:val="18"/>
                <w:szCs w:val="18"/>
              </w:rPr>
            </w:pPr>
            <w:r>
              <w:rPr>
                <w:rFonts w:ascii="宋体" w:hAnsi="宋体" w:hint="eastAsia"/>
                <w:bCs/>
                <w:sz w:val="18"/>
                <w:szCs w:val="18"/>
              </w:rPr>
              <w:t>2</w:t>
            </w:r>
            <w:r>
              <w:rPr>
                <w:rFonts w:asciiTheme="minorEastAsia" w:hAnsiTheme="minorEastAsia" w:hint="eastAsia"/>
                <w:bCs/>
                <w:sz w:val="18"/>
                <w:szCs w:val="18"/>
              </w:rPr>
              <w:t>.</w:t>
            </w:r>
            <w:r>
              <w:rPr>
                <w:rFonts w:ascii="宋体" w:hAnsi="宋体" w:hint="eastAsia"/>
                <w:bCs/>
                <w:sz w:val="18"/>
                <w:szCs w:val="18"/>
              </w:rPr>
              <w:t>投资者在认购期</w:t>
            </w:r>
            <w:r>
              <w:rPr>
                <w:rFonts w:ascii="宋体" w:hAnsi="宋体" w:hint="eastAsia"/>
                <w:bCs/>
                <w:sz w:val="18"/>
                <w:szCs w:val="18"/>
              </w:rPr>
              <w:t>/</w:t>
            </w:r>
            <w:r>
              <w:rPr>
                <w:rFonts w:ascii="宋体" w:hAnsi="宋体" w:hint="eastAsia"/>
                <w:bCs/>
                <w:sz w:val="18"/>
                <w:szCs w:val="18"/>
              </w:rPr>
              <w:t>募集</w:t>
            </w:r>
            <w:r>
              <w:rPr>
                <w:rFonts w:ascii="宋体" w:hAnsi="宋体" w:hint="eastAsia"/>
                <w:sz w:val="18"/>
              </w:rPr>
              <w:t>期内认购</w:t>
            </w:r>
            <w:r>
              <w:rPr>
                <w:rFonts w:ascii="宋体" w:hAnsi="宋体" w:hint="eastAsia"/>
                <w:bCs/>
                <w:sz w:val="18"/>
                <w:szCs w:val="18"/>
              </w:rPr>
              <w:t>本</w:t>
            </w:r>
            <w:r>
              <w:rPr>
                <w:rFonts w:ascii="宋体" w:hAnsi="宋体" w:hint="eastAsia"/>
                <w:sz w:val="18"/>
              </w:rPr>
              <w:t>理财</w:t>
            </w:r>
            <w:r>
              <w:rPr>
                <w:rFonts w:ascii="宋体" w:hAnsi="宋体" w:hint="eastAsia"/>
                <w:bCs/>
                <w:sz w:val="18"/>
                <w:szCs w:val="18"/>
              </w:rPr>
              <w:t>产品后，</w:t>
            </w:r>
            <w:r>
              <w:rPr>
                <w:rFonts w:ascii="宋体" w:hAnsi="宋体" w:hint="eastAsia"/>
                <w:sz w:val="18"/>
              </w:rPr>
              <w:t>理财</w:t>
            </w:r>
            <w:r>
              <w:rPr>
                <w:rFonts w:ascii="宋体" w:hAnsi="宋体" w:hint="eastAsia"/>
                <w:bCs/>
                <w:sz w:val="18"/>
                <w:szCs w:val="18"/>
              </w:rPr>
              <w:t>资金将在成立日开始进行投资。</w:t>
            </w:r>
          </w:p>
          <w:p w:rsidR="005410BB" w:rsidRDefault="005410BB">
            <w:pPr>
              <w:spacing w:line="360" w:lineRule="auto"/>
              <w:rPr>
                <w:rFonts w:ascii="宋体" w:hAnsi="宋体"/>
                <w:sz w:val="18"/>
              </w:rPr>
            </w:pPr>
            <w:r>
              <w:rPr>
                <w:rFonts w:ascii="宋体" w:hAnsi="宋体" w:hint="eastAsia"/>
                <w:bCs/>
                <w:sz w:val="18"/>
                <w:szCs w:val="18"/>
              </w:rPr>
              <w:t>3</w:t>
            </w:r>
            <w:r>
              <w:rPr>
                <w:rFonts w:asciiTheme="minorEastAsia" w:hAnsiTheme="minorEastAsia" w:hint="eastAsia"/>
                <w:bCs/>
                <w:sz w:val="18"/>
                <w:szCs w:val="18"/>
              </w:rPr>
              <w:t>.</w:t>
            </w:r>
            <w:r>
              <w:rPr>
                <w:rFonts w:asciiTheme="minorEastAsia" w:hAnsiTheme="minorEastAsia" w:hint="eastAsia"/>
                <w:bCs/>
                <w:sz w:val="18"/>
                <w:szCs w:val="18"/>
              </w:rPr>
              <w:t>认购期</w:t>
            </w:r>
            <w:r>
              <w:rPr>
                <w:rFonts w:asciiTheme="minorEastAsia" w:hAnsiTheme="minorEastAsia" w:hint="eastAsia"/>
                <w:bCs/>
                <w:sz w:val="18"/>
                <w:szCs w:val="18"/>
              </w:rPr>
              <w:t>/</w:t>
            </w:r>
            <w:r>
              <w:rPr>
                <w:rFonts w:ascii="宋体" w:hAnsi="宋体" w:hint="eastAsia"/>
                <w:bCs/>
                <w:sz w:val="18"/>
                <w:szCs w:val="18"/>
              </w:rPr>
              <w:t>募集期内资金按照活期存款利息计息，认购期</w:t>
            </w:r>
            <w:r>
              <w:rPr>
                <w:rFonts w:ascii="宋体" w:hAnsi="宋体" w:hint="eastAsia"/>
                <w:bCs/>
                <w:sz w:val="18"/>
                <w:szCs w:val="18"/>
              </w:rPr>
              <w:t>/</w:t>
            </w:r>
            <w:r>
              <w:rPr>
                <w:rFonts w:ascii="宋体" w:hAnsi="宋体" w:hint="eastAsia"/>
                <w:bCs/>
                <w:sz w:val="18"/>
                <w:szCs w:val="18"/>
              </w:rPr>
              <w:t>募集期内的利息不计入认购资金</w:t>
            </w:r>
            <w:r>
              <w:rPr>
                <w:rFonts w:ascii="宋体" w:hAnsi="宋体" w:hint="eastAsia"/>
                <w:sz w:val="18"/>
              </w:rPr>
              <w:t>。</w:t>
            </w:r>
          </w:p>
          <w:p w:rsidR="005410BB" w:rsidRDefault="005410BB">
            <w:pPr>
              <w:spacing w:line="360" w:lineRule="auto"/>
              <w:rPr>
                <w:rFonts w:ascii="黑体" w:eastAsia="黑体" w:hAnsi="黑体"/>
                <w:b/>
                <w:bCs/>
                <w:color w:val="000000" w:themeColor="text1"/>
                <w:sz w:val="18"/>
                <w:szCs w:val="18"/>
              </w:rPr>
            </w:pPr>
            <w:r>
              <w:rPr>
                <w:rFonts w:hAnsi="宋体" w:hint="eastAsia"/>
                <w:b/>
                <w:sz w:val="18"/>
                <w:szCs w:val="18"/>
              </w:rPr>
              <w:lastRenderedPageBreak/>
              <w:t>★</w:t>
            </w:r>
            <w:r>
              <w:rPr>
                <w:rFonts w:ascii="黑体" w:eastAsia="黑体" w:hAnsi="黑体" w:hint="eastAsia"/>
                <w:b/>
                <w:bCs/>
                <w:color w:val="000000" w:themeColor="text1"/>
                <w:sz w:val="18"/>
                <w:szCs w:val="18"/>
              </w:rPr>
              <w:t>注：关于代理销售机构的实际工作服务时段的提示</w:t>
            </w:r>
          </w:p>
          <w:p w:rsidR="005410BB" w:rsidRDefault="005410BB">
            <w:pPr>
              <w:spacing w:line="360" w:lineRule="auto"/>
              <w:rPr>
                <w:rFonts w:ascii="黑体" w:eastAsia="黑体" w:hAnsi="黑体"/>
                <w:b/>
                <w:bCs/>
                <w:color w:val="000000" w:themeColor="text1"/>
                <w:sz w:val="18"/>
                <w:szCs w:val="18"/>
              </w:rPr>
            </w:pPr>
            <w:r>
              <w:rPr>
                <w:rFonts w:ascii="黑体" w:eastAsia="黑体" w:hAnsi="黑体" w:hint="eastAsia"/>
                <w:b/>
                <w:bCs/>
                <w:color w:val="000000" w:themeColor="text1"/>
                <w:sz w:val="18"/>
                <w:szCs w:val="18"/>
              </w:rPr>
              <w:t>①为本产品办理相关交易的实际工作服务时段，因代理销售机构的不同可能存在差异（可能晚于销售文件约定的起始时点开始或早于销售文件约定的终止时点结束），投资者应当以代理销售机构的展示为准。</w:t>
            </w:r>
          </w:p>
          <w:p w:rsidR="005410BB" w:rsidRDefault="005410BB">
            <w:pPr>
              <w:widowControl w:val="0"/>
              <w:spacing w:line="360" w:lineRule="auto"/>
              <w:jc w:val="both"/>
              <w:rPr>
                <w:rFonts w:asciiTheme="majorEastAsia" w:eastAsiaTheme="majorEastAsia" w:hAnsiTheme="majorEastAsia" w:cs="宋体"/>
                <w:bCs/>
                <w:kern w:val="2"/>
                <w:sz w:val="18"/>
                <w:szCs w:val="18"/>
              </w:rPr>
            </w:pPr>
            <w:r>
              <w:rPr>
                <w:rFonts w:ascii="黑体" w:eastAsia="黑体" w:hAnsi="黑体" w:hint="eastAsia"/>
                <w:b/>
                <w:bCs/>
                <w:color w:val="000000" w:themeColor="text1"/>
                <w:sz w:val="18"/>
                <w:szCs w:val="18"/>
              </w:rPr>
              <w:t>②代理销售机构的实际工作服务时段，最早不得早于销售文件约定的起始时点、最晚不得晚于销售文件约定的终止时点。</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bCs/>
                <w:kern w:val="2"/>
                <w:sz w:val="18"/>
                <w:szCs w:val="18"/>
              </w:rPr>
            </w:pPr>
            <w:r>
              <w:rPr>
                <w:rFonts w:hAnsi="宋体" w:hint="eastAsia"/>
                <w:sz w:val="18"/>
                <w:szCs w:val="18"/>
              </w:rPr>
              <w:lastRenderedPageBreak/>
              <w:t>★</w:t>
            </w:r>
            <w:r>
              <w:rPr>
                <w:rFonts w:asciiTheme="majorEastAsia" w:eastAsiaTheme="majorEastAsia" w:hAnsiTheme="majorEastAsia" w:hint="eastAsia"/>
                <w:b/>
                <w:bCs/>
                <w:sz w:val="18"/>
                <w:szCs w:val="18"/>
              </w:rPr>
              <w:t>投资冷静期</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jc w:val="both"/>
              <w:rPr>
                <w:rFonts w:asciiTheme="majorEastAsia" w:eastAsiaTheme="majorEastAsia" w:hAnsiTheme="majorEastAsia" w:cs="宋体"/>
                <w:bCs/>
                <w:kern w:val="2"/>
                <w:sz w:val="18"/>
                <w:szCs w:val="18"/>
              </w:rPr>
            </w:pPr>
            <w:r>
              <w:rPr>
                <w:rFonts w:asciiTheme="majorEastAsia" w:eastAsiaTheme="majorEastAsia" w:hAnsiTheme="majorEastAsia" w:hint="eastAsia"/>
                <w:bCs/>
                <w:sz w:val="18"/>
                <w:szCs w:val="18"/>
              </w:rPr>
              <w:t>本产品为公</w:t>
            </w:r>
            <w:proofErr w:type="gramStart"/>
            <w:r>
              <w:rPr>
                <w:rFonts w:asciiTheme="majorEastAsia" w:eastAsiaTheme="majorEastAsia" w:hAnsiTheme="majorEastAsia" w:hint="eastAsia"/>
                <w:bCs/>
                <w:sz w:val="18"/>
                <w:szCs w:val="18"/>
              </w:rPr>
              <w:t>募</w:t>
            </w:r>
            <w:proofErr w:type="gramEnd"/>
            <w:r>
              <w:rPr>
                <w:rFonts w:asciiTheme="majorEastAsia" w:eastAsiaTheme="majorEastAsia" w:hAnsiTheme="majorEastAsia" w:hint="eastAsia"/>
                <w:bCs/>
                <w:sz w:val="18"/>
                <w:szCs w:val="18"/>
              </w:rPr>
              <w:t>理财产品，无投资冷静期设置。</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bCs/>
                <w:kern w:val="2"/>
                <w:sz w:val="18"/>
                <w:szCs w:val="18"/>
              </w:rPr>
            </w:pPr>
            <w:r>
              <w:rPr>
                <w:rFonts w:asciiTheme="minorEastAsia" w:hAnsiTheme="minorEastAsia" w:hint="eastAsia"/>
                <w:b/>
                <w:bCs/>
                <w:sz w:val="18"/>
                <w:szCs w:val="18"/>
              </w:rPr>
              <w:t>成立日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本产品的计划成立日为：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2023</w:t>
            </w:r>
            <w:r>
              <w:rPr>
                <w:rFonts w:asciiTheme="minorEastAsia" w:hAnsiTheme="minorEastAsia" w:cs="Times New Roman" w:hint="eastAsia"/>
                <w:sz w:val="18"/>
                <w:szCs w:val="18"/>
              </w:rPr>
              <w:t>】年【</w:t>
            </w:r>
            <w:r>
              <w:rPr>
                <w:rFonts w:asciiTheme="minorEastAsia" w:hAnsiTheme="minorEastAsia" w:cs="Times New Roman" w:hint="eastAsia"/>
                <w:sz w:val="18"/>
                <w:szCs w:val="18"/>
              </w:rPr>
              <w:t>8</w:t>
            </w:r>
            <w:r>
              <w:rPr>
                <w:rFonts w:asciiTheme="minorEastAsia" w:hAnsiTheme="minorEastAsia" w:cs="Times New Roman" w:hint="eastAsia"/>
                <w:sz w:val="18"/>
                <w:szCs w:val="18"/>
              </w:rPr>
              <w:t>】月【</w:t>
            </w:r>
            <w:r>
              <w:rPr>
                <w:rFonts w:asciiTheme="minorEastAsia" w:hAnsiTheme="minorEastAsia" w:cs="Times New Roman" w:hint="eastAsia"/>
                <w:sz w:val="18"/>
                <w:szCs w:val="18"/>
              </w:rPr>
              <w:t>15</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410BB" w:rsidRDefault="005410BB">
            <w:pPr>
              <w:widowControl w:val="0"/>
              <w:spacing w:line="360" w:lineRule="auto"/>
              <w:jc w:val="both"/>
              <w:rPr>
                <w:rFonts w:asciiTheme="majorEastAsia" w:eastAsiaTheme="majorEastAsia" w:hAnsiTheme="majorEastAsia" w:cs="宋体"/>
                <w:bCs/>
                <w:kern w:val="2"/>
                <w:sz w:val="18"/>
                <w:szCs w:val="18"/>
              </w:rPr>
            </w:pPr>
            <w:r>
              <w:rPr>
                <w:rFonts w:asciiTheme="minorEastAsia" w:hAnsiTheme="minorEastAsia" w:hint="eastAsia"/>
                <w:bCs/>
                <w:sz w:val="18"/>
                <w:szCs w:val="18"/>
              </w:rPr>
              <w:t>2.</w:t>
            </w:r>
            <w:r>
              <w:rPr>
                <w:rFonts w:asciiTheme="minorEastAsia" w:hAnsiTheme="minorEastAsia" w:hint="eastAsia"/>
                <w:bCs/>
                <w:sz w:val="18"/>
                <w:szCs w:val="18"/>
              </w:rPr>
              <w:t>产品管理人有权根据实际募集情况提前或延后产品成立日期，并相应调整其他产品要素，将依约</w:t>
            </w:r>
            <w:proofErr w:type="gramStart"/>
            <w:r>
              <w:rPr>
                <w:rFonts w:asciiTheme="minorEastAsia" w:hAnsiTheme="minorEastAsia" w:hint="eastAsia"/>
                <w:bCs/>
                <w:sz w:val="18"/>
                <w:szCs w:val="18"/>
              </w:rPr>
              <w:t>定进行</w:t>
            </w:r>
            <w:proofErr w:type="gramEnd"/>
            <w:r>
              <w:rPr>
                <w:rFonts w:asciiTheme="minorEastAsia" w:hAnsiTheme="minorEastAsia" w:hint="eastAsia"/>
                <w:bCs/>
                <w:sz w:val="18"/>
                <w:szCs w:val="18"/>
              </w:rPr>
              <w:t>公告。</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b/>
                <w:bCs/>
                <w:kern w:val="2"/>
                <w:sz w:val="18"/>
                <w:szCs w:val="18"/>
              </w:rPr>
            </w:pPr>
            <w:r>
              <w:rPr>
                <w:rFonts w:asciiTheme="minorEastAsia" w:hAnsiTheme="minorEastAsia" w:hint="eastAsia"/>
                <w:b/>
                <w:bCs/>
                <w:sz w:val="18"/>
                <w:szCs w:val="18"/>
              </w:rPr>
              <w:t>终止日</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inorEastAsia" w:eastAsia="宋体" w:hAnsiTheme="minorEastAsia" w:cs="宋体"/>
                <w:bCs/>
                <w:sz w:val="18"/>
                <w:szCs w:val="18"/>
              </w:rPr>
            </w:pPr>
            <w:r>
              <w:rPr>
                <w:rFonts w:asciiTheme="minorEastAsia" w:hAnsiTheme="minorEastAsia" w:hint="eastAsia"/>
                <w:bCs/>
                <w:sz w:val="18"/>
                <w:szCs w:val="18"/>
              </w:rPr>
              <w:t>1.</w:t>
            </w:r>
            <w:r>
              <w:rPr>
                <w:rFonts w:asciiTheme="minorEastAsia" w:hAnsiTheme="minorEastAsia" w:hint="eastAsia"/>
                <w:bCs/>
                <w:sz w:val="18"/>
                <w:szCs w:val="18"/>
              </w:rPr>
              <w:t>本产品的计划终止日为：</w:t>
            </w:r>
            <w:r>
              <w:rPr>
                <w:rFonts w:asciiTheme="minorEastAsia" w:hAnsiTheme="minorEastAsia" w:cs="Times New Roman" w:hint="eastAsia"/>
                <w:sz w:val="18"/>
                <w:szCs w:val="18"/>
              </w:rPr>
              <w:t>【</w:t>
            </w:r>
            <w:r>
              <w:rPr>
                <w:rFonts w:asciiTheme="minorEastAsia" w:hAnsiTheme="minorEastAsia" w:cs="Times New Roman" w:hint="eastAsia"/>
                <w:sz w:val="18"/>
                <w:szCs w:val="18"/>
              </w:rPr>
              <w:t>2025</w:t>
            </w:r>
            <w:r>
              <w:rPr>
                <w:rFonts w:asciiTheme="minorEastAsia" w:hAnsiTheme="minorEastAsia" w:cs="Times New Roman" w:hint="eastAsia"/>
                <w:sz w:val="18"/>
                <w:szCs w:val="18"/>
              </w:rPr>
              <w:t>】年【</w:t>
            </w:r>
            <w:r>
              <w:rPr>
                <w:rFonts w:asciiTheme="minorEastAsia" w:hAnsiTheme="minorEastAsia" w:cs="Times New Roman" w:hint="eastAsia"/>
                <w:sz w:val="18"/>
                <w:szCs w:val="18"/>
              </w:rPr>
              <w:t>2</w:t>
            </w:r>
            <w:r>
              <w:rPr>
                <w:rFonts w:asciiTheme="minorEastAsia" w:hAnsiTheme="minorEastAsia" w:cs="Times New Roman" w:hint="eastAsia"/>
                <w:sz w:val="18"/>
                <w:szCs w:val="18"/>
              </w:rPr>
              <w:t>】月【</w:t>
            </w:r>
            <w:r>
              <w:rPr>
                <w:rFonts w:asciiTheme="minorEastAsia" w:hAnsiTheme="minorEastAsia" w:cs="Times New Roman" w:hint="eastAsia"/>
                <w:sz w:val="18"/>
                <w:szCs w:val="18"/>
              </w:rPr>
              <w:t>19</w:t>
            </w:r>
            <w:r>
              <w:rPr>
                <w:rFonts w:asciiTheme="minorEastAsia" w:hAnsiTheme="minorEastAsia" w:cs="Times New Roman" w:hint="eastAsia"/>
                <w:sz w:val="18"/>
                <w:szCs w:val="18"/>
              </w:rPr>
              <w:t>】日（遇节假日顺延）</w:t>
            </w:r>
            <w:r>
              <w:rPr>
                <w:rFonts w:asciiTheme="minorEastAsia" w:hAnsiTheme="minorEastAsia" w:hint="eastAsia"/>
                <w:bCs/>
                <w:sz w:val="18"/>
                <w:szCs w:val="18"/>
              </w:rPr>
              <w:t>。</w:t>
            </w:r>
          </w:p>
          <w:p w:rsidR="005410BB" w:rsidRDefault="005410BB">
            <w:pPr>
              <w:spacing w:line="360" w:lineRule="auto"/>
              <w:rPr>
                <w:rFonts w:ascii="宋体" w:hAnsi="宋体"/>
                <w:bCs/>
                <w:sz w:val="18"/>
                <w:szCs w:val="18"/>
              </w:rPr>
            </w:pPr>
            <w:r>
              <w:rPr>
                <w:rFonts w:ascii="宋体" w:hAnsi="宋体" w:hint="eastAsia"/>
                <w:bCs/>
                <w:sz w:val="18"/>
                <w:szCs w:val="18"/>
              </w:rPr>
              <w:t>2.</w:t>
            </w:r>
            <w:r>
              <w:rPr>
                <w:rFonts w:ascii="宋体" w:hAnsi="宋体" w:hint="eastAsia"/>
                <w:bCs/>
                <w:sz w:val="18"/>
                <w:szCs w:val="18"/>
              </w:rPr>
              <w:t>本产品的实际终止日受制于本理财产品销售文件“提前终止”及“延期终止”情形。</w:t>
            </w:r>
          </w:p>
          <w:p w:rsidR="005410BB" w:rsidRDefault="005410BB">
            <w:pPr>
              <w:widowControl w:val="0"/>
              <w:spacing w:line="360" w:lineRule="auto"/>
              <w:jc w:val="both"/>
              <w:rPr>
                <w:rFonts w:ascii="宋体" w:hAnsi="宋体" w:cs="宋体"/>
                <w:bCs/>
                <w:kern w:val="2"/>
                <w:sz w:val="18"/>
                <w:szCs w:val="18"/>
              </w:rPr>
            </w:pPr>
            <w:r>
              <w:rPr>
                <w:rFonts w:asciiTheme="majorEastAsia" w:eastAsiaTheme="majorEastAsia" w:hAnsiTheme="majorEastAsia" w:hint="eastAsia"/>
                <w:b/>
                <w:bCs/>
                <w:sz w:val="18"/>
                <w:szCs w:val="18"/>
              </w:rPr>
              <w:t>注：本产品设置敲出机制，一旦触发敲出事件，则产品可能提前终止。（</w:t>
            </w:r>
            <w:r>
              <w:rPr>
                <w:rFonts w:ascii="宋体" w:hAnsi="宋体" w:hint="eastAsia"/>
                <w:b/>
                <w:bCs/>
                <w:sz w:val="18"/>
                <w:szCs w:val="18"/>
              </w:rPr>
              <w:t>详见“第五条理财产品的投资”</w:t>
            </w:r>
            <w:r>
              <w:rPr>
                <w:rFonts w:asciiTheme="majorEastAsia" w:eastAsiaTheme="majorEastAsia" w:hAnsiTheme="majorEastAsia" w:hint="eastAsia"/>
                <w:b/>
                <w:bCs/>
                <w:sz w:val="18"/>
                <w:szCs w:val="18"/>
              </w:rPr>
              <w:t>）</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宋体" w:hAnsi="宋体" w:hint="eastAsia"/>
                <w:b/>
                <w:bCs/>
                <w:sz w:val="18"/>
                <w:szCs w:val="18"/>
              </w:rPr>
              <w:t>销售起点金额</w:t>
            </w:r>
            <w:r>
              <w:rPr>
                <w:rFonts w:asciiTheme="majorEastAsia" w:eastAsiaTheme="majorEastAsia" w:hAnsiTheme="majorEastAsia" w:hint="eastAsia"/>
                <w:b/>
                <w:bCs/>
                <w:sz w:val="18"/>
                <w:szCs w:val="18"/>
              </w:rPr>
              <w:t>及递增金额</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ajorEastAsia" w:eastAsiaTheme="majorEastAsia" w:hAnsiTheme="majorEastAsia" w:cs="宋体"/>
                <w:bCs/>
                <w:color w:val="000000" w:themeColor="text1"/>
                <w:sz w:val="18"/>
                <w:szCs w:val="18"/>
              </w:rPr>
            </w:pPr>
            <w:r>
              <w:rPr>
                <w:rFonts w:asciiTheme="majorEastAsia" w:eastAsiaTheme="majorEastAsia" w:hAnsiTheme="majorEastAsia" w:hint="eastAsia"/>
                <w:sz w:val="18"/>
                <w:szCs w:val="18"/>
              </w:rPr>
              <w:t>每笔</w:t>
            </w:r>
            <w:r>
              <w:rPr>
                <w:rFonts w:asciiTheme="majorEastAsia" w:eastAsiaTheme="majorEastAsia" w:hAnsiTheme="majorEastAsia" w:hint="eastAsia"/>
                <w:bCs/>
                <w:sz w:val="18"/>
                <w:szCs w:val="18"/>
              </w:rPr>
              <w:t>购买起点金额为【1】元；超出起点金额的部分以【0.01】元的整数</w:t>
            </w:r>
            <w:proofErr w:type="gramStart"/>
            <w:r>
              <w:rPr>
                <w:rFonts w:asciiTheme="majorEastAsia" w:eastAsiaTheme="majorEastAsia" w:hAnsiTheme="majorEastAsia" w:hint="eastAsia"/>
                <w:bCs/>
                <w:sz w:val="18"/>
                <w:szCs w:val="18"/>
              </w:rPr>
              <w:t>倍</w:t>
            </w:r>
            <w:proofErr w:type="gramEnd"/>
            <w:r>
              <w:rPr>
                <w:rFonts w:asciiTheme="majorEastAsia" w:eastAsiaTheme="majorEastAsia" w:hAnsiTheme="majorEastAsia" w:hint="eastAsia"/>
                <w:bCs/>
                <w:sz w:val="18"/>
                <w:szCs w:val="18"/>
              </w:rPr>
              <w:t>递增。</w:t>
            </w:r>
            <w:r>
              <w:rPr>
                <w:rFonts w:asciiTheme="majorEastAsia" w:eastAsiaTheme="majorEastAsia" w:hAnsiTheme="majorEastAsia" w:hint="eastAsia"/>
                <w:bCs/>
                <w:color w:val="000000" w:themeColor="text1"/>
                <w:sz w:val="18"/>
                <w:szCs w:val="18"/>
              </w:rPr>
              <w:t>（适用【A】类份额）</w:t>
            </w:r>
          </w:p>
          <w:p w:rsidR="005410BB" w:rsidRDefault="005410BB">
            <w:pPr>
              <w:spacing w:line="360" w:lineRule="auto"/>
              <w:rPr>
                <w:rFonts w:ascii="黑体" w:eastAsia="黑体" w:hAnsi="黑体"/>
                <w:b/>
                <w:bCs/>
                <w:color w:val="000000" w:themeColor="text1"/>
                <w:sz w:val="18"/>
                <w:szCs w:val="18"/>
              </w:rPr>
            </w:pPr>
            <w:r>
              <w:rPr>
                <w:rFonts w:hAnsi="宋体" w:hint="eastAsia"/>
                <w:b/>
                <w:sz w:val="18"/>
                <w:szCs w:val="18"/>
              </w:rPr>
              <w:t>★</w:t>
            </w:r>
            <w:r>
              <w:rPr>
                <w:rFonts w:ascii="黑体" w:eastAsia="黑体" w:hAnsi="黑体" w:hint="eastAsia"/>
                <w:b/>
                <w:bCs/>
                <w:color w:val="000000" w:themeColor="text1"/>
                <w:sz w:val="18"/>
                <w:szCs w:val="18"/>
              </w:rPr>
              <w:t>注：关于代理销售机构的实际销售起点金额的提示</w:t>
            </w:r>
          </w:p>
          <w:p w:rsidR="005410BB" w:rsidRDefault="005410BB">
            <w:pPr>
              <w:spacing w:line="360" w:lineRule="auto"/>
              <w:rPr>
                <w:rFonts w:ascii="黑体" w:eastAsia="黑体" w:hAnsi="黑体"/>
                <w:b/>
                <w:bCs/>
                <w:color w:val="000000" w:themeColor="text1"/>
                <w:sz w:val="18"/>
                <w:szCs w:val="18"/>
              </w:rPr>
            </w:pPr>
            <w:r>
              <w:rPr>
                <w:rFonts w:ascii="黑体" w:eastAsia="黑体" w:hAnsi="黑体" w:hint="eastAsia"/>
                <w:b/>
                <w:bCs/>
                <w:color w:val="000000" w:themeColor="text1"/>
                <w:sz w:val="18"/>
                <w:szCs w:val="18"/>
              </w:rPr>
              <w:t>①本产品在代理销售机构的实际销售起点金额，因代理销售机构的不同可能存在差异（可能高于销售文件约定的销售起点金额），应当以代理销售机构展示为准。</w:t>
            </w:r>
          </w:p>
          <w:p w:rsidR="005410BB" w:rsidRDefault="005410BB">
            <w:pPr>
              <w:widowControl w:val="0"/>
              <w:spacing w:line="360" w:lineRule="auto"/>
              <w:rPr>
                <w:rFonts w:asciiTheme="minorEastAsia" w:hAnsiTheme="minorEastAsia" w:cs="Times New Roman"/>
                <w:kern w:val="2"/>
                <w:sz w:val="18"/>
                <w:szCs w:val="18"/>
              </w:rPr>
            </w:pPr>
            <w:r>
              <w:rPr>
                <w:rFonts w:ascii="黑体" w:eastAsia="黑体" w:hAnsi="黑体" w:hint="eastAsia"/>
                <w:b/>
                <w:bCs/>
                <w:color w:val="000000" w:themeColor="text1"/>
                <w:sz w:val="18"/>
                <w:szCs w:val="18"/>
              </w:rPr>
              <w:t>②代理销售机构的实际销售起点金额，不得低于销售文件约定的销售起点金额。</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hAnsi="宋体" w:hint="eastAsia"/>
                <w:b/>
                <w:sz w:val="18"/>
                <w:szCs w:val="18"/>
              </w:rPr>
              <w:t>★认购的数量限制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pStyle w:val="Default"/>
              <w:spacing w:line="360" w:lineRule="auto"/>
              <w:rPr>
                <w:rFonts w:hAnsi="宋体"/>
                <w:bCs/>
                <w:kern w:val="2"/>
                <w:sz w:val="18"/>
                <w:szCs w:val="18"/>
              </w:rPr>
            </w:pPr>
            <w:r>
              <w:rPr>
                <w:rFonts w:hAnsi="宋体" w:hint="eastAsia"/>
                <w:bCs/>
                <w:kern w:val="2"/>
                <w:sz w:val="18"/>
                <w:szCs w:val="18"/>
              </w:rPr>
              <w:t>（适用【A】类份额）</w:t>
            </w:r>
          </w:p>
          <w:p w:rsidR="005410BB" w:rsidRDefault="005410BB">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认购的数量限制</w:t>
            </w:r>
          </w:p>
          <w:p w:rsidR="005410BB" w:rsidRDefault="005410BB">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（1）单一投资者认购上限为【4000万】份。</w:t>
            </w:r>
          </w:p>
          <w:p w:rsidR="005410BB" w:rsidRDefault="005410BB">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（2）产品存续期间，单一投资者最高持有份额上限为【4000万】份，符合产品管理人流动性管理的稳定资金除外。</w:t>
            </w:r>
          </w:p>
          <w:p w:rsidR="005410BB" w:rsidRDefault="005410BB">
            <w:pPr>
              <w:pStyle w:val="Default"/>
              <w:spacing w:line="360" w:lineRule="auto"/>
              <w:rPr>
                <w:rFonts w:asciiTheme="minorEastAsia" w:eastAsiaTheme="minorEastAsia" w:hAnsiTheme="minorEastAsia"/>
                <w:color w:val="auto"/>
                <w:kern w:val="2"/>
                <w:sz w:val="18"/>
                <w:szCs w:val="18"/>
              </w:rPr>
            </w:pPr>
            <w:r>
              <w:rPr>
                <w:rFonts w:asciiTheme="minorEastAsia" w:eastAsiaTheme="minorEastAsia" w:hAnsiTheme="minorEastAsia" w:hint="eastAsia"/>
                <w:color w:val="auto"/>
                <w:kern w:val="2"/>
                <w:sz w:val="18"/>
                <w:szCs w:val="18"/>
              </w:rPr>
              <w:t xml:space="preserve">如需突破上限，请与产品管理人或销售机构客户经理联系。 </w:t>
            </w:r>
          </w:p>
          <w:p w:rsidR="005410BB" w:rsidRDefault="005410BB">
            <w:pPr>
              <w:pStyle w:val="Default"/>
              <w:spacing w:line="360" w:lineRule="auto"/>
              <w:rPr>
                <w:rFonts w:ascii="黑体" w:eastAsia="黑体" w:hAnsi="黑体"/>
                <w:b/>
                <w:bCs/>
                <w:color w:val="000000" w:themeColor="text1"/>
                <w:kern w:val="2"/>
                <w:sz w:val="18"/>
                <w:szCs w:val="18"/>
              </w:rPr>
            </w:pPr>
            <w:r>
              <w:rPr>
                <w:rFonts w:hAnsi="宋体" w:hint="eastAsia"/>
                <w:b/>
                <w:kern w:val="2"/>
                <w:sz w:val="18"/>
                <w:szCs w:val="18"/>
              </w:rPr>
              <w:t>★</w:t>
            </w:r>
            <w:r>
              <w:rPr>
                <w:rFonts w:ascii="黑体" w:eastAsia="黑体" w:hAnsi="黑体" w:hint="eastAsia"/>
                <w:b/>
                <w:bCs/>
                <w:color w:val="000000" w:themeColor="text1"/>
                <w:kern w:val="2"/>
                <w:sz w:val="18"/>
                <w:szCs w:val="18"/>
              </w:rPr>
              <w:t>注：本产品单一投资者持有份额不得超过产品总份额50%。</w:t>
            </w:r>
          </w:p>
          <w:p w:rsidR="005410BB" w:rsidRDefault="005410BB">
            <w:pPr>
              <w:pStyle w:val="Default"/>
              <w:spacing w:line="360" w:lineRule="auto"/>
              <w:rPr>
                <w:rFonts w:ascii="黑体" w:eastAsia="黑体" w:hAnsi="黑体"/>
                <w:b/>
                <w:bCs/>
                <w:color w:val="000000" w:themeColor="text1"/>
                <w:kern w:val="2"/>
                <w:sz w:val="18"/>
                <w:szCs w:val="18"/>
              </w:rPr>
            </w:pPr>
            <w:r>
              <w:rPr>
                <w:rFonts w:ascii="黑体" w:eastAsia="黑体" w:hAnsi="黑体" w:hint="eastAsia"/>
                <w:b/>
                <w:bCs/>
                <w:color w:val="000000" w:themeColor="text1"/>
                <w:kern w:val="2"/>
                <w:sz w:val="18"/>
                <w:szCs w:val="18"/>
              </w:rPr>
              <w:t>（1）投资者认购或申购确认后可能导致其持有份额超过产品总份额50%的，管理人有权拒绝或</w:t>
            </w:r>
            <w:r>
              <w:rPr>
                <w:rFonts w:ascii="黑体" w:eastAsia="黑体" w:hAnsi="黑体" w:hint="eastAsia"/>
                <w:b/>
                <w:bCs/>
                <w:color w:val="000000" w:themeColor="text1"/>
                <w:kern w:val="2"/>
                <w:sz w:val="18"/>
                <w:szCs w:val="18"/>
              </w:rPr>
              <w:lastRenderedPageBreak/>
              <w:t>暂停认购、申购。</w:t>
            </w:r>
          </w:p>
          <w:p w:rsidR="005410BB" w:rsidRDefault="005410BB">
            <w:pPr>
              <w:widowControl w:val="0"/>
              <w:spacing w:line="360" w:lineRule="auto"/>
              <w:jc w:val="both"/>
              <w:rPr>
                <w:rFonts w:asciiTheme="majorEastAsia" w:eastAsiaTheme="majorEastAsia" w:hAnsiTheme="majorEastAsia" w:cs="宋体"/>
                <w:kern w:val="2"/>
                <w:sz w:val="18"/>
                <w:szCs w:val="18"/>
              </w:rPr>
            </w:pPr>
            <w:r>
              <w:rPr>
                <w:rFonts w:ascii="黑体" w:eastAsia="黑体" w:hAnsi="黑体" w:hint="eastAsia"/>
                <w:b/>
                <w:bCs/>
                <w:color w:val="000000" w:themeColor="text1"/>
                <w:sz w:val="18"/>
                <w:szCs w:val="18"/>
              </w:rPr>
              <w:t>（2）非因管理人主观因素导致突破该比例限制的，在单一投资者持有比例降至50%以下之前，管理人不再接受该投资者对本产品的认购、申购申请。</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asciiTheme="majorEastAsia" w:eastAsiaTheme="majorEastAsia" w:hAnsiTheme="majorEastAsia" w:hint="eastAsia"/>
                <w:b/>
                <w:bCs/>
                <w:sz w:val="18"/>
                <w:szCs w:val="18"/>
              </w:rPr>
              <w:lastRenderedPageBreak/>
              <w:t>理财产品份额发售面值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jc w:val="both"/>
              <w:rPr>
                <w:rFonts w:asciiTheme="majorEastAsia" w:eastAsiaTheme="majorEastAsia" w:hAnsiTheme="majorEastAsia" w:cs="宋体"/>
                <w:kern w:val="2"/>
                <w:sz w:val="18"/>
                <w:szCs w:val="18"/>
              </w:rPr>
            </w:pPr>
            <w:r>
              <w:rPr>
                <w:rFonts w:asciiTheme="majorEastAsia" w:eastAsiaTheme="majorEastAsia" w:hAnsiTheme="majorEastAsia" w:cs="仿宋_GB2312" w:hint="eastAsia"/>
                <w:sz w:val="18"/>
                <w:szCs w:val="18"/>
              </w:rPr>
              <w:t>1.00元</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kern w:val="2"/>
                <w:sz w:val="18"/>
                <w:szCs w:val="18"/>
              </w:rPr>
            </w:pPr>
            <w:r>
              <w:rPr>
                <w:rFonts w:ascii="宋体" w:hAnsi="宋体" w:hint="eastAsia"/>
                <w:b/>
                <w:bCs/>
                <w:sz w:val="18"/>
                <w:szCs w:val="18"/>
              </w:rPr>
              <w:t>理财产品份额净值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ajorEastAsia" w:eastAsiaTheme="majorEastAsia" w:hAnsiTheme="majorEastAsia" w:cs="宋体"/>
                <w:bCs/>
                <w:sz w:val="18"/>
                <w:szCs w:val="18"/>
              </w:rPr>
            </w:pPr>
            <w:r>
              <w:rPr>
                <w:rFonts w:asciiTheme="majorEastAsia" w:eastAsiaTheme="majorEastAsia" w:hAnsiTheme="majorEastAsia" w:hint="eastAsia"/>
                <w:bCs/>
                <w:sz w:val="18"/>
                <w:szCs w:val="18"/>
              </w:rPr>
              <w:t>1</w:t>
            </w:r>
            <w:r>
              <w:rPr>
                <w:rFonts w:asciiTheme="majorEastAsia" w:eastAsiaTheme="majorEastAsia" w:hAnsiTheme="majorEastAsia" w:hint="eastAsia"/>
                <w:color w:val="000000" w:themeColor="text1"/>
                <w:sz w:val="18"/>
                <w:szCs w:val="18"/>
              </w:rPr>
              <w:t>.</w:t>
            </w:r>
            <w:r>
              <w:rPr>
                <w:rFonts w:asciiTheme="majorEastAsia" w:eastAsiaTheme="majorEastAsia" w:hAnsiTheme="majorEastAsia" w:hint="eastAsia"/>
                <w:bCs/>
                <w:sz w:val="18"/>
                <w:szCs w:val="18"/>
              </w:rPr>
              <w:t>若产品投资资产运作出现损失的，产品份额净值下降，投资者分配所得可能小于投资者初始投资资金。投资者分配所得以实际到账金额为准。</w:t>
            </w:r>
          </w:p>
          <w:p w:rsidR="005410BB" w:rsidRDefault="005410BB">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2．产品实际终止日之前的估值日公布的产品份额净值已扣除理财产品的费用和税收。</w:t>
            </w:r>
          </w:p>
          <w:p w:rsidR="005410BB" w:rsidRDefault="005410BB">
            <w:pPr>
              <w:widowControl w:val="0"/>
              <w:spacing w:line="360" w:lineRule="auto"/>
              <w:rPr>
                <w:rFonts w:asciiTheme="minorEastAsia" w:hAnsiTheme="minorEastAsia" w:cs="Times New Roman"/>
                <w:kern w:val="2"/>
                <w:sz w:val="18"/>
                <w:szCs w:val="18"/>
              </w:rPr>
            </w:pPr>
            <w:r>
              <w:rPr>
                <w:rFonts w:asciiTheme="majorEastAsia" w:eastAsiaTheme="majorEastAsia" w:hAnsiTheme="majorEastAsia" w:hint="eastAsia"/>
                <w:bCs/>
                <w:sz w:val="18"/>
                <w:szCs w:val="18"/>
              </w:rPr>
              <w:t>3．产品管理人依约定公布产品份额净值，产品管理人以产品终止日产品份额净值为基础进行利益分配。</w:t>
            </w:r>
          </w:p>
        </w:tc>
      </w:tr>
      <w:tr w:rsidR="005410BB" w:rsidTr="005410BB">
        <w:trPr>
          <w:trHeight w:val="1078"/>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kern w:val="2"/>
                <w:sz w:val="18"/>
                <w:szCs w:val="18"/>
              </w:rPr>
            </w:pPr>
            <w:r>
              <w:rPr>
                <w:rFonts w:hint="eastAsia"/>
                <w:sz w:val="18"/>
                <w:szCs w:val="18"/>
              </w:rPr>
              <w:t>★</w:t>
            </w:r>
            <w:r>
              <w:rPr>
                <w:rFonts w:asciiTheme="majorEastAsia" w:eastAsiaTheme="majorEastAsia" w:hAnsiTheme="majorEastAsia" w:hint="eastAsia"/>
                <w:b/>
                <w:bCs/>
                <w:sz w:val="18"/>
                <w:szCs w:val="18"/>
              </w:rPr>
              <w:t>业绩比较基准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autoSpaceDE w:val="0"/>
              <w:autoSpaceDN w:val="0"/>
              <w:spacing w:line="360" w:lineRule="auto"/>
              <w:rPr>
                <w:rFonts w:ascii="Calibri" w:eastAsia="宋体" w:hAnsi="宋体" w:cs="宋体"/>
                <w:b/>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5410BB" w:rsidRDefault="005410BB">
            <w:pPr>
              <w:autoSpaceDE w:val="0"/>
              <w:autoSpaceDN w:val="0"/>
              <w:spacing w:line="360" w:lineRule="auto"/>
              <w:rPr>
                <w:rFonts w:hAnsi="宋体"/>
                <w:b/>
                <w:sz w:val="18"/>
                <w:szCs w:val="18"/>
              </w:rPr>
            </w:pPr>
            <w:r>
              <w:rPr>
                <w:rFonts w:hAnsi="宋体"/>
                <w:b/>
                <w:sz w:val="18"/>
                <w:szCs w:val="18"/>
              </w:rPr>
              <w:t>1.</w:t>
            </w:r>
            <w:r>
              <w:rPr>
                <w:rFonts w:hAnsi="宋体" w:hint="eastAsia"/>
                <w:b/>
                <w:sz w:val="18"/>
                <w:szCs w:val="18"/>
              </w:rPr>
              <w:t>业绩比较基准的设置</w:t>
            </w:r>
          </w:p>
          <w:p w:rsidR="005410BB" w:rsidRDefault="005410BB">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产品管理人设置业绩比较基准。</w:t>
            </w:r>
          </w:p>
          <w:p w:rsidR="005410BB" w:rsidRDefault="005410BB">
            <w:pPr>
              <w:autoSpaceDE w:val="0"/>
              <w:autoSpaceDN w:val="0"/>
              <w:spacing w:line="360" w:lineRule="auto"/>
              <w:rPr>
                <w:rFonts w:asciiTheme="majorEastAsia" w:eastAsiaTheme="majorEastAsia" w:hAnsiTheme="majorEastAsia"/>
                <w:bCs/>
                <w:kern w:val="2"/>
                <w:sz w:val="18"/>
                <w:szCs w:val="18"/>
              </w:rPr>
            </w:pPr>
            <w:r>
              <w:rPr>
                <w:rFonts w:ascii="宋体" w:hAnsi="宋体" w:hint="eastAsia"/>
                <w:bCs/>
                <w:sz w:val="18"/>
                <w:szCs w:val="18"/>
              </w:rPr>
              <w:t>（</w:t>
            </w:r>
            <w:r>
              <w:rPr>
                <w:rFonts w:ascii="宋体" w:hAnsi="宋体" w:hint="eastAsia"/>
                <w:bCs/>
                <w:sz w:val="18"/>
                <w:szCs w:val="18"/>
              </w:rPr>
              <w:t>1</w:t>
            </w:r>
            <w:r>
              <w:rPr>
                <w:rFonts w:ascii="宋体" w:hAnsi="宋体" w:hint="eastAsia"/>
                <w:bCs/>
                <w:sz w:val="18"/>
                <w:szCs w:val="18"/>
              </w:rPr>
              <w:t>）业绩比较基准的说明：【根据本产品各类资产的拟投资比例、久期敞口以及拟参与衍生品的交易要素报价，结合当前宏观环境和各类资产价格所处的位置，参考历史经验和回测结果设定】</w:t>
            </w:r>
            <w:r>
              <w:rPr>
                <w:rFonts w:asciiTheme="majorEastAsia" w:eastAsiaTheme="majorEastAsia" w:hAnsiTheme="majorEastAsia" w:hint="eastAsia"/>
                <w:bCs/>
                <w:sz w:val="18"/>
                <w:szCs w:val="18"/>
              </w:rPr>
              <w:t>。</w:t>
            </w:r>
          </w:p>
          <w:p w:rsidR="005410BB" w:rsidRDefault="005410BB">
            <w:pPr>
              <w:spacing w:line="360" w:lineRule="auto"/>
              <w:rPr>
                <w:rFonts w:ascii="宋体" w:eastAsia="宋体" w:hAnsi="宋体"/>
                <w:bCs/>
                <w:sz w:val="18"/>
                <w:szCs w:val="18"/>
              </w:rPr>
            </w:pPr>
            <w:r>
              <w:rPr>
                <w:rFonts w:asciiTheme="majorEastAsia" w:eastAsiaTheme="majorEastAsia" w:hAnsiTheme="majorEastAsia" w:hint="eastAsia"/>
                <w:bCs/>
                <w:sz w:val="18"/>
                <w:szCs w:val="18"/>
              </w:rPr>
              <w:t>（2）业绩比较基准的设定：</w:t>
            </w:r>
            <w:r>
              <w:rPr>
                <w:rFonts w:asciiTheme="majorEastAsia" w:hAnsiTheme="majorEastAsia" w:hint="eastAsia"/>
                <w:sz w:val="18"/>
              </w:rPr>
              <w:t>管理人对本产品设定业绩比较基准：</w:t>
            </w:r>
          </w:p>
          <w:p w:rsidR="005410BB" w:rsidRDefault="005410BB">
            <w:pPr>
              <w:spacing w:line="360" w:lineRule="auto"/>
              <w:rPr>
                <w:rFonts w:ascii="宋体" w:hAnsi="宋体"/>
                <w:sz w:val="18"/>
                <w:szCs w:val="18"/>
              </w:rPr>
            </w:pPr>
            <w:r>
              <w:rPr>
                <w:rFonts w:ascii="宋体" w:hAnsi="宋体" w:hint="eastAsia"/>
                <w:sz w:val="18"/>
                <w:szCs w:val="18"/>
              </w:rPr>
              <w:t>根据本产品投资的各类资产，其中所投金融衍生品为【看涨自动敲出期权】，挂钩标的证券为【中证</w:t>
            </w:r>
            <w:r>
              <w:rPr>
                <w:rFonts w:ascii="宋体" w:hAnsi="宋体" w:hint="eastAsia"/>
                <w:sz w:val="18"/>
                <w:szCs w:val="18"/>
              </w:rPr>
              <w:t>1000</w:t>
            </w:r>
            <w:r>
              <w:rPr>
                <w:rFonts w:ascii="宋体" w:hAnsi="宋体" w:hint="eastAsia"/>
                <w:sz w:val="18"/>
                <w:szCs w:val="18"/>
              </w:rPr>
              <w:t>指数】，设定产品业绩比较基准如下：</w:t>
            </w:r>
          </w:p>
          <w:p w:rsidR="005410BB" w:rsidRDefault="005410BB">
            <w:pPr>
              <w:spacing w:line="360" w:lineRule="auto"/>
              <w:rPr>
                <w:rFonts w:ascii="宋体" w:hAnsi="宋体"/>
                <w:sz w:val="18"/>
                <w:szCs w:val="18"/>
              </w:rPr>
            </w:pPr>
            <w:r>
              <w:rPr>
                <w:rFonts w:ascii="宋体" w:hAnsi="宋体" w:hint="eastAsia"/>
                <w:sz w:val="18"/>
                <w:szCs w:val="18"/>
              </w:rPr>
              <w:t>（</w:t>
            </w:r>
            <w:r>
              <w:rPr>
                <w:rFonts w:ascii="宋体" w:hAnsi="宋体" w:hint="eastAsia"/>
                <w:sz w:val="18"/>
                <w:szCs w:val="18"/>
              </w:rPr>
              <w:t>1</w:t>
            </w:r>
            <w:r>
              <w:rPr>
                <w:rFonts w:ascii="宋体" w:hAnsi="宋体" w:hint="eastAsia"/>
                <w:sz w:val="18"/>
                <w:szCs w:val="18"/>
              </w:rPr>
              <w:t>）若理财产品存续期内，金融衍生品交易确认书项下发生敲出事件的：</w:t>
            </w:r>
          </w:p>
          <w:p w:rsidR="005410BB" w:rsidRDefault="005410BB">
            <w:pPr>
              <w:spacing w:line="360" w:lineRule="auto"/>
              <w:rPr>
                <w:rFonts w:ascii="宋体" w:hAnsi="宋体"/>
                <w:sz w:val="18"/>
                <w:szCs w:val="18"/>
              </w:rPr>
            </w:pPr>
            <w:r>
              <w:rPr>
                <w:rFonts w:ascii="宋体" w:hAnsi="宋体" w:hint="eastAsia"/>
                <w:sz w:val="18"/>
                <w:szCs w:val="18"/>
              </w:rPr>
              <w:t>业绩比较基准为：</w:t>
            </w:r>
          </w:p>
          <w:p w:rsidR="005410BB" w:rsidRDefault="005410BB">
            <w:pPr>
              <w:spacing w:line="360" w:lineRule="auto"/>
              <w:rPr>
                <w:rFonts w:asciiTheme="majorEastAsia" w:eastAsiaTheme="majorEastAsia" w:hAnsiTheme="major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4.50%-4.80%</w:t>
            </w:r>
            <w:r>
              <w:rPr>
                <w:rFonts w:ascii="宋体" w:hAnsi="宋体" w:hint="eastAsia"/>
                <w:sz w:val="18"/>
                <w:szCs w:val="18"/>
              </w:rPr>
              <w:t>】</w:t>
            </w:r>
            <w:proofErr w:type="gramEnd"/>
            <w:r>
              <w:rPr>
                <w:rFonts w:ascii="宋体" w:hAnsi="宋体" w:hint="eastAsia"/>
                <w:sz w:val="18"/>
                <w:szCs w:val="18"/>
              </w:rPr>
              <w:t>；</w:t>
            </w:r>
          </w:p>
          <w:p w:rsidR="005410BB" w:rsidRDefault="005410BB">
            <w:pPr>
              <w:spacing w:line="360" w:lineRule="auto"/>
              <w:rPr>
                <w:rFonts w:ascii="宋体" w:eastAsia="宋体" w:hAnsi="宋体"/>
                <w:sz w:val="18"/>
                <w:szCs w:val="18"/>
              </w:rPr>
            </w:pPr>
            <w:r>
              <w:rPr>
                <w:rFonts w:ascii="宋体" w:hAnsi="宋体" w:hint="eastAsia"/>
                <w:sz w:val="18"/>
                <w:szCs w:val="18"/>
              </w:rPr>
              <w:t>（</w:t>
            </w:r>
            <w:r>
              <w:rPr>
                <w:rFonts w:ascii="宋体" w:hAnsi="宋体" w:hint="eastAsia"/>
                <w:sz w:val="18"/>
                <w:szCs w:val="18"/>
              </w:rPr>
              <w:t>2</w:t>
            </w:r>
            <w:r>
              <w:rPr>
                <w:rFonts w:ascii="宋体" w:hAnsi="宋体" w:hint="eastAsia"/>
                <w:sz w:val="18"/>
                <w:szCs w:val="18"/>
              </w:rPr>
              <w:t>）若理财产品存续期内，金融衍生品交易确认书项下未发生敲出事件的：</w:t>
            </w:r>
          </w:p>
          <w:p w:rsidR="005410BB" w:rsidRDefault="005410BB">
            <w:pPr>
              <w:spacing w:line="360" w:lineRule="auto"/>
              <w:rPr>
                <w:rFonts w:ascii="宋体" w:hAnsi="宋体"/>
                <w:sz w:val="18"/>
                <w:szCs w:val="18"/>
              </w:rPr>
            </w:pPr>
            <w:r>
              <w:rPr>
                <w:rFonts w:ascii="宋体" w:hAnsi="宋体" w:hint="eastAsia"/>
                <w:sz w:val="18"/>
                <w:szCs w:val="18"/>
              </w:rPr>
              <w:t>业绩比较基准为：</w:t>
            </w:r>
          </w:p>
          <w:p w:rsidR="005410BB" w:rsidRDefault="005410BB">
            <w:pPr>
              <w:spacing w:line="360" w:lineRule="auto"/>
              <w:rPr>
                <w:rFonts w:asciiTheme="majorEastAsia" w:eastAsiaTheme="majorEastAsia" w:hAnsiTheme="majorEastAsia"/>
                <w:bCs/>
                <w:color w:val="000000" w:themeColor="text1"/>
                <w:sz w:val="18"/>
                <w:szCs w:val="18"/>
              </w:rPr>
            </w:pPr>
            <w:proofErr w:type="gramStart"/>
            <w:r>
              <w:rPr>
                <w:rFonts w:ascii="宋体" w:hAnsi="宋体" w:hint="eastAsia"/>
                <w:sz w:val="18"/>
                <w:szCs w:val="18"/>
              </w:rPr>
              <w:t>年化【</w:t>
            </w:r>
            <w:r>
              <w:rPr>
                <w:rFonts w:ascii="宋体" w:hAnsi="宋体" w:hint="eastAsia"/>
                <w:sz w:val="18"/>
                <w:szCs w:val="18"/>
              </w:rPr>
              <w:t>0.01%-0.15%</w:t>
            </w:r>
            <w:r>
              <w:rPr>
                <w:rFonts w:ascii="宋体" w:hAnsi="宋体" w:hint="eastAsia"/>
                <w:sz w:val="18"/>
                <w:szCs w:val="18"/>
              </w:rPr>
              <w:t>】</w:t>
            </w:r>
            <w:proofErr w:type="gramEnd"/>
            <w:r>
              <w:rPr>
                <w:rFonts w:hAnsi="宋体" w:hint="eastAsia"/>
                <w:bCs/>
                <w:sz w:val="18"/>
                <w:szCs w:val="18"/>
              </w:rPr>
              <w:t>。</w:t>
            </w:r>
          </w:p>
          <w:p w:rsidR="005410BB" w:rsidRDefault="005410BB">
            <w:pPr>
              <w:spacing w:line="360" w:lineRule="auto"/>
              <w:rPr>
                <w:rFonts w:ascii="宋体" w:eastAsia="宋体" w:hAnsi="宋体"/>
                <w:b/>
                <w:bCs/>
                <w:sz w:val="18"/>
                <w:szCs w:val="18"/>
              </w:rPr>
            </w:pPr>
            <w:r>
              <w:rPr>
                <w:rFonts w:ascii="宋体" w:hAnsi="宋体" w:hint="eastAsia"/>
                <w:b/>
                <w:bCs/>
                <w:sz w:val="18"/>
                <w:szCs w:val="18"/>
              </w:rPr>
              <w:lastRenderedPageBreak/>
              <w:t>注：发生敲出事件规则，指金融衍生品交易确认书项下挂钩标的证券【中证</w:t>
            </w:r>
            <w:r>
              <w:rPr>
                <w:rFonts w:ascii="宋体" w:hAnsi="宋体" w:hint="eastAsia"/>
                <w:b/>
                <w:bCs/>
                <w:sz w:val="18"/>
                <w:szCs w:val="18"/>
              </w:rPr>
              <w:t>1000</w:t>
            </w:r>
            <w:r>
              <w:rPr>
                <w:rFonts w:ascii="宋体" w:hAnsi="宋体" w:hint="eastAsia"/>
                <w:b/>
                <w:bCs/>
                <w:sz w:val="18"/>
                <w:szCs w:val="18"/>
              </w:rPr>
              <w:t>指数】收盘价格在任一观察日高于或等于（期</w:t>
            </w:r>
            <w:proofErr w:type="gramStart"/>
            <w:r>
              <w:rPr>
                <w:rFonts w:ascii="宋体" w:hAnsi="宋体" w:hint="eastAsia"/>
                <w:b/>
                <w:bCs/>
                <w:sz w:val="18"/>
                <w:szCs w:val="18"/>
              </w:rPr>
              <w:t>初价格</w:t>
            </w:r>
            <w:proofErr w:type="gramEnd"/>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100</w:t>
            </w:r>
            <w:r>
              <w:rPr>
                <w:rFonts w:ascii="宋体" w:hAnsi="宋体" w:hint="eastAsia"/>
                <w:b/>
                <w:bCs/>
                <w:sz w:val="18"/>
                <w:szCs w:val="18"/>
              </w:rPr>
              <w:t>】</w:t>
            </w:r>
            <w:r>
              <w:rPr>
                <w:rFonts w:ascii="宋体" w:hAnsi="宋体" w:hint="eastAsia"/>
                <w:b/>
                <w:bCs/>
                <w:sz w:val="18"/>
                <w:szCs w:val="18"/>
              </w:rPr>
              <w:t>%</w:t>
            </w:r>
            <w:r>
              <w:rPr>
                <w:rFonts w:ascii="宋体" w:hAnsi="宋体" w:hint="eastAsia"/>
                <w:b/>
                <w:bCs/>
                <w:sz w:val="18"/>
                <w:szCs w:val="18"/>
              </w:rPr>
              <w:t>），即发生“敲出事件”。</w:t>
            </w:r>
          </w:p>
          <w:p w:rsidR="005410BB" w:rsidRDefault="005410BB">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
                <w:sz w:val="18"/>
                <w:szCs w:val="18"/>
              </w:rPr>
              <w:t>□产品管理人不设置业绩比较基准。</w:t>
            </w:r>
          </w:p>
          <w:p w:rsidR="005410BB" w:rsidRDefault="005410BB">
            <w:pPr>
              <w:spacing w:line="360" w:lineRule="auto"/>
              <w:rPr>
                <w:rFonts w:asciiTheme="majorEastAsia" w:eastAsiaTheme="majorEastAsia" w:hAnsiTheme="majorEastAsia"/>
                <w:b/>
                <w:bCs/>
                <w:kern w:val="2"/>
                <w:sz w:val="18"/>
                <w:szCs w:val="18"/>
              </w:rPr>
            </w:pPr>
            <w:r>
              <w:rPr>
                <w:rFonts w:asciiTheme="majorEastAsia" w:eastAsiaTheme="majorEastAsia" w:hAnsiTheme="majorEastAsia" w:hint="eastAsia"/>
                <w:b/>
                <w:bCs/>
                <w:sz w:val="18"/>
                <w:szCs w:val="18"/>
              </w:rPr>
              <w:t>2.业绩比较基准的提示：</w:t>
            </w:r>
          </w:p>
          <w:p w:rsidR="005410BB" w:rsidRDefault="005410BB">
            <w:pPr>
              <w:spacing w:line="360" w:lineRule="auto"/>
              <w:rPr>
                <w:rFonts w:ascii="黑体" w:eastAsia="黑体" w:hAnsi="黑体"/>
                <w:bCs/>
                <w:sz w:val="18"/>
                <w:szCs w:val="18"/>
              </w:rPr>
            </w:pPr>
            <w:r>
              <w:rPr>
                <w:rFonts w:ascii="黑体" w:eastAsia="黑体" w:hAnsi="黑体" w:hint="eastAsia"/>
                <w:bCs/>
                <w:sz w:val="18"/>
                <w:szCs w:val="18"/>
              </w:rPr>
              <w:t>（1）业绩比较基准不代表理财产品未来表现，不等于理财产品实际收益，不作为产品收益的业绩保证，投资须谨慎。</w:t>
            </w:r>
          </w:p>
          <w:p w:rsidR="005410BB" w:rsidRDefault="005410BB">
            <w:pPr>
              <w:widowControl w:val="0"/>
              <w:spacing w:line="360" w:lineRule="auto"/>
              <w:rPr>
                <w:rFonts w:asciiTheme="majorEastAsia" w:eastAsiaTheme="majorEastAsia" w:hAnsiTheme="majorEastAsia" w:cs="宋体"/>
                <w:b/>
                <w:bCs/>
                <w:kern w:val="2"/>
                <w:sz w:val="18"/>
                <w:szCs w:val="18"/>
              </w:rPr>
            </w:pPr>
            <w:r>
              <w:rPr>
                <w:rFonts w:asciiTheme="majorEastAsia" w:eastAsiaTheme="majorEastAsia" w:hAnsiTheme="majorEastAsia" w:hint="eastAsia"/>
                <w:bCs/>
                <w:sz w:val="18"/>
                <w:szCs w:val="18"/>
              </w:rPr>
              <w:t>（2）</w:t>
            </w:r>
            <w:r>
              <w:rPr>
                <w:rFonts w:asciiTheme="majorEastAsia" w:eastAsiaTheme="majorEastAsia" w:hAnsiTheme="majorEastAsia" w:hint="eastAsia"/>
                <w:sz w:val="18"/>
                <w:szCs w:val="18"/>
              </w:rPr>
              <w:t>如果今后法律法规发生变化，或者有其他代表性更强、更科学客观的业绩比较基准适用于本产品时，经产品管理人和产品托管人协商一致后，本产品可以变更业绩比较基准并及时公告</w:t>
            </w:r>
            <w:r>
              <w:rPr>
                <w:rFonts w:asciiTheme="majorEastAsia" w:eastAsiaTheme="majorEastAsia" w:hAnsiTheme="majorEastAsia" w:hint="eastAsia"/>
                <w:bCs/>
                <w:sz w:val="18"/>
                <w:szCs w:val="18"/>
              </w:rPr>
              <w:t>。</w:t>
            </w:r>
          </w:p>
        </w:tc>
      </w:tr>
      <w:tr w:rsidR="005410BB" w:rsidTr="005410BB">
        <w:trPr>
          <w:trHeight w:val="679"/>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Calibri" w:cs="宋体"/>
                <w:kern w:val="2"/>
                <w:sz w:val="18"/>
                <w:szCs w:val="18"/>
              </w:rPr>
            </w:pPr>
            <w:r>
              <w:rPr>
                <w:rFonts w:hint="eastAsia"/>
                <w:sz w:val="18"/>
                <w:szCs w:val="18"/>
              </w:rPr>
              <w:lastRenderedPageBreak/>
              <w:t>★</w:t>
            </w:r>
            <w:r>
              <w:rPr>
                <w:rFonts w:hint="eastAsia"/>
                <w:b/>
                <w:sz w:val="18"/>
                <w:szCs w:val="18"/>
              </w:rPr>
              <w:t>业绩报酬计提</w:t>
            </w:r>
            <w:r>
              <w:rPr>
                <w:rFonts w:ascii="宋体" w:hAnsi="宋体" w:hint="eastAsia"/>
                <w:b/>
                <w:sz w:val="18"/>
                <w:szCs w:val="18"/>
              </w:rPr>
              <w:t>基准</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Calibri" w:eastAsia="宋体" w:hAnsi="宋体" w:cs="宋体"/>
                <w:bCs/>
                <w:sz w:val="18"/>
                <w:szCs w:val="18"/>
              </w:rPr>
            </w:pPr>
            <w:r>
              <w:rPr>
                <w:rFonts w:hAnsi="宋体" w:hint="eastAsia"/>
                <w:bCs/>
                <w:sz w:val="18"/>
                <w:szCs w:val="18"/>
              </w:rPr>
              <w:t>（适用【</w:t>
            </w:r>
            <w:r>
              <w:rPr>
                <w:rFonts w:hAnsi="宋体"/>
                <w:bCs/>
                <w:sz w:val="18"/>
                <w:szCs w:val="18"/>
              </w:rPr>
              <w:t>A</w:t>
            </w:r>
            <w:r>
              <w:rPr>
                <w:rFonts w:hAnsi="宋体" w:hint="eastAsia"/>
                <w:bCs/>
                <w:sz w:val="18"/>
                <w:szCs w:val="18"/>
              </w:rPr>
              <w:t>】类份额）</w:t>
            </w:r>
          </w:p>
          <w:p w:rsidR="005410BB" w:rsidRDefault="005410BB">
            <w:pPr>
              <w:spacing w:line="360" w:lineRule="auto"/>
              <w:rPr>
                <w:rFonts w:hAnsi="宋体"/>
                <w:b/>
                <w:bCs/>
                <w:sz w:val="18"/>
                <w:szCs w:val="18"/>
              </w:rPr>
            </w:pPr>
            <w:r>
              <w:rPr>
                <w:rFonts w:hAnsi="宋体"/>
                <w:b/>
                <w:bCs/>
                <w:sz w:val="18"/>
                <w:szCs w:val="18"/>
              </w:rPr>
              <w:t>1.</w:t>
            </w:r>
            <w:r>
              <w:rPr>
                <w:rFonts w:hAnsi="宋体" w:hint="eastAsia"/>
                <w:b/>
                <w:bCs/>
                <w:sz w:val="18"/>
                <w:szCs w:val="18"/>
              </w:rPr>
              <w:t>业绩报酬计提基准的设置</w:t>
            </w:r>
          </w:p>
          <w:p w:rsidR="005410BB" w:rsidRDefault="005410BB">
            <w:pPr>
              <w:autoSpaceDE w:val="0"/>
              <w:autoSpaceDN w:val="0"/>
              <w:spacing w:line="360" w:lineRule="auto"/>
              <w:rPr>
                <w:rFonts w:asciiTheme="majorEastAsia" w:eastAsiaTheme="majorEastAsia" w:hAnsiTheme="majorEastAsia"/>
                <w:b/>
                <w:sz w:val="18"/>
                <w:szCs w:val="18"/>
              </w:rPr>
            </w:pPr>
            <w:r>
              <w:rPr>
                <w:rFonts w:asciiTheme="majorEastAsia" w:eastAsiaTheme="majorEastAsia" w:hAnsiTheme="majorEastAsia" w:hint="eastAsia"/>
                <w:bCs/>
                <w:sz w:val="18"/>
                <w:szCs w:val="18"/>
              </w:rPr>
              <w:t>■</w:t>
            </w:r>
            <w:r>
              <w:rPr>
                <w:rFonts w:asciiTheme="majorEastAsia" w:eastAsiaTheme="majorEastAsia" w:hAnsiTheme="majorEastAsia" w:hint="eastAsia"/>
                <w:b/>
                <w:sz w:val="18"/>
                <w:szCs w:val="18"/>
              </w:rPr>
              <w:t>产品管理人设置业绩报酬计提基准。</w:t>
            </w:r>
          </w:p>
          <w:p w:rsidR="005410BB" w:rsidRDefault="005410BB">
            <w:pPr>
              <w:spacing w:line="360" w:lineRule="auto"/>
              <w:rPr>
                <w:rFonts w:ascii="宋体" w:eastAsia="宋体" w:hAnsi="宋体"/>
                <w:bCs/>
                <w:kern w:val="2"/>
                <w:sz w:val="18"/>
                <w:szCs w:val="18"/>
              </w:rPr>
            </w:pPr>
            <w:r>
              <w:rPr>
                <w:rFonts w:ascii="宋体" w:hAnsi="宋体" w:hint="eastAsia"/>
                <w:bCs/>
                <w:sz w:val="18"/>
                <w:szCs w:val="18"/>
              </w:rPr>
              <w:t>业绩报酬计提基准的设定：管理人对本产品设定业绩报酬计提基准：</w:t>
            </w:r>
          </w:p>
          <w:p w:rsidR="005410BB" w:rsidRDefault="005410BB">
            <w:pPr>
              <w:spacing w:line="360" w:lineRule="auto"/>
              <w:rPr>
                <w:rFonts w:ascii="宋体" w:hAnsi="宋体"/>
                <w:bCs/>
                <w:sz w:val="15"/>
                <w:szCs w:val="18"/>
              </w:rPr>
            </w:pPr>
            <w:r>
              <w:rPr>
                <w:rFonts w:hint="eastAsia"/>
                <w:sz w:val="18"/>
              </w:rPr>
              <w:t>【年化</w:t>
            </w:r>
            <w:r>
              <w:rPr>
                <w:sz w:val="18"/>
              </w:rPr>
              <w:t>4.65%</w:t>
            </w:r>
            <w:r>
              <w:rPr>
                <w:rFonts w:hint="eastAsia"/>
                <w:sz w:val="18"/>
              </w:rPr>
              <w:t>】。</w:t>
            </w:r>
          </w:p>
          <w:p w:rsidR="005410BB" w:rsidRDefault="005410BB">
            <w:pPr>
              <w:spacing w:line="360" w:lineRule="auto"/>
              <w:rPr>
                <w:rFonts w:ascii="宋体" w:hAnsi="宋体"/>
                <w:bCs/>
                <w:sz w:val="18"/>
                <w:szCs w:val="18"/>
              </w:rPr>
            </w:pPr>
            <w:r>
              <w:rPr>
                <w:rFonts w:asciiTheme="majorEastAsia" w:eastAsiaTheme="majorEastAsia" w:hAnsiTheme="majorEastAsia" w:hint="eastAsia"/>
                <w:b/>
                <w:sz w:val="18"/>
                <w:szCs w:val="18"/>
              </w:rPr>
              <w:t>□ 产品管理人不设置业绩报酬计提基准。</w:t>
            </w:r>
          </w:p>
          <w:p w:rsidR="005410BB" w:rsidRDefault="005410BB">
            <w:pPr>
              <w:spacing w:line="360" w:lineRule="auto"/>
              <w:rPr>
                <w:rFonts w:ascii="宋体" w:hAnsi="宋体"/>
                <w:b/>
                <w:bCs/>
                <w:sz w:val="18"/>
                <w:szCs w:val="18"/>
              </w:rPr>
            </w:pPr>
            <w:r>
              <w:rPr>
                <w:rFonts w:ascii="宋体" w:hAnsi="宋体" w:hint="eastAsia"/>
                <w:b/>
                <w:bCs/>
                <w:sz w:val="18"/>
                <w:szCs w:val="18"/>
              </w:rPr>
              <w:t>2.</w:t>
            </w:r>
            <w:r>
              <w:rPr>
                <w:rFonts w:ascii="宋体" w:hAnsi="宋体" w:hint="eastAsia"/>
                <w:b/>
                <w:bCs/>
                <w:sz w:val="18"/>
                <w:szCs w:val="18"/>
              </w:rPr>
              <w:t>业绩报酬计提基准的提示：</w:t>
            </w:r>
          </w:p>
          <w:p w:rsidR="005410BB" w:rsidRDefault="005410BB">
            <w:pPr>
              <w:spacing w:line="360" w:lineRule="auto"/>
              <w:rPr>
                <w:rFonts w:ascii="黑体" w:eastAsia="黑体" w:hAnsi="黑体"/>
                <w:bCs/>
                <w:sz w:val="18"/>
                <w:szCs w:val="18"/>
              </w:rPr>
            </w:pPr>
            <w:r>
              <w:rPr>
                <w:rFonts w:ascii="黑体" w:eastAsia="黑体" w:hAnsi="黑体" w:hint="eastAsia"/>
                <w:bCs/>
                <w:sz w:val="18"/>
                <w:szCs w:val="18"/>
              </w:rPr>
              <w:t>（1）业绩报酬计提基准仅作为管理人收取超额业绩报酬的参照数值标准，不代表理财产品未来表现，不等于理财产品实际收益，不作为产品收益的业绩保证，投资须谨慎。</w:t>
            </w:r>
          </w:p>
          <w:p w:rsidR="005410BB" w:rsidRDefault="005410BB">
            <w:pPr>
              <w:widowControl w:val="0"/>
              <w:spacing w:line="360" w:lineRule="auto"/>
              <w:rPr>
                <w:rFonts w:ascii="宋体" w:hAnsi="宋体" w:cs="宋体"/>
                <w:b/>
                <w:bCs/>
                <w:kern w:val="2"/>
                <w:sz w:val="18"/>
                <w:szCs w:val="18"/>
              </w:rPr>
            </w:pPr>
            <w:r>
              <w:rPr>
                <w:rFonts w:ascii="宋体" w:hAnsi="宋体" w:hint="eastAsia"/>
                <w:bCs/>
                <w:sz w:val="18"/>
                <w:szCs w:val="18"/>
              </w:rPr>
              <w:t>（</w:t>
            </w:r>
            <w:r>
              <w:rPr>
                <w:rFonts w:ascii="宋体" w:hAnsi="宋体" w:hint="eastAsia"/>
                <w:bCs/>
                <w:sz w:val="18"/>
                <w:szCs w:val="18"/>
              </w:rPr>
              <w:t>2</w:t>
            </w:r>
            <w:r>
              <w:rPr>
                <w:rFonts w:ascii="宋体" w:hAnsi="宋体" w:hint="eastAsia"/>
                <w:bCs/>
                <w:sz w:val="18"/>
                <w:szCs w:val="18"/>
              </w:rPr>
              <w:t>）如果今后法律法规发生变化，或者有其他代表性更强、更科学客观的业绩报酬计提基准适用于本产品时，经产品管理人和产品托管人协商一致后，本产品可以变更业绩报酬计提基准并及时公告。</w:t>
            </w:r>
          </w:p>
        </w:tc>
      </w:tr>
      <w:tr w:rsidR="005410BB" w:rsidTr="005410BB">
        <w:trPr>
          <w:trHeight w:val="543"/>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Calibri" w:cs="宋体"/>
                <w:kern w:val="2"/>
                <w:sz w:val="18"/>
                <w:szCs w:val="18"/>
              </w:rPr>
            </w:pPr>
            <w:r>
              <w:rPr>
                <w:rFonts w:hAnsi="宋体" w:hint="eastAsia"/>
                <w:b/>
                <w:sz w:val="18"/>
                <w:szCs w:val="18"/>
              </w:rPr>
              <w:t>★</w:t>
            </w:r>
            <w:r>
              <w:rPr>
                <w:rFonts w:hint="eastAsia"/>
                <w:b/>
                <w:sz w:val="18"/>
                <w:szCs w:val="18"/>
              </w:rPr>
              <w:t>理财产品利益分配</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bCs/>
                <w:kern w:val="2"/>
                <w:sz w:val="18"/>
                <w:szCs w:val="18"/>
              </w:rPr>
            </w:pPr>
            <w:r>
              <w:rPr>
                <w:rFonts w:asciiTheme="minorEastAsia" w:hAnsiTheme="minorEastAsia" w:cs="Times New Roman" w:hint="eastAsia"/>
                <w:sz w:val="18"/>
                <w:szCs w:val="18"/>
              </w:rPr>
              <w:t>本产品存续期间不分红。</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kern w:val="2"/>
                <w:sz w:val="18"/>
                <w:szCs w:val="18"/>
              </w:rPr>
            </w:pPr>
            <w:r>
              <w:rPr>
                <w:rFonts w:hAnsi="宋体" w:hint="eastAsia"/>
                <w:sz w:val="18"/>
                <w:szCs w:val="18"/>
              </w:rPr>
              <w:t>★</w:t>
            </w:r>
            <w:r>
              <w:rPr>
                <w:rFonts w:asciiTheme="majorEastAsia" w:eastAsiaTheme="majorEastAsia" w:hAnsiTheme="majorEastAsia" w:hint="eastAsia"/>
                <w:b/>
                <w:bCs/>
                <w:sz w:val="18"/>
                <w:szCs w:val="18"/>
              </w:rPr>
              <w:t>理财产品费用</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spacing w:line="360" w:lineRule="auto"/>
              <w:rPr>
                <w:rFonts w:asciiTheme="majorEastAsia" w:eastAsiaTheme="majorEastAsia" w:hAnsiTheme="majorEastAsia" w:cs="宋体"/>
                <w:bCs/>
                <w:color w:val="000000" w:themeColor="text1"/>
                <w:sz w:val="18"/>
                <w:szCs w:val="18"/>
              </w:rPr>
            </w:pPr>
            <w:r>
              <w:rPr>
                <w:rFonts w:hAnsi="宋体" w:hint="eastAsia"/>
                <w:bCs/>
                <w:sz w:val="18"/>
                <w:szCs w:val="18"/>
              </w:rPr>
              <w:t>（</w:t>
            </w:r>
            <w:r>
              <w:rPr>
                <w:rFonts w:asciiTheme="majorEastAsia" w:eastAsiaTheme="majorEastAsia" w:hAnsiTheme="majorEastAsia" w:hint="eastAsia"/>
                <w:bCs/>
                <w:color w:val="000000" w:themeColor="text1"/>
                <w:sz w:val="18"/>
                <w:szCs w:val="18"/>
              </w:rPr>
              <w:t>适用【A】类份额）</w:t>
            </w:r>
          </w:p>
          <w:p w:rsidR="005410BB" w:rsidRDefault="005410BB">
            <w:pPr>
              <w:spacing w:line="360" w:lineRule="auto"/>
              <w:rPr>
                <w:rFonts w:ascii="宋体" w:eastAsia="宋体" w:hAnsi="宋体"/>
                <w:b/>
                <w:bCs/>
                <w:color w:val="000000" w:themeColor="text1"/>
                <w:sz w:val="18"/>
                <w:szCs w:val="18"/>
              </w:rPr>
            </w:pPr>
            <w:r>
              <w:rPr>
                <w:rFonts w:ascii="宋体" w:hAnsi="宋体" w:hint="eastAsia"/>
                <w:b/>
                <w:bCs/>
                <w:color w:val="000000" w:themeColor="text1"/>
                <w:sz w:val="18"/>
                <w:szCs w:val="18"/>
              </w:rPr>
              <w:t>1.</w:t>
            </w:r>
            <w:r>
              <w:rPr>
                <w:rFonts w:ascii="宋体" w:hAnsi="宋体" w:hint="eastAsia"/>
                <w:b/>
                <w:bCs/>
                <w:color w:val="000000" w:themeColor="text1"/>
                <w:sz w:val="18"/>
                <w:szCs w:val="18"/>
              </w:rPr>
              <w:t>理财产品的费率标准</w:t>
            </w:r>
          </w:p>
          <w:p w:rsidR="005410BB" w:rsidRDefault="005410BB">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lastRenderedPageBreak/>
              <w:t>（</w:t>
            </w:r>
            <w:r>
              <w:rPr>
                <w:rFonts w:ascii="宋体" w:hAnsi="宋体" w:hint="eastAsia"/>
                <w:b/>
                <w:bCs/>
                <w:color w:val="000000" w:themeColor="text1"/>
                <w:sz w:val="18"/>
                <w:szCs w:val="18"/>
              </w:rPr>
              <w:t>1</w:t>
            </w:r>
            <w:r>
              <w:rPr>
                <w:rFonts w:ascii="宋体" w:hAnsi="宋体" w:hint="eastAsia"/>
                <w:b/>
                <w:bCs/>
                <w:color w:val="000000" w:themeColor="text1"/>
                <w:sz w:val="18"/>
                <w:szCs w:val="18"/>
              </w:rPr>
              <w:t>）认购费：</w:t>
            </w:r>
            <w:r>
              <w:rPr>
                <w:rFonts w:ascii="宋体" w:hAnsi="宋体" w:hint="eastAsia"/>
                <w:bCs/>
                <w:color w:val="000000" w:themeColor="text1"/>
                <w:sz w:val="18"/>
                <w:szCs w:val="18"/>
              </w:rPr>
              <w:t>【</w:t>
            </w:r>
            <w:r>
              <w:rPr>
                <w:rFonts w:ascii="宋体" w:hAnsi="宋体" w:hint="eastAsia"/>
                <w:bCs/>
                <w:color w:val="000000" w:themeColor="text1"/>
                <w:sz w:val="18"/>
                <w:szCs w:val="18"/>
              </w:rPr>
              <w:t>/</w:t>
            </w:r>
            <w:r>
              <w:rPr>
                <w:rFonts w:ascii="宋体" w:hAnsi="宋体" w:hint="eastAsia"/>
                <w:bCs/>
                <w:color w:val="000000" w:themeColor="text1"/>
                <w:sz w:val="18"/>
                <w:szCs w:val="18"/>
              </w:rPr>
              <w:t>】。</w:t>
            </w:r>
          </w:p>
          <w:p w:rsidR="005410BB" w:rsidRDefault="005410BB">
            <w:pPr>
              <w:spacing w:line="360" w:lineRule="auto"/>
              <w:rPr>
                <w:rFonts w:ascii="宋体" w:hAnsi="宋体"/>
                <w:b/>
                <w:bCs/>
                <w:color w:val="000000" w:themeColor="text1"/>
                <w:sz w:val="18"/>
                <w:szCs w:val="18"/>
              </w:rPr>
            </w:pPr>
            <w:r>
              <w:rPr>
                <w:rFonts w:asciiTheme="majorEastAsia" w:eastAsiaTheme="majorEastAsia" w:hAnsiTheme="majorEastAsia" w:hint="eastAsia"/>
                <w:b/>
                <w:bCs/>
                <w:color w:val="000000" w:themeColor="text1"/>
                <w:sz w:val="18"/>
                <w:szCs w:val="18"/>
              </w:rPr>
              <w:t>（2）销售服</w:t>
            </w:r>
            <w:r>
              <w:rPr>
                <w:rFonts w:ascii="宋体" w:hAnsi="宋体" w:hint="eastAsia"/>
                <w:b/>
                <w:bCs/>
                <w:color w:val="000000" w:themeColor="text1"/>
                <w:sz w:val="18"/>
                <w:szCs w:val="18"/>
              </w:rPr>
              <w:t>务费：</w:t>
            </w:r>
          </w:p>
          <w:p w:rsidR="005410BB" w:rsidRDefault="005410BB">
            <w:pPr>
              <w:spacing w:line="360" w:lineRule="auto"/>
              <w:rPr>
                <w:rFonts w:asciiTheme="majorEastAsia" w:eastAsiaTheme="majorEastAsia" w:hAnsiTheme="majorEastAsia"/>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【0.15%】</w:t>
            </w:r>
            <w:r>
              <w:rPr>
                <w:rFonts w:ascii="宋体" w:hAnsi="宋体" w:hint="eastAsia"/>
                <w:bCs/>
                <w:color w:val="000000" w:themeColor="text1"/>
                <w:sz w:val="18"/>
                <w:szCs w:val="18"/>
              </w:rPr>
              <w:t>。</w:t>
            </w:r>
          </w:p>
          <w:p w:rsidR="005410BB" w:rsidRDefault="005410BB">
            <w:pPr>
              <w:spacing w:line="360" w:lineRule="auto"/>
              <w:rPr>
                <w:rFonts w:ascii="宋体" w:eastAsia="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3</w:t>
            </w:r>
            <w:r>
              <w:rPr>
                <w:rFonts w:ascii="宋体" w:hAnsi="宋体" w:hint="eastAsia"/>
                <w:b/>
                <w:bCs/>
                <w:color w:val="000000" w:themeColor="text1"/>
                <w:sz w:val="18"/>
                <w:szCs w:val="18"/>
              </w:rPr>
              <w:t>）投资管理费：</w:t>
            </w:r>
          </w:p>
          <w:p w:rsidR="005410BB" w:rsidRDefault="005410BB">
            <w:pPr>
              <w:spacing w:line="360" w:lineRule="auto"/>
              <w:rPr>
                <w:rFonts w:ascii="宋体" w:hAnsi="宋体"/>
                <w:bCs/>
                <w:color w:val="000000" w:themeColor="text1"/>
                <w:sz w:val="18"/>
                <w:szCs w:val="18"/>
              </w:rPr>
            </w:pP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【0.15%】</w:t>
            </w:r>
            <w:r>
              <w:rPr>
                <w:rFonts w:ascii="宋体" w:hAnsi="宋体" w:hint="eastAsia"/>
                <w:bCs/>
                <w:color w:val="000000" w:themeColor="text1"/>
                <w:sz w:val="18"/>
                <w:szCs w:val="18"/>
              </w:rPr>
              <w:t>。</w:t>
            </w:r>
          </w:p>
          <w:p w:rsidR="005410BB" w:rsidRDefault="005410BB">
            <w:pPr>
              <w:spacing w:line="360" w:lineRule="auto"/>
              <w:rPr>
                <w:rFonts w:ascii="宋体" w:hAnsi="宋体"/>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4</w:t>
            </w:r>
            <w:r>
              <w:rPr>
                <w:rFonts w:ascii="宋体" w:hAnsi="宋体" w:hint="eastAsia"/>
                <w:b/>
                <w:bCs/>
                <w:color w:val="000000" w:themeColor="text1"/>
                <w:sz w:val="18"/>
                <w:szCs w:val="18"/>
              </w:rPr>
              <w:t>）产品托管费：</w:t>
            </w:r>
            <w:r>
              <w:rPr>
                <w:rFonts w:asciiTheme="majorEastAsia" w:eastAsiaTheme="majorEastAsia" w:hAnsiTheme="majorEastAsia" w:hint="eastAsia"/>
                <w:bCs/>
                <w:sz w:val="18"/>
                <w:szCs w:val="18"/>
              </w:rPr>
              <w:t>年化费率</w:t>
            </w:r>
            <w:r>
              <w:rPr>
                <w:rFonts w:asciiTheme="majorEastAsia" w:eastAsiaTheme="majorEastAsia" w:hAnsiTheme="majorEastAsia" w:hint="eastAsia"/>
                <w:sz w:val="18"/>
                <w:szCs w:val="18"/>
              </w:rPr>
              <w:t>【0.03%】</w:t>
            </w:r>
            <w:r>
              <w:rPr>
                <w:rFonts w:ascii="宋体" w:hAnsi="宋体" w:hint="eastAsia"/>
                <w:bCs/>
                <w:color w:val="000000" w:themeColor="text1"/>
                <w:sz w:val="18"/>
                <w:szCs w:val="18"/>
              </w:rPr>
              <w:t>。</w:t>
            </w:r>
          </w:p>
          <w:p w:rsidR="005410BB" w:rsidRDefault="005410BB">
            <w:pPr>
              <w:spacing w:line="360" w:lineRule="auto"/>
              <w:rPr>
                <w:rFonts w:ascii="宋体" w:hAnsi="宋体"/>
                <w:b/>
                <w:bCs/>
                <w:color w:val="000000" w:themeColor="text1"/>
                <w:sz w:val="18"/>
                <w:szCs w:val="18"/>
              </w:rPr>
            </w:pPr>
            <w:r>
              <w:rPr>
                <w:rFonts w:ascii="宋体" w:hAnsi="宋体" w:hint="eastAsia"/>
                <w:b/>
                <w:bCs/>
                <w:color w:val="000000" w:themeColor="text1"/>
                <w:sz w:val="18"/>
                <w:szCs w:val="18"/>
              </w:rPr>
              <w:t>（</w:t>
            </w:r>
            <w:r>
              <w:rPr>
                <w:rFonts w:ascii="宋体" w:hAnsi="宋体" w:hint="eastAsia"/>
                <w:b/>
                <w:bCs/>
                <w:color w:val="000000" w:themeColor="text1"/>
                <w:sz w:val="18"/>
                <w:szCs w:val="18"/>
              </w:rPr>
              <w:t>5</w:t>
            </w:r>
            <w:r>
              <w:rPr>
                <w:rFonts w:ascii="宋体" w:hAnsi="宋体" w:hint="eastAsia"/>
                <w:b/>
                <w:bCs/>
                <w:color w:val="000000" w:themeColor="text1"/>
                <w:sz w:val="18"/>
                <w:szCs w:val="18"/>
              </w:rPr>
              <w:t>）超额业绩报酬：</w:t>
            </w:r>
          </w:p>
          <w:p w:rsidR="005410BB" w:rsidRDefault="005410BB">
            <w:pPr>
              <w:spacing w:line="360" w:lineRule="auto"/>
              <w:rPr>
                <w:rFonts w:asciiTheme="majorEastAsia" w:eastAsiaTheme="majorEastAsia" w:hAnsiTheme="majorEastAsia"/>
                <w:bCs/>
                <w:sz w:val="18"/>
                <w:szCs w:val="18"/>
              </w:rPr>
            </w:pPr>
            <w:r>
              <w:rPr>
                <w:rFonts w:asciiTheme="majorEastAsia" w:eastAsiaTheme="majorEastAsia" w:hAnsiTheme="majorEastAsia" w:hint="eastAsia"/>
                <w:bCs/>
                <w:sz w:val="18"/>
                <w:szCs w:val="18"/>
              </w:rPr>
              <w:t>每份产品份额在超额业绩报酬计提日时，若理财资产扣除销售服务费、产品托管费和投资管理费等相关费用后，超额业绩报酬计提日产品份额净值折算</w:t>
            </w:r>
            <w:proofErr w:type="gramStart"/>
            <w:r>
              <w:rPr>
                <w:rFonts w:asciiTheme="majorEastAsia" w:eastAsiaTheme="majorEastAsia" w:hAnsiTheme="majorEastAsia" w:hint="eastAsia"/>
                <w:bCs/>
                <w:sz w:val="18"/>
                <w:szCs w:val="18"/>
              </w:rPr>
              <w:t>的年化收益率</w:t>
            </w:r>
            <w:proofErr w:type="gramEnd"/>
            <w:r>
              <w:rPr>
                <w:rFonts w:asciiTheme="majorEastAsia" w:eastAsiaTheme="majorEastAsia" w:hAnsiTheme="majorEastAsia" w:hint="eastAsia"/>
                <w:bCs/>
                <w:sz w:val="18"/>
                <w:szCs w:val="18"/>
              </w:rPr>
              <w:t>超过业绩报酬计提基准，则产品管理人收取超出部分的【50%】作为超额业绩报酬。</w:t>
            </w:r>
          </w:p>
          <w:p w:rsidR="005410BB" w:rsidRDefault="005410BB">
            <w:pPr>
              <w:widowControl w:val="0"/>
              <w:spacing w:line="360" w:lineRule="auto"/>
              <w:jc w:val="both"/>
              <w:rPr>
                <w:rFonts w:ascii="黑体" w:eastAsia="黑体" w:hAnsi="黑体" w:cs="宋体"/>
                <w:bCs/>
                <w:kern w:val="2"/>
                <w:sz w:val="18"/>
                <w:szCs w:val="18"/>
              </w:rPr>
            </w:pPr>
            <w:r>
              <w:rPr>
                <w:rFonts w:ascii="宋体" w:hAnsi="宋体" w:hint="eastAsia"/>
                <w:bCs/>
                <w:sz w:val="18"/>
                <w:szCs w:val="18"/>
              </w:rPr>
              <w:t>2</w:t>
            </w:r>
            <w:r>
              <w:rPr>
                <w:rFonts w:asciiTheme="majorEastAsia" w:eastAsiaTheme="majorEastAsia" w:hAnsiTheme="majorEastAsia" w:hint="eastAsia"/>
                <w:bCs/>
                <w:sz w:val="18"/>
                <w:szCs w:val="18"/>
              </w:rPr>
              <w:t>.</w:t>
            </w:r>
            <w:r>
              <w:rPr>
                <w:rFonts w:ascii="黑体" w:eastAsia="黑体" w:hAnsi="黑体" w:hint="eastAsia"/>
                <w:bCs/>
                <w:sz w:val="18"/>
                <w:szCs w:val="18"/>
              </w:rPr>
              <w:t>产品管理人保留变更上述理财产品收取费率标准的权利。</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Calibri" w:hAnsi="宋体" w:cs="宋体"/>
                <w:kern w:val="2"/>
                <w:sz w:val="18"/>
                <w:szCs w:val="18"/>
              </w:rPr>
            </w:pPr>
            <w:r>
              <w:rPr>
                <w:rFonts w:ascii="宋体" w:hAnsi="宋体" w:hint="eastAsia"/>
                <w:b/>
                <w:bCs/>
                <w:sz w:val="18"/>
                <w:szCs w:val="18"/>
              </w:rPr>
              <w:lastRenderedPageBreak/>
              <w:t>税收</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jc w:val="both"/>
              <w:rPr>
                <w:rFonts w:ascii="宋体" w:hAnsi="宋体" w:cs="宋体"/>
                <w:bCs/>
                <w:color w:val="000000" w:themeColor="text1"/>
                <w:kern w:val="2"/>
                <w:sz w:val="18"/>
                <w:szCs w:val="18"/>
              </w:rPr>
            </w:pPr>
            <w:r>
              <w:rPr>
                <w:rFonts w:hAnsi="宋体" w:cs="仿宋_GB2312" w:hint="eastAsia"/>
                <w:sz w:val="18"/>
                <w:szCs w:val="18"/>
              </w:rPr>
              <w:t>本理财产品运作过程中涉及的各纳税主体，其纳税义务按国家税收法律、法规执行。</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理财产品份额的转让</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kern w:val="2"/>
                <w:sz w:val="18"/>
                <w:szCs w:val="18"/>
              </w:rPr>
            </w:pPr>
            <w:r>
              <w:rPr>
                <w:rFonts w:ascii="宋体" w:hAnsi="宋体" w:hint="eastAsia"/>
                <w:sz w:val="18"/>
                <w:szCs w:val="18"/>
              </w:rPr>
              <w:t>理财产品份额的转让将依照理财产品销售文件及销售机构的业务政策执行。</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sz w:val="18"/>
                <w:szCs w:val="18"/>
              </w:rPr>
              <w:t>理财产品份额的质押</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kern w:val="2"/>
                <w:sz w:val="18"/>
                <w:szCs w:val="18"/>
              </w:rPr>
            </w:pPr>
            <w:r>
              <w:rPr>
                <w:rFonts w:ascii="宋体" w:hAnsi="宋体" w:hint="eastAsia"/>
                <w:sz w:val="18"/>
                <w:szCs w:val="18"/>
              </w:rPr>
              <w:t>理财产品份额的质押将依照理财产品销售文件及销售机构的业务政策执行。</w:t>
            </w:r>
          </w:p>
        </w:tc>
      </w:tr>
      <w:tr w:rsidR="005410BB" w:rsidTr="005410BB">
        <w:trPr>
          <w:trHeight w:val="275"/>
          <w:jc w:val="center"/>
        </w:trPr>
        <w:tc>
          <w:tcPr>
            <w:tcW w:w="1970"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Theme="majorEastAsia" w:eastAsiaTheme="majorEastAsia" w:hAnsiTheme="majorEastAsia" w:cs="宋体"/>
                <w:b/>
                <w:kern w:val="2"/>
                <w:sz w:val="18"/>
                <w:szCs w:val="18"/>
              </w:rPr>
            </w:pPr>
            <w:r>
              <w:rPr>
                <w:rFonts w:asciiTheme="majorEastAsia" w:eastAsiaTheme="majorEastAsia" w:hAnsiTheme="majorEastAsia" w:hint="eastAsia"/>
                <w:b/>
                <w:bCs/>
                <w:sz w:val="18"/>
                <w:szCs w:val="18"/>
              </w:rPr>
              <w:t>本产品投资的金融衍生品</w:t>
            </w:r>
          </w:p>
        </w:tc>
        <w:tc>
          <w:tcPr>
            <w:tcW w:w="7674" w:type="dxa"/>
            <w:tcBorders>
              <w:top w:val="single" w:sz="12" w:space="0" w:color="auto"/>
              <w:left w:val="single" w:sz="12" w:space="0" w:color="auto"/>
              <w:bottom w:val="single" w:sz="12" w:space="0" w:color="auto"/>
              <w:right w:val="single" w:sz="12" w:space="0" w:color="auto"/>
            </w:tcBorders>
            <w:shd w:val="solid" w:color="FFFFFF" w:fill="FFFFFF"/>
            <w:vAlign w:val="center"/>
            <w:hideMark/>
          </w:tcPr>
          <w:p w:rsidR="005410BB" w:rsidRDefault="005410BB">
            <w:pPr>
              <w:widowControl w:val="0"/>
              <w:spacing w:line="360" w:lineRule="auto"/>
              <w:rPr>
                <w:rFonts w:ascii="宋体" w:hAnsi="宋体" w:cs="宋体"/>
                <w:kern w:val="2"/>
                <w:sz w:val="18"/>
                <w:szCs w:val="18"/>
              </w:rPr>
            </w:pPr>
            <w:r>
              <w:rPr>
                <w:rFonts w:ascii="宋体" w:hAnsi="宋体" w:hint="eastAsia"/>
                <w:sz w:val="18"/>
                <w:szCs w:val="18"/>
              </w:rPr>
              <w:t>本产品所投资的“金融衍生品”</w:t>
            </w:r>
            <w:r>
              <w:rPr>
                <w:rFonts w:hAnsi="宋体" w:hint="eastAsia"/>
                <w:sz w:val="18"/>
                <w:szCs w:val="18"/>
              </w:rPr>
              <w:t>（【</w:t>
            </w:r>
            <w:r>
              <w:rPr>
                <w:rFonts w:hAnsi="宋体" w:hint="eastAsia"/>
                <w:b/>
                <w:bCs/>
                <w:sz w:val="18"/>
                <w:szCs w:val="18"/>
              </w:rPr>
              <w:t>看涨自动敲出期权</w:t>
            </w:r>
            <w:r>
              <w:rPr>
                <w:rFonts w:hAnsi="宋体" w:hint="eastAsia"/>
                <w:sz w:val="18"/>
                <w:szCs w:val="18"/>
              </w:rPr>
              <w:t>】）</w:t>
            </w:r>
            <w:r>
              <w:rPr>
                <w:rFonts w:ascii="宋体" w:hAnsi="宋体" w:hint="eastAsia"/>
                <w:sz w:val="18"/>
                <w:szCs w:val="18"/>
              </w:rPr>
              <w:t>，详见“第五条理财产品的投资”</w:t>
            </w:r>
          </w:p>
        </w:tc>
      </w:tr>
    </w:tbl>
    <w:p w:rsidR="00C934C7" w:rsidRDefault="0068015B">
      <w:pPr>
        <w:adjustRightInd/>
        <w:snapToGrid/>
        <w:spacing w:after="0"/>
        <w:ind w:firstLine="630"/>
        <w:jc w:val="center"/>
        <w:rPr>
          <w:rFonts w:ascii="仿宋_GB2312" w:eastAsia="仿宋_GB2312" w:hAnsi="微软雅黑" w:cs="宋体"/>
          <w:color w:val="FF0000"/>
          <w:sz w:val="32"/>
          <w:szCs w:val="32"/>
        </w:rPr>
      </w:pPr>
      <w:r>
        <w:rPr>
          <w:rFonts w:ascii="仿宋_GB2312" w:eastAsia="仿宋_GB2312" w:hAnsi="微软雅黑" w:cs="宋体" w:hint="eastAsia"/>
          <w:color w:val="FF0000"/>
          <w:sz w:val="32"/>
          <w:szCs w:val="32"/>
        </w:rPr>
        <w:t>（更多具体要素请详</w:t>
      </w:r>
      <w:proofErr w:type="gramStart"/>
      <w:r>
        <w:rPr>
          <w:rFonts w:ascii="仿宋_GB2312" w:eastAsia="仿宋_GB2312" w:hAnsi="微软雅黑" w:cs="宋体" w:hint="eastAsia"/>
          <w:color w:val="FF0000"/>
          <w:sz w:val="32"/>
          <w:szCs w:val="32"/>
        </w:rPr>
        <w:t>阅产品</w:t>
      </w:r>
      <w:proofErr w:type="gramEnd"/>
      <w:r>
        <w:rPr>
          <w:rFonts w:ascii="仿宋_GB2312" w:eastAsia="仿宋_GB2312" w:hAnsi="微软雅黑" w:cs="宋体" w:hint="eastAsia"/>
          <w:color w:val="FF0000"/>
          <w:sz w:val="32"/>
          <w:szCs w:val="32"/>
        </w:rPr>
        <w:t>说明书）</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注意事项：</w:t>
      </w:r>
    </w:p>
    <w:p w:rsidR="00C934C7" w:rsidRDefault="0068015B">
      <w:pPr>
        <w:adjustRightInd/>
        <w:snapToGrid/>
        <w:spacing w:after="0"/>
        <w:ind w:firstLineChars="200" w:firstLine="640"/>
        <w:rPr>
          <w:rFonts w:ascii="微软雅黑" w:hAnsi="微软雅黑" w:cs="宋体"/>
          <w:color w:val="000000"/>
          <w:sz w:val="30"/>
          <w:szCs w:val="30"/>
        </w:rPr>
      </w:pPr>
      <w:r>
        <w:rPr>
          <w:rFonts w:ascii="仿宋_GB2312" w:eastAsia="仿宋_GB2312" w:hAnsi="微软雅黑" w:cs="宋体" w:hint="eastAsia"/>
          <w:color w:val="000000"/>
          <w:sz w:val="32"/>
          <w:szCs w:val="32"/>
        </w:rPr>
        <w:t>1.该产品销售要求参照我行自营理财销售相关规定执行。</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2.相关产品销售文件见附件。</w:t>
      </w:r>
    </w:p>
    <w:p w:rsidR="00C934C7" w:rsidRDefault="0068015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3.如有其他未尽事宜以私人银行</w:t>
      </w:r>
      <w:proofErr w:type="gramStart"/>
      <w:r>
        <w:rPr>
          <w:rFonts w:ascii="仿宋_GB2312" w:eastAsia="仿宋_GB2312" w:hAnsi="微软雅黑" w:cs="宋体" w:hint="eastAsia"/>
          <w:color w:val="000000"/>
          <w:sz w:val="32"/>
          <w:szCs w:val="32"/>
        </w:rPr>
        <w:t>部解释</w:t>
      </w:r>
      <w:proofErr w:type="gramEnd"/>
      <w:r>
        <w:rPr>
          <w:rFonts w:ascii="仿宋_GB2312" w:eastAsia="仿宋_GB2312" w:hAnsi="微软雅黑" w:cs="宋体" w:hint="eastAsia"/>
          <w:color w:val="000000"/>
          <w:sz w:val="32"/>
          <w:szCs w:val="32"/>
        </w:rPr>
        <w:t>为准。</w:t>
      </w:r>
    </w:p>
    <w:p w:rsidR="00C934C7" w:rsidRDefault="00C934C7">
      <w:pPr>
        <w:adjustRightInd/>
        <w:snapToGrid/>
        <w:spacing w:after="0"/>
        <w:rPr>
          <w:rFonts w:ascii="微软雅黑" w:hAnsi="微软雅黑" w:cs="宋体"/>
          <w:color w:val="000000"/>
          <w:sz w:val="30"/>
          <w:szCs w:val="30"/>
        </w:rPr>
      </w:pPr>
    </w:p>
    <w:p w:rsidR="00D6704B" w:rsidRDefault="0068015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附件：1.</w:t>
      </w:r>
      <w:r w:rsidR="00D6704B"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B20362">
        <w:rPr>
          <w:rFonts w:ascii="仿宋_GB2312" w:eastAsia="仿宋_GB2312" w:hAnsi="微软雅黑" w:cs="宋体" w:hint="eastAsia"/>
          <w:color w:val="000000"/>
          <w:sz w:val="32"/>
          <w:szCs w:val="32"/>
        </w:rPr>
        <w:t>封闭式38号</w:t>
      </w:r>
      <w:r w:rsidR="00E0416D" w:rsidRPr="00E0416D">
        <w:rPr>
          <w:rFonts w:ascii="仿宋_GB2312" w:eastAsia="仿宋_GB2312" w:hAnsi="微软雅黑" w:cs="宋体" w:hint="eastAsia"/>
          <w:color w:val="000000"/>
          <w:sz w:val="32"/>
          <w:szCs w:val="32"/>
        </w:rPr>
        <w:t>增强型固收类</w:t>
      </w:r>
      <w:r w:rsidR="00D6704B" w:rsidRPr="00D6704B">
        <w:rPr>
          <w:rFonts w:ascii="仿宋_GB2312" w:eastAsia="仿宋_GB2312" w:hAnsi="微软雅黑" w:cs="宋体" w:hint="eastAsia"/>
          <w:color w:val="000000"/>
          <w:sz w:val="32"/>
          <w:szCs w:val="32"/>
        </w:rPr>
        <w:t>】理财产品投资协议书</w:t>
      </w:r>
    </w:p>
    <w:p w:rsidR="00D6704B" w:rsidRDefault="00D6704B" w:rsidP="00D6704B">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lastRenderedPageBreak/>
        <w:t xml:space="preserve">      </w:t>
      </w:r>
      <w:r w:rsidR="008026DB">
        <w:rPr>
          <w:rFonts w:ascii="仿宋_GB2312" w:eastAsia="仿宋_GB2312" w:hAnsi="微软雅黑" w:cs="宋体" w:hint="eastAsia"/>
          <w:color w:val="000000"/>
          <w:sz w:val="32"/>
          <w:szCs w:val="32"/>
        </w:rPr>
        <w:t>2.</w:t>
      </w:r>
      <w:r w:rsidRPr="00D6704B">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B20362">
        <w:rPr>
          <w:rFonts w:ascii="仿宋_GB2312" w:eastAsia="仿宋_GB2312" w:hAnsi="微软雅黑" w:cs="宋体" w:hint="eastAsia"/>
          <w:color w:val="000000"/>
          <w:sz w:val="32"/>
          <w:szCs w:val="32"/>
        </w:rPr>
        <w:t>封闭式38号</w:t>
      </w:r>
      <w:r w:rsidR="00E0416D" w:rsidRPr="00E0416D">
        <w:rPr>
          <w:rFonts w:ascii="仿宋_GB2312" w:eastAsia="仿宋_GB2312" w:hAnsi="微软雅黑" w:cs="宋体" w:hint="eastAsia"/>
          <w:color w:val="000000"/>
          <w:sz w:val="32"/>
          <w:szCs w:val="32"/>
        </w:rPr>
        <w:t>增强型固收类</w:t>
      </w:r>
      <w:r w:rsidRPr="00D6704B">
        <w:rPr>
          <w:rFonts w:ascii="仿宋_GB2312" w:eastAsia="仿宋_GB2312" w:hAnsi="微软雅黑" w:cs="宋体" w:hint="eastAsia"/>
          <w:color w:val="000000"/>
          <w:sz w:val="32"/>
          <w:szCs w:val="32"/>
        </w:rPr>
        <w:t>】理财产品说明书</w:t>
      </w:r>
    </w:p>
    <w:p w:rsidR="00411704" w:rsidRDefault="00D6704B"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3.</w:t>
      </w:r>
      <w:r w:rsidR="00411704"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B20362">
        <w:rPr>
          <w:rFonts w:ascii="仿宋_GB2312" w:eastAsia="仿宋_GB2312" w:hAnsi="微软雅黑" w:cs="宋体" w:hint="eastAsia"/>
          <w:color w:val="000000"/>
          <w:sz w:val="32"/>
          <w:szCs w:val="32"/>
        </w:rPr>
        <w:t>封闭式38号</w:t>
      </w:r>
      <w:r w:rsidR="00E0416D" w:rsidRPr="00E0416D">
        <w:rPr>
          <w:rFonts w:ascii="仿宋_GB2312" w:eastAsia="仿宋_GB2312" w:hAnsi="微软雅黑" w:cs="宋体" w:hint="eastAsia"/>
          <w:color w:val="000000"/>
          <w:sz w:val="32"/>
          <w:szCs w:val="32"/>
        </w:rPr>
        <w:t>增强型固收类</w:t>
      </w:r>
      <w:r w:rsidR="00411704" w:rsidRPr="00411704">
        <w:rPr>
          <w:rFonts w:ascii="仿宋_GB2312" w:eastAsia="仿宋_GB2312" w:hAnsi="微软雅黑" w:cs="宋体" w:hint="eastAsia"/>
          <w:color w:val="000000"/>
          <w:sz w:val="32"/>
          <w:szCs w:val="32"/>
        </w:rPr>
        <w:t>】理财产品（代理）销售协议书</w:t>
      </w:r>
    </w:p>
    <w:p w:rsidR="00411704" w:rsidRDefault="00411704" w:rsidP="00411704">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68015B">
        <w:rPr>
          <w:rFonts w:ascii="仿宋_GB2312" w:eastAsia="仿宋_GB2312" w:hAnsi="微软雅黑" w:cs="宋体" w:hint="eastAsia"/>
          <w:color w:val="000000"/>
          <w:sz w:val="32"/>
          <w:szCs w:val="32"/>
        </w:rPr>
        <w:t>4.</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B20362">
        <w:rPr>
          <w:rFonts w:ascii="仿宋_GB2312" w:eastAsia="仿宋_GB2312" w:hAnsi="微软雅黑" w:cs="宋体" w:hint="eastAsia"/>
          <w:color w:val="000000"/>
          <w:sz w:val="32"/>
          <w:szCs w:val="32"/>
        </w:rPr>
        <w:t>封闭式38号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】理财产品风险揭示书</w:t>
      </w:r>
    </w:p>
    <w:p w:rsidR="00C934C7" w:rsidRPr="009972AD" w:rsidRDefault="00411704" w:rsidP="009972AD">
      <w:pPr>
        <w:adjustRightInd/>
        <w:snapToGrid/>
        <w:spacing w:after="0"/>
        <w:ind w:firstLineChars="200" w:firstLine="640"/>
        <w:rPr>
          <w:rFonts w:ascii="仿宋_GB2312" w:eastAsia="仿宋_GB2312" w:hAnsi="微软雅黑" w:cs="宋体"/>
          <w:color w:val="000000"/>
          <w:sz w:val="32"/>
          <w:szCs w:val="32"/>
        </w:rPr>
      </w:pPr>
      <w:r>
        <w:rPr>
          <w:rFonts w:ascii="仿宋_GB2312" w:eastAsia="仿宋_GB2312" w:hAnsi="微软雅黑" w:cs="宋体" w:hint="eastAsia"/>
          <w:color w:val="000000"/>
          <w:sz w:val="32"/>
          <w:szCs w:val="32"/>
        </w:rPr>
        <w:t xml:space="preserve">      </w:t>
      </w:r>
      <w:r w:rsidR="008026DB">
        <w:rPr>
          <w:rFonts w:ascii="仿宋_GB2312" w:eastAsia="仿宋_GB2312" w:hAnsi="微软雅黑" w:cs="宋体" w:hint="eastAsia"/>
          <w:color w:val="000000"/>
          <w:sz w:val="32"/>
          <w:szCs w:val="32"/>
        </w:rPr>
        <w:t>5.</w:t>
      </w:r>
      <w:r w:rsidRPr="00411704">
        <w:rPr>
          <w:rFonts w:ascii="仿宋_GB2312" w:eastAsia="仿宋_GB2312" w:hAnsi="微软雅黑" w:cs="宋体" w:hint="eastAsia"/>
          <w:color w:val="000000"/>
          <w:sz w:val="32"/>
          <w:szCs w:val="32"/>
        </w:rPr>
        <w:t>兴银理财【</w:t>
      </w:r>
      <w:r w:rsidR="00E0416D" w:rsidRPr="00E0416D">
        <w:rPr>
          <w:rFonts w:ascii="仿宋_GB2312" w:eastAsia="仿宋_GB2312" w:hAnsi="微软雅黑" w:cs="宋体" w:hint="eastAsia"/>
          <w:color w:val="000000"/>
          <w:sz w:val="32"/>
          <w:szCs w:val="32"/>
        </w:rPr>
        <w:t>丰利</w:t>
      </w:r>
      <w:r w:rsidR="00AB17CA">
        <w:rPr>
          <w:rFonts w:ascii="仿宋_GB2312" w:eastAsia="仿宋_GB2312" w:hAnsi="微软雅黑" w:cs="宋体" w:hint="eastAsia"/>
          <w:color w:val="000000"/>
          <w:sz w:val="32"/>
          <w:szCs w:val="32"/>
        </w:rPr>
        <w:t>兴动多策略</w:t>
      </w:r>
      <w:r w:rsidR="00B20362">
        <w:rPr>
          <w:rFonts w:ascii="仿宋_GB2312" w:eastAsia="仿宋_GB2312" w:hAnsi="微软雅黑" w:cs="宋体" w:hint="eastAsia"/>
          <w:color w:val="000000"/>
          <w:sz w:val="32"/>
          <w:szCs w:val="32"/>
        </w:rPr>
        <w:t>封闭式38号</w:t>
      </w:r>
      <w:r w:rsidR="00E0416D" w:rsidRPr="00E0416D">
        <w:rPr>
          <w:rFonts w:ascii="仿宋_GB2312" w:eastAsia="仿宋_GB2312" w:hAnsi="微软雅黑" w:cs="宋体" w:hint="eastAsia"/>
          <w:color w:val="000000"/>
          <w:sz w:val="32"/>
          <w:szCs w:val="32"/>
        </w:rPr>
        <w:t>增强型固收类</w:t>
      </w:r>
      <w:r w:rsidRPr="00411704">
        <w:rPr>
          <w:rFonts w:ascii="仿宋_GB2312" w:eastAsia="仿宋_GB2312" w:hAnsi="微软雅黑" w:cs="宋体" w:hint="eastAsia"/>
          <w:color w:val="000000"/>
          <w:sz w:val="32"/>
          <w:szCs w:val="32"/>
        </w:rPr>
        <w:t>】理财产品投资者权益须知</w:t>
      </w:r>
    </w:p>
    <w:p w:rsidR="00C934C7" w:rsidRPr="004F5EEB" w:rsidRDefault="004F5EEB" w:rsidP="004F5EEB">
      <w:pPr>
        <w:adjustRightInd/>
        <w:snapToGrid/>
        <w:spacing w:after="0"/>
        <w:ind w:firstLineChars="200" w:firstLine="600"/>
        <w:rPr>
          <w:rFonts w:ascii="仿宋_GB2312" w:eastAsia="仿宋_GB2312" w:hAnsi="微软雅黑" w:cs="宋体"/>
          <w:color w:val="000000"/>
          <w:sz w:val="32"/>
          <w:szCs w:val="32"/>
        </w:rPr>
      </w:pPr>
      <w:r>
        <w:rPr>
          <w:rFonts w:ascii="微软雅黑" w:hAnsi="微软雅黑" w:cs="宋体" w:hint="eastAsia"/>
          <w:color w:val="000000"/>
          <w:sz w:val="30"/>
          <w:szCs w:val="30"/>
        </w:rPr>
        <w:t xml:space="preserve">         </w:t>
      </w:r>
      <w:r>
        <w:rPr>
          <w:rFonts w:ascii="仿宋_GB2312" w:eastAsia="仿宋_GB2312" w:hAnsi="微软雅黑" w:cs="宋体" w:hint="eastAsia"/>
          <w:color w:val="000000"/>
          <w:sz w:val="32"/>
          <w:szCs w:val="32"/>
        </w:rPr>
        <w:t xml:space="preserve"> </w:t>
      </w:r>
      <w:r w:rsidRPr="004F5EEB">
        <w:rPr>
          <w:rFonts w:ascii="仿宋_GB2312" w:eastAsia="仿宋_GB2312" w:hAnsi="微软雅黑" w:cs="宋体" w:hint="eastAsia"/>
          <w:color w:val="000000"/>
          <w:sz w:val="32"/>
          <w:szCs w:val="32"/>
        </w:rPr>
        <w:t>6.理财系统操作指引</w:t>
      </w:r>
    </w:p>
    <w:p w:rsidR="004F5EEB" w:rsidRDefault="004F5EEB">
      <w:pPr>
        <w:adjustRightInd/>
        <w:snapToGrid/>
        <w:spacing w:after="0"/>
        <w:ind w:firstLine="5760"/>
        <w:rPr>
          <w:rFonts w:ascii="仿宋_GB2312" w:eastAsia="仿宋_GB2312" w:hAnsi="微软雅黑" w:cs="宋体"/>
          <w:color w:val="000000"/>
          <w:sz w:val="32"/>
          <w:szCs w:val="32"/>
        </w:rPr>
      </w:pPr>
    </w:p>
    <w:p w:rsidR="00C934C7" w:rsidRDefault="0068015B">
      <w:pPr>
        <w:adjustRightInd/>
        <w:snapToGrid/>
        <w:spacing w:after="0"/>
        <w:ind w:firstLine="5760"/>
        <w:rPr>
          <w:rFonts w:ascii="微软雅黑" w:hAnsi="微软雅黑" w:cs="宋体"/>
          <w:color w:val="000000"/>
          <w:sz w:val="30"/>
          <w:szCs w:val="30"/>
        </w:rPr>
      </w:pPr>
      <w:r>
        <w:rPr>
          <w:rFonts w:ascii="仿宋_GB2312" w:eastAsia="仿宋_GB2312" w:hAnsi="微软雅黑" w:cs="宋体" w:hint="eastAsia"/>
          <w:color w:val="000000"/>
          <w:sz w:val="32"/>
          <w:szCs w:val="32"/>
        </w:rPr>
        <w:t>私人银行部</w:t>
      </w:r>
    </w:p>
    <w:p w:rsidR="00C934C7" w:rsidRDefault="0068015B">
      <w:pPr>
        <w:adjustRightInd/>
        <w:snapToGrid/>
        <w:spacing w:after="0"/>
        <w:ind w:firstLine="5445"/>
      </w:pPr>
      <w:r>
        <w:rPr>
          <w:rFonts w:ascii="仿宋_GB2312" w:eastAsia="仿宋_GB2312" w:hAnsi="微软雅黑" w:cs="宋体" w:hint="eastAsia"/>
          <w:color w:val="000000"/>
          <w:sz w:val="32"/>
          <w:szCs w:val="32"/>
        </w:rPr>
        <w:t>202</w:t>
      </w:r>
      <w:r w:rsidR="0018184D">
        <w:rPr>
          <w:rFonts w:ascii="仿宋_GB2312" w:eastAsia="仿宋_GB2312" w:hAnsi="微软雅黑" w:cs="宋体" w:hint="eastAsia"/>
          <w:color w:val="000000"/>
          <w:sz w:val="32"/>
          <w:szCs w:val="32"/>
        </w:rPr>
        <w:t>3</w:t>
      </w:r>
      <w:r>
        <w:rPr>
          <w:rFonts w:ascii="仿宋_GB2312" w:eastAsia="仿宋_GB2312" w:hAnsi="微软雅黑" w:cs="宋体" w:hint="eastAsia"/>
          <w:color w:val="000000"/>
          <w:sz w:val="32"/>
          <w:szCs w:val="32"/>
        </w:rPr>
        <w:t>年</w:t>
      </w:r>
      <w:r w:rsidR="00706E64">
        <w:rPr>
          <w:rFonts w:ascii="仿宋_GB2312" w:eastAsia="仿宋_GB2312" w:hAnsi="微软雅黑" w:cs="宋体" w:hint="eastAsia"/>
          <w:color w:val="000000"/>
          <w:sz w:val="32"/>
          <w:szCs w:val="32"/>
        </w:rPr>
        <w:t>8</w:t>
      </w:r>
      <w:r>
        <w:rPr>
          <w:rFonts w:ascii="仿宋_GB2312" w:eastAsia="仿宋_GB2312" w:hAnsi="微软雅黑" w:cs="宋体" w:hint="eastAsia"/>
          <w:color w:val="000000"/>
          <w:sz w:val="32"/>
          <w:szCs w:val="32"/>
        </w:rPr>
        <w:t>月</w:t>
      </w:r>
      <w:r w:rsidR="005410BB">
        <w:rPr>
          <w:rFonts w:ascii="仿宋_GB2312" w:eastAsia="仿宋_GB2312" w:hAnsi="微软雅黑" w:cs="宋体" w:hint="eastAsia"/>
          <w:color w:val="000000"/>
          <w:sz w:val="32"/>
          <w:szCs w:val="32"/>
        </w:rPr>
        <w:t>7</w:t>
      </w:r>
      <w:r>
        <w:rPr>
          <w:rFonts w:ascii="仿宋_GB2312" w:eastAsia="仿宋_GB2312" w:hAnsi="微软雅黑" w:cs="宋体" w:hint="eastAsia"/>
          <w:color w:val="000000"/>
          <w:sz w:val="32"/>
          <w:szCs w:val="32"/>
        </w:rPr>
        <w:t>日</w:t>
      </w:r>
    </w:p>
    <w:p w:rsidR="00706E64" w:rsidRDefault="00706E64">
      <w:pPr>
        <w:adjustRightInd/>
        <w:snapToGrid/>
        <w:spacing w:after="0"/>
        <w:ind w:firstLine="5445"/>
      </w:pPr>
    </w:p>
    <w:sectPr w:rsidR="00706E64" w:rsidSect="00C934C7">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微软简仿宋">
    <w:altName w:val="宋体"/>
    <w:charset w:val="86"/>
    <w:family w:val="auto"/>
    <w:pitch w:val="default"/>
    <w:sig w:usb0="00000000" w:usb1="00000000" w:usb2="00000000"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720"/>
  <w:characterSpacingControl w:val="doNotCompress"/>
  <w:compat>
    <w:useFELayout/>
  </w:compat>
  <w:rsids>
    <w:rsidRoot w:val="00D31D50"/>
    <w:rsid w:val="0000087B"/>
    <w:rsid w:val="00002A13"/>
    <w:rsid w:val="00014D89"/>
    <w:rsid w:val="0002233E"/>
    <w:rsid w:val="00025736"/>
    <w:rsid w:val="000326DD"/>
    <w:rsid w:val="000430CA"/>
    <w:rsid w:val="00050465"/>
    <w:rsid w:val="000547BB"/>
    <w:rsid w:val="0006322B"/>
    <w:rsid w:val="00070A62"/>
    <w:rsid w:val="0007298C"/>
    <w:rsid w:val="000729EB"/>
    <w:rsid w:val="00080415"/>
    <w:rsid w:val="000812F4"/>
    <w:rsid w:val="00085A1E"/>
    <w:rsid w:val="000936F7"/>
    <w:rsid w:val="000957AC"/>
    <w:rsid w:val="000A5028"/>
    <w:rsid w:val="000C3554"/>
    <w:rsid w:val="000E18A2"/>
    <w:rsid w:val="000E1FA9"/>
    <w:rsid w:val="000E7543"/>
    <w:rsid w:val="0010440D"/>
    <w:rsid w:val="00110B5C"/>
    <w:rsid w:val="00117F99"/>
    <w:rsid w:val="001225F8"/>
    <w:rsid w:val="00155E41"/>
    <w:rsid w:val="00157799"/>
    <w:rsid w:val="00160908"/>
    <w:rsid w:val="00163148"/>
    <w:rsid w:val="00174CF3"/>
    <w:rsid w:val="00174FC8"/>
    <w:rsid w:val="0018184D"/>
    <w:rsid w:val="00182785"/>
    <w:rsid w:val="00183D9A"/>
    <w:rsid w:val="001930D1"/>
    <w:rsid w:val="001A0550"/>
    <w:rsid w:val="001A556D"/>
    <w:rsid w:val="001B1CDF"/>
    <w:rsid w:val="001B2273"/>
    <w:rsid w:val="001C7D22"/>
    <w:rsid w:val="001D0AE1"/>
    <w:rsid w:val="001D40A6"/>
    <w:rsid w:val="001F72B5"/>
    <w:rsid w:val="00201E20"/>
    <w:rsid w:val="00205C3A"/>
    <w:rsid w:val="00206F8F"/>
    <w:rsid w:val="00207F97"/>
    <w:rsid w:val="00214CF7"/>
    <w:rsid w:val="00216E71"/>
    <w:rsid w:val="002235BC"/>
    <w:rsid w:val="00233CED"/>
    <w:rsid w:val="00236FDA"/>
    <w:rsid w:val="0024426C"/>
    <w:rsid w:val="002513BD"/>
    <w:rsid w:val="00257856"/>
    <w:rsid w:val="00277323"/>
    <w:rsid w:val="002777A1"/>
    <w:rsid w:val="00283408"/>
    <w:rsid w:val="002866F6"/>
    <w:rsid w:val="0029028F"/>
    <w:rsid w:val="002B1948"/>
    <w:rsid w:val="002C248B"/>
    <w:rsid w:val="002D757D"/>
    <w:rsid w:val="002D7671"/>
    <w:rsid w:val="002E2039"/>
    <w:rsid w:val="002E3ECB"/>
    <w:rsid w:val="002E7145"/>
    <w:rsid w:val="002F07C0"/>
    <w:rsid w:val="002F7158"/>
    <w:rsid w:val="003059D5"/>
    <w:rsid w:val="00320D56"/>
    <w:rsid w:val="00322F4C"/>
    <w:rsid w:val="00323B43"/>
    <w:rsid w:val="0033347B"/>
    <w:rsid w:val="00347193"/>
    <w:rsid w:val="00353BA9"/>
    <w:rsid w:val="00355E21"/>
    <w:rsid w:val="00357EB7"/>
    <w:rsid w:val="00361A72"/>
    <w:rsid w:val="0036454A"/>
    <w:rsid w:val="00385F54"/>
    <w:rsid w:val="003877F7"/>
    <w:rsid w:val="00393219"/>
    <w:rsid w:val="003B5ECF"/>
    <w:rsid w:val="003C0D6B"/>
    <w:rsid w:val="003C1D41"/>
    <w:rsid w:val="003C74A5"/>
    <w:rsid w:val="003D23DB"/>
    <w:rsid w:val="003D37D8"/>
    <w:rsid w:val="003D4715"/>
    <w:rsid w:val="003E2BFC"/>
    <w:rsid w:val="003F3C0B"/>
    <w:rsid w:val="003F70AB"/>
    <w:rsid w:val="003F7552"/>
    <w:rsid w:val="004056BC"/>
    <w:rsid w:val="00410A33"/>
    <w:rsid w:val="00411704"/>
    <w:rsid w:val="00415E16"/>
    <w:rsid w:val="00422AD1"/>
    <w:rsid w:val="00426133"/>
    <w:rsid w:val="00431C9E"/>
    <w:rsid w:val="004349C0"/>
    <w:rsid w:val="004358AB"/>
    <w:rsid w:val="00443E90"/>
    <w:rsid w:val="00450005"/>
    <w:rsid w:val="00450C77"/>
    <w:rsid w:val="0045680A"/>
    <w:rsid w:val="0046731B"/>
    <w:rsid w:val="0047071D"/>
    <w:rsid w:val="00471A3B"/>
    <w:rsid w:val="004749F0"/>
    <w:rsid w:val="00476C3B"/>
    <w:rsid w:val="0049140E"/>
    <w:rsid w:val="004946BC"/>
    <w:rsid w:val="004950F4"/>
    <w:rsid w:val="00496E4F"/>
    <w:rsid w:val="00497F4B"/>
    <w:rsid w:val="004B003C"/>
    <w:rsid w:val="004C175A"/>
    <w:rsid w:val="004C2C74"/>
    <w:rsid w:val="004E619A"/>
    <w:rsid w:val="004F4834"/>
    <w:rsid w:val="004F5EEB"/>
    <w:rsid w:val="00510995"/>
    <w:rsid w:val="005168C5"/>
    <w:rsid w:val="005218F6"/>
    <w:rsid w:val="00523BDD"/>
    <w:rsid w:val="0052515C"/>
    <w:rsid w:val="00530F2D"/>
    <w:rsid w:val="00536DF2"/>
    <w:rsid w:val="005410BB"/>
    <w:rsid w:val="00542DAC"/>
    <w:rsid w:val="00543584"/>
    <w:rsid w:val="00543782"/>
    <w:rsid w:val="00550F25"/>
    <w:rsid w:val="0055369F"/>
    <w:rsid w:val="00561329"/>
    <w:rsid w:val="00575FD0"/>
    <w:rsid w:val="00577BF0"/>
    <w:rsid w:val="005B1774"/>
    <w:rsid w:val="005B45CF"/>
    <w:rsid w:val="005C155D"/>
    <w:rsid w:val="005C31E9"/>
    <w:rsid w:val="005D072F"/>
    <w:rsid w:val="005D5CE2"/>
    <w:rsid w:val="005F2B78"/>
    <w:rsid w:val="005F3FF9"/>
    <w:rsid w:val="00606205"/>
    <w:rsid w:val="00607EC0"/>
    <w:rsid w:val="00610019"/>
    <w:rsid w:val="006110FC"/>
    <w:rsid w:val="00611544"/>
    <w:rsid w:val="006128D5"/>
    <w:rsid w:val="006148C9"/>
    <w:rsid w:val="0061606F"/>
    <w:rsid w:val="006214F4"/>
    <w:rsid w:val="00660578"/>
    <w:rsid w:val="00677D5A"/>
    <w:rsid w:val="0068015B"/>
    <w:rsid w:val="00692F5E"/>
    <w:rsid w:val="00694F50"/>
    <w:rsid w:val="006B000A"/>
    <w:rsid w:val="006B2010"/>
    <w:rsid w:val="006C00E7"/>
    <w:rsid w:val="006C44CC"/>
    <w:rsid w:val="006C5545"/>
    <w:rsid w:val="006C5D0A"/>
    <w:rsid w:val="006C68D5"/>
    <w:rsid w:val="006F6C7B"/>
    <w:rsid w:val="006F7856"/>
    <w:rsid w:val="00701C74"/>
    <w:rsid w:val="0070239F"/>
    <w:rsid w:val="00706E64"/>
    <w:rsid w:val="00714B02"/>
    <w:rsid w:val="00714B88"/>
    <w:rsid w:val="00722456"/>
    <w:rsid w:val="00723447"/>
    <w:rsid w:val="007248B8"/>
    <w:rsid w:val="00727328"/>
    <w:rsid w:val="0073172D"/>
    <w:rsid w:val="0073205A"/>
    <w:rsid w:val="00732E46"/>
    <w:rsid w:val="00740E8C"/>
    <w:rsid w:val="00741563"/>
    <w:rsid w:val="00747E0A"/>
    <w:rsid w:val="007675CD"/>
    <w:rsid w:val="007730D9"/>
    <w:rsid w:val="00783419"/>
    <w:rsid w:val="007865C9"/>
    <w:rsid w:val="00793A91"/>
    <w:rsid w:val="00796629"/>
    <w:rsid w:val="007A6260"/>
    <w:rsid w:val="007C44C4"/>
    <w:rsid w:val="007D35F2"/>
    <w:rsid w:val="008026DB"/>
    <w:rsid w:val="008201C5"/>
    <w:rsid w:val="00827FB9"/>
    <w:rsid w:val="008445DB"/>
    <w:rsid w:val="008450A8"/>
    <w:rsid w:val="00846546"/>
    <w:rsid w:val="00847424"/>
    <w:rsid w:val="0084798A"/>
    <w:rsid w:val="008507C0"/>
    <w:rsid w:val="0085497C"/>
    <w:rsid w:val="00854BCB"/>
    <w:rsid w:val="008557CB"/>
    <w:rsid w:val="008576E7"/>
    <w:rsid w:val="00867E9B"/>
    <w:rsid w:val="00884835"/>
    <w:rsid w:val="008930CD"/>
    <w:rsid w:val="00893277"/>
    <w:rsid w:val="00895EEF"/>
    <w:rsid w:val="00896D1C"/>
    <w:rsid w:val="00897920"/>
    <w:rsid w:val="008A6AC1"/>
    <w:rsid w:val="008B008A"/>
    <w:rsid w:val="008B2815"/>
    <w:rsid w:val="008B4334"/>
    <w:rsid w:val="008B450C"/>
    <w:rsid w:val="008B4E39"/>
    <w:rsid w:val="008B6523"/>
    <w:rsid w:val="008B7726"/>
    <w:rsid w:val="008C2A99"/>
    <w:rsid w:val="008C4BB5"/>
    <w:rsid w:val="008E41F8"/>
    <w:rsid w:val="008F2B7A"/>
    <w:rsid w:val="008F5738"/>
    <w:rsid w:val="008F6E96"/>
    <w:rsid w:val="008F7CA5"/>
    <w:rsid w:val="00903E35"/>
    <w:rsid w:val="00911DE1"/>
    <w:rsid w:val="00916AFD"/>
    <w:rsid w:val="009213A9"/>
    <w:rsid w:val="00946A28"/>
    <w:rsid w:val="00951BFC"/>
    <w:rsid w:val="00953E58"/>
    <w:rsid w:val="0096633A"/>
    <w:rsid w:val="0096677C"/>
    <w:rsid w:val="00971266"/>
    <w:rsid w:val="00986A17"/>
    <w:rsid w:val="00996AC4"/>
    <w:rsid w:val="009972AD"/>
    <w:rsid w:val="009A372B"/>
    <w:rsid w:val="009A5FF7"/>
    <w:rsid w:val="009A6611"/>
    <w:rsid w:val="009A6871"/>
    <w:rsid w:val="009B21F1"/>
    <w:rsid w:val="009B2786"/>
    <w:rsid w:val="009C7834"/>
    <w:rsid w:val="009D1D85"/>
    <w:rsid w:val="009E16F2"/>
    <w:rsid w:val="00A01DF4"/>
    <w:rsid w:val="00A063A8"/>
    <w:rsid w:val="00A10113"/>
    <w:rsid w:val="00A215C9"/>
    <w:rsid w:val="00A30CF8"/>
    <w:rsid w:val="00A327C4"/>
    <w:rsid w:val="00A4169B"/>
    <w:rsid w:val="00A45C0B"/>
    <w:rsid w:val="00A54155"/>
    <w:rsid w:val="00A65280"/>
    <w:rsid w:val="00A6775F"/>
    <w:rsid w:val="00A838DC"/>
    <w:rsid w:val="00A84AE0"/>
    <w:rsid w:val="00A9135E"/>
    <w:rsid w:val="00A9294C"/>
    <w:rsid w:val="00AA23FA"/>
    <w:rsid w:val="00AA52F1"/>
    <w:rsid w:val="00AA5D49"/>
    <w:rsid w:val="00AB17CA"/>
    <w:rsid w:val="00AB5EC5"/>
    <w:rsid w:val="00AB6BA4"/>
    <w:rsid w:val="00AC33B2"/>
    <w:rsid w:val="00AC51A3"/>
    <w:rsid w:val="00AC6774"/>
    <w:rsid w:val="00AD02BA"/>
    <w:rsid w:val="00AD4C9C"/>
    <w:rsid w:val="00AE34B8"/>
    <w:rsid w:val="00AE6487"/>
    <w:rsid w:val="00AF3E9A"/>
    <w:rsid w:val="00B01B88"/>
    <w:rsid w:val="00B02F94"/>
    <w:rsid w:val="00B126A7"/>
    <w:rsid w:val="00B20362"/>
    <w:rsid w:val="00B205DE"/>
    <w:rsid w:val="00B21220"/>
    <w:rsid w:val="00B22801"/>
    <w:rsid w:val="00B24A4C"/>
    <w:rsid w:val="00B27E33"/>
    <w:rsid w:val="00B4312B"/>
    <w:rsid w:val="00B4326E"/>
    <w:rsid w:val="00B70F3B"/>
    <w:rsid w:val="00B73A10"/>
    <w:rsid w:val="00B92843"/>
    <w:rsid w:val="00B941A3"/>
    <w:rsid w:val="00B941AB"/>
    <w:rsid w:val="00BA2412"/>
    <w:rsid w:val="00BA7E49"/>
    <w:rsid w:val="00BC7E3B"/>
    <w:rsid w:val="00BD2362"/>
    <w:rsid w:val="00BD7306"/>
    <w:rsid w:val="00BE351A"/>
    <w:rsid w:val="00BF5165"/>
    <w:rsid w:val="00BF56C0"/>
    <w:rsid w:val="00C00041"/>
    <w:rsid w:val="00C15704"/>
    <w:rsid w:val="00C17395"/>
    <w:rsid w:val="00C23A87"/>
    <w:rsid w:val="00C24A97"/>
    <w:rsid w:val="00C3534B"/>
    <w:rsid w:val="00C468C3"/>
    <w:rsid w:val="00C50B0B"/>
    <w:rsid w:val="00C54F31"/>
    <w:rsid w:val="00C66A8C"/>
    <w:rsid w:val="00C71423"/>
    <w:rsid w:val="00C77D66"/>
    <w:rsid w:val="00C77F59"/>
    <w:rsid w:val="00C90F31"/>
    <w:rsid w:val="00C934C7"/>
    <w:rsid w:val="00C93BCF"/>
    <w:rsid w:val="00CA70DD"/>
    <w:rsid w:val="00CB16FF"/>
    <w:rsid w:val="00CB29BA"/>
    <w:rsid w:val="00CB2A01"/>
    <w:rsid w:val="00CB4B4F"/>
    <w:rsid w:val="00CC545C"/>
    <w:rsid w:val="00CD21BA"/>
    <w:rsid w:val="00CD3048"/>
    <w:rsid w:val="00CD328F"/>
    <w:rsid w:val="00CD4295"/>
    <w:rsid w:val="00CD4F0F"/>
    <w:rsid w:val="00CD74BD"/>
    <w:rsid w:val="00CE0BFB"/>
    <w:rsid w:val="00CE0C36"/>
    <w:rsid w:val="00CE130E"/>
    <w:rsid w:val="00CE2473"/>
    <w:rsid w:val="00CF2A33"/>
    <w:rsid w:val="00CF5224"/>
    <w:rsid w:val="00D01516"/>
    <w:rsid w:val="00D0319E"/>
    <w:rsid w:val="00D10241"/>
    <w:rsid w:val="00D20983"/>
    <w:rsid w:val="00D20ABB"/>
    <w:rsid w:val="00D20F22"/>
    <w:rsid w:val="00D2711A"/>
    <w:rsid w:val="00D31D50"/>
    <w:rsid w:val="00D42DFD"/>
    <w:rsid w:val="00D476F9"/>
    <w:rsid w:val="00D51249"/>
    <w:rsid w:val="00D5491D"/>
    <w:rsid w:val="00D55052"/>
    <w:rsid w:val="00D57726"/>
    <w:rsid w:val="00D57C98"/>
    <w:rsid w:val="00D6704B"/>
    <w:rsid w:val="00D67754"/>
    <w:rsid w:val="00D763B7"/>
    <w:rsid w:val="00D80BDE"/>
    <w:rsid w:val="00DA14AE"/>
    <w:rsid w:val="00DA521E"/>
    <w:rsid w:val="00DB1998"/>
    <w:rsid w:val="00DB267C"/>
    <w:rsid w:val="00DC08E6"/>
    <w:rsid w:val="00DD1E41"/>
    <w:rsid w:val="00DD52AA"/>
    <w:rsid w:val="00DE145A"/>
    <w:rsid w:val="00DF18D2"/>
    <w:rsid w:val="00E02024"/>
    <w:rsid w:val="00E0416D"/>
    <w:rsid w:val="00E05633"/>
    <w:rsid w:val="00E14630"/>
    <w:rsid w:val="00E210A0"/>
    <w:rsid w:val="00E328E5"/>
    <w:rsid w:val="00E342C9"/>
    <w:rsid w:val="00E51943"/>
    <w:rsid w:val="00E65FB9"/>
    <w:rsid w:val="00E773E2"/>
    <w:rsid w:val="00E774C6"/>
    <w:rsid w:val="00E807D3"/>
    <w:rsid w:val="00E86AD3"/>
    <w:rsid w:val="00EA1489"/>
    <w:rsid w:val="00EB3586"/>
    <w:rsid w:val="00EC4186"/>
    <w:rsid w:val="00EC780B"/>
    <w:rsid w:val="00ED1F6D"/>
    <w:rsid w:val="00EE0CF8"/>
    <w:rsid w:val="00EE0DD8"/>
    <w:rsid w:val="00EE3FDA"/>
    <w:rsid w:val="00EE50F7"/>
    <w:rsid w:val="00EE625E"/>
    <w:rsid w:val="00EF297D"/>
    <w:rsid w:val="00EF76FE"/>
    <w:rsid w:val="00F04234"/>
    <w:rsid w:val="00F170CD"/>
    <w:rsid w:val="00F21AAA"/>
    <w:rsid w:val="00F234C6"/>
    <w:rsid w:val="00F24E77"/>
    <w:rsid w:val="00F634A7"/>
    <w:rsid w:val="00F7443F"/>
    <w:rsid w:val="00F805F0"/>
    <w:rsid w:val="00F94E57"/>
    <w:rsid w:val="00F957A8"/>
    <w:rsid w:val="00F96EC9"/>
    <w:rsid w:val="00FA233C"/>
    <w:rsid w:val="00FA792A"/>
    <w:rsid w:val="00FB39AB"/>
    <w:rsid w:val="00FB4443"/>
    <w:rsid w:val="00FC1CBF"/>
    <w:rsid w:val="00FC73A4"/>
    <w:rsid w:val="00FD35EB"/>
    <w:rsid w:val="00FD7675"/>
    <w:rsid w:val="00FE0475"/>
    <w:rsid w:val="00FE20C6"/>
    <w:rsid w:val="00FF24E9"/>
    <w:rsid w:val="00FF62DB"/>
    <w:rsid w:val="09FF56E8"/>
    <w:rsid w:val="11E470A0"/>
    <w:rsid w:val="1C4E296B"/>
    <w:rsid w:val="37D92952"/>
    <w:rsid w:val="437A0EFD"/>
    <w:rsid w:val="52C1180B"/>
    <w:rsid w:val="569A1942"/>
    <w:rsid w:val="573E6F5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71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lsdException w:name="footer" w:semiHidden="0"/>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qFormat="1"/>
    <w:lsdException w:name="Normal Table" w:qFormat="1"/>
    <w:lsdException w:name="Balloon Text"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934C7"/>
    <w:pPr>
      <w:adjustRightInd w:val="0"/>
      <w:snapToGrid w:val="0"/>
      <w:spacing w:after="200"/>
    </w:pPr>
    <w:rPr>
      <w:rFonts w:ascii="Tahoma" w:hAnsi="Tahoma"/>
      <w:sz w:val="22"/>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qFormat/>
    <w:rsid w:val="00C934C7"/>
    <w:pPr>
      <w:spacing w:after="0"/>
    </w:pPr>
    <w:rPr>
      <w:sz w:val="18"/>
      <w:szCs w:val="18"/>
    </w:rPr>
  </w:style>
  <w:style w:type="paragraph" w:styleId="a4">
    <w:name w:val="footer"/>
    <w:basedOn w:val="a"/>
    <w:link w:val="Char0"/>
    <w:uiPriority w:val="99"/>
    <w:unhideWhenUsed/>
    <w:rsid w:val="00C934C7"/>
    <w:pPr>
      <w:tabs>
        <w:tab w:val="center" w:pos="4153"/>
        <w:tab w:val="right" w:pos="8306"/>
      </w:tabs>
    </w:pPr>
    <w:rPr>
      <w:sz w:val="18"/>
      <w:szCs w:val="18"/>
    </w:rPr>
  </w:style>
  <w:style w:type="paragraph" w:styleId="a5">
    <w:name w:val="header"/>
    <w:basedOn w:val="a"/>
    <w:link w:val="Char1"/>
    <w:uiPriority w:val="99"/>
    <w:unhideWhenUsed/>
    <w:rsid w:val="00C934C7"/>
    <w:pPr>
      <w:pBdr>
        <w:bottom w:val="single" w:sz="6" w:space="1" w:color="auto"/>
      </w:pBdr>
      <w:tabs>
        <w:tab w:val="center" w:pos="4153"/>
        <w:tab w:val="right" w:pos="8306"/>
      </w:tabs>
      <w:jc w:val="center"/>
    </w:pPr>
    <w:rPr>
      <w:sz w:val="18"/>
      <w:szCs w:val="18"/>
    </w:rPr>
  </w:style>
  <w:style w:type="paragraph" w:styleId="a6">
    <w:name w:val="Normal (Web)"/>
    <w:basedOn w:val="a"/>
    <w:uiPriority w:val="99"/>
    <w:unhideWhenUsed/>
    <w:qFormat/>
    <w:rsid w:val="00C934C7"/>
    <w:pPr>
      <w:adjustRightInd/>
      <w:snapToGrid/>
      <w:spacing w:before="100" w:beforeAutospacing="1" w:after="100" w:afterAutospacing="1"/>
    </w:pPr>
    <w:rPr>
      <w:rFonts w:ascii="宋体" w:eastAsia="宋体" w:hAnsi="宋体" w:cs="宋体"/>
      <w:sz w:val="24"/>
      <w:szCs w:val="24"/>
    </w:rPr>
  </w:style>
  <w:style w:type="character" w:styleId="a7">
    <w:name w:val="Strong"/>
    <w:basedOn w:val="a0"/>
    <w:uiPriority w:val="22"/>
    <w:qFormat/>
    <w:rsid w:val="00C934C7"/>
    <w:rPr>
      <w:b/>
      <w:bCs/>
    </w:rPr>
  </w:style>
  <w:style w:type="character" w:styleId="a8">
    <w:name w:val="Hyperlink"/>
    <w:basedOn w:val="a0"/>
    <w:uiPriority w:val="99"/>
    <w:semiHidden/>
    <w:unhideWhenUsed/>
    <w:rsid w:val="00C934C7"/>
    <w:rPr>
      <w:color w:val="0000FF"/>
      <w:u w:val="single"/>
    </w:rPr>
  </w:style>
  <w:style w:type="character" w:customStyle="1" w:styleId="Char1">
    <w:name w:val="页眉 Char"/>
    <w:basedOn w:val="a0"/>
    <w:link w:val="a5"/>
    <w:uiPriority w:val="99"/>
    <w:qFormat/>
    <w:rsid w:val="00C934C7"/>
    <w:rPr>
      <w:rFonts w:ascii="Tahoma" w:hAnsi="Tahoma"/>
      <w:sz w:val="18"/>
      <w:szCs w:val="18"/>
    </w:rPr>
  </w:style>
  <w:style w:type="character" w:customStyle="1" w:styleId="Char0">
    <w:name w:val="页脚 Char"/>
    <w:basedOn w:val="a0"/>
    <w:link w:val="a4"/>
    <w:uiPriority w:val="99"/>
    <w:qFormat/>
    <w:rsid w:val="00C934C7"/>
    <w:rPr>
      <w:rFonts w:ascii="Tahoma" w:hAnsi="Tahoma"/>
      <w:sz w:val="18"/>
      <w:szCs w:val="18"/>
    </w:rPr>
  </w:style>
  <w:style w:type="character" w:customStyle="1" w:styleId="apple-converted-space">
    <w:name w:val="apple-converted-space"/>
    <w:basedOn w:val="a0"/>
    <w:qFormat/>
    <w:rsid w:val="00C934C7"/>
  </w:style>
  <w:style w:type="character" w:customStyle="1" w:styleId="Char">
    <w:name w:val="批注框文本 Char"/>
    <w:basedOn w:val="a0"/>
    <w:link w:val="a3"/>
    <w:uiPriority w:val="99"/>
    <w:semiHidden/>
    <w:rsid w:val="00C934C7"/>
    <w:rPr>
      <w:rFonts w:ascii="Tahoma" w:hAnsi="Tahoma"/>
      <w:sz w:val="18"/>
      <w:szCs w:val="18"/>
    </w:rPr>
  </w:style>
  <w:style w:type="paragraph" w:customStyle="1" w:styleId="TableParagraph">
    <w:name w:val="Table Paragraph"/>
    <w:basedOn w:val="a"/>
    <w:uiPriority w:val="1"/>
    <w:qFormat/>
    <w:rsid w:val="00C934C7"/>
    <w:pPr>
      <w:widowControl w:val="0"/>
      <w:autoSpaceDE w:val="0"/>
      <w:autoSpaceDN w:val="0"/>
      <w:snapToGrid/>
      <w:spacing w:after="0"/>
    </w:pPr>
    <w:rPr>
      <w:rFonts w:ascii="Times New Roman" w:eastAsia="宋体" w:hAnsi="Times New Roman" w:cs="Times New Roman"/>
      <w:sz w:val="24"/>
      <w:szCs w:val="24"/>
    </w:rPr>
  </w:style>
  <w:style w:type="paragraph" w:styleId="a9">
    <w:name w:val="Body Text"/>
    <w:basedOn w:val="a"/>
    <w:link w:val="Char10"/>
    <w:uiPriority w:val="1"/>
    <w:unhideWhenUsed/>
    <w:qFormat/>
    <w:rsid w:val="002F7158"/>
    <w:pPr>
      <w:widowControl w:val="0"/>
      <w:autoSpaceDE w:val="0"/>
      <w:autoSpaceDN w:val="0"/>
      <w:snapToGrid/>
      <w:spacing w:before="162" w:after="0"/>
      <w:ind w:left="120"/>
    </w:pPr>
    <w:rPr>
      <w:rFonts w:ascii="宋体" w:eastAsia="宋体" w:hAnsi="Times New Roman" w:cs="宋体"/>
      <w:sz w:val="20"/>
      <w:szCs w:val="21"/>
    </w:rPr>
  </w:style>
  <w:style w:type="character" w:customStyle="1" w:styleId="Char2">
    <w:name w:val="正文文本 Char"/>
    <w:basedOn w:val="a0"/>
    <w:link w:val="a9"/>
    <w:uiPriority w:val="99"/>
    <w:semiHidden/>
    <w:rsid w:val="002F7158"/>
    <w:rPr>
      <w:rFonts w:ascii="Tahoma" w:hAnsi="Tahoma"/>
      <w:sz w:val="22"/>
      <w:szCs w:val="22"/>
    </w:rPr>
  </w:style>
  <w:style w:type="character" w:customStyle="1" w:styleId="Char10">
    <w:name w:val="正文文本 Char1"/>
    <w:basedOn w:val="a0"/>
    <w:link w:val="a9"/>
    <w:uiPriority w:val="1"/>
    <w:locked/>
    <w:rsid w:val="002F7158"/>
    <w:rPr>
      <w:rFonts w:ascii="宋体" w:eastAsia="宋体" w:hAnsi="Times New Roman" w:cs="宋体"/>
      <w:szCs w:val="21"/>
    </w:rPr>
  </w:style>
  <w:style w:type="paragraph" w:customStyle="1" w:styleId="Default">
    <w:name w:val="Default"/>
    <w:qFormat/>
    <w:rsid w:val="00D6704B"/>
    <w:pPr>
      <w:widowControl w:val="0"/>
      <w:autoSpaceDE w:val="0"/>
      <w:autoSpaceDN w:val="0"/>
      <w:adjustRightInd w:val="0"/>
    </w:pPr>
    <w:rPr>
      <w:rFonts w:ascii="宋体" w:eastAsia="宋体" w:hAnsi="Calibri" w:cs="宋体"/>
      <w:color w:val="000000"/>
      <w:sz w:val="24"/>
      <w:szCs w:val="24"/>
    </w:rPr>
  </w:style>
  <w:style w:type="table" w:styleId="aa">
    <w:name w:val="Table Grid"/>
    <w:basedOn w:val="a1"/>
    <w:qFormat/>
    <w:rsid w:val="00D6704B"/>
    <w:pPr>
      <w:widowControl w:val="0"/>
      <w:jc w:val="both"/>
    </w:pPr>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2801370">
      <w:bodyDiv w:val="1"/>
      <w:marLeft w:val="0"/>
      <w:marRight w:val="0"/>
      <w:marTop w:val="0"/>
      <w:marBottom w:val="0"/>
      <w:divBdr>
        <w:top w:val="none" w:sz="0" w:space="0" w:color="auto"/>
        <w:left w:val="none" w:sz="0" w:space="0" w:color="auto"/>
        <w:bottom w:val="none" w:sz="0" w:space="0" w:color="auto"/>
        <w:right w:val="none" w:sz="0" w:space="0" w:color="auto"/>
      </w:divBdr>
    </w:div>
    <w:div w:id="55056705">
      <w:bodyDiv w:val="1"/>
      <w:marLeft w:val="0"/>
      <w:marRight w:val="0"/>
      <w:marTop w:val="0"/>
      <w:marBottom w:val="0"/>
      <w:divBdr>
        <w:top w:val="none" w:sz="0" w:space="0" w:color="auto"/>
        <w:left w:val="none" w:sz="0" w:space="0" w:color="auto"/>
        <w:bottom w:val="none" w:sz="0" w:space="0" w:color="auto"/>
        <w:right w:val="none" w:sz="0" w:space="0" w:color="auto"/>
      </w:divBdr>
    </w:div>
    <w:div w:id="55588615">
      <w:bodyDiv w:val="1"/>
      <w:marLeft w:val="0"/>
      <w:marRight w:val="0"/>
      <w:marTop w:val="0"/>
      <w:marBottom w:val="0"/>
      <w:divBdr>
        <w:top w:val="none" w:sz="0" w:space="0" w:color="auto"/>
        <w:left w:val="none" w:sz="0" w:space="0" w:color="auto"/>
        <w:bottom w:val="none" w:sz="0" w:space="0" w:color="auto"/>
        <w:right w:val="none" w:sz="0" w:space="0" w:color="auto"/>
      </w:divBdr>
    </w:div>
    <w:div w:id="74283546">
      <w:bodyDiv w:val="1"/>
      <w:marLeft w:val="0"/>
      <w:marRight w:val="0"/>
      <w:marTop w:val="0"/>
      <w:marBottom w:val="0"/>
      <w:divBdr>
        <w:top w:val="none" w:sz="0" w:space="0" w:color="auto"/>
        <w:left w:val="none" w:sz="0" w:space="0" w:color="auto"/>
        <w:bottom w:val="none" w:sz="0" w:space="0" w:color="auto"/>
        <w:right w:val="none" w:sz="0" w:space="0" w:color="auto"/>
      </w:divBdr>
    </w:div>
    <w:div w:id="198981690">
      <w:bodyDiv w:val="1"/>
      <w:marLeft w:val="0"/>
      <w:marRight w:val="0"/>
      <w:marTop w:val="0"/>
      <w:marBottom w:val="0"/>
      <w:divBdr>
        <w:top w:val="none" w:sz="0" w:space="0" w:color="auto"/>
        <w:left w:val="none" w:sz="0" w:space="0" w:color="auto"/>
        <w:bottom w:val="none" w:sz="0" w:space="0" w:color="auto"/>
        <w:right w:val="none" w:sz="0" w:space="0" w:color="auto"/>
      </w:divBdr>
    </w:div>
    <w:div w:id="243801971">
      <w:bodyDiv w:val="1"/>
      <w:marLeft w:val="0"/>
      <w:marRight w:val="0"/>
      <w:marTop w:val="0"/>
      <w:marBottom w:val="0"/>
      <w:divBdr>
        <w:top w:val="none" w:sz="0" w:space="0" w:color="auto"/>
        <w:left w:val="none" w:sz="0" w:space="0" w:color="auto"/>
        <w:bottom w:val="none" w:sz="0" w:space="0" w:color="auto"/>
        <w:right w:val="none" w:sz="0" w:space="0" w:color="auto"/>
      </w:divBdr>
    </w:div>
    <w:div w:id="289240815">
      <w:bodyDiv w:val="1"/>
      <w:marLeft w:val="0"/>
      <w:marRight w:val="0"/>
      <w:marTop w:val="0"/>
      <w:marBottom w:val="0"/>
      <w:divBdr>
        <w:top w:val="none" w:sz="0" w:space="0" w:color="auto"/>
        <w:left w:val="none" w:sz="0" w:space="0" w:color="auto"/>
        <w:bottom w:val="none" w:sz="0" w:space="0" w:color="auto"/>
        <w:right w:val="none" w:sz="0" w:space="0" w:color="auto"/>
      </w:divBdr>
    </w:div>
    <w:div w:id="363748441">
      <w:bodyDiv w:val="1"/>
      <w:marLeft w:val="0"/>
      <w:marRight w:val="0"/>
      <w:marTop w:val="0"/>
      <w:marBottom w:val="0"/>
      <w:divBdr>
        <w:top w:val="none" w:sz="0" w:space="0" w:color="auto"/>
        <w:left w:val="none" w:sz="0" w:space="0" w:color="auto"/>
        <w:bottom w:val="none" w:sz="0" w:space="0" w:color="auto"/>
        <w:right w:val="none" w:sz="0" w:space="0" w:color="auto"/>
      </w:divBdr>
    </w:div>
    <w:div w:id="370764179">
      <w:bodyDiv w:val="1"/>
      <w:marLeft w:val="0"/>
      <w:marRight w:val="0"/>
      <w:marTop w:val="0"/>
      <w:marBottom w:val="0"/>
      <w:divBdr>
        <w:top w:val="none" w:sz="0" w:space="0" w:color="auto"/>
        <w:left w:val="none" w:sz="0" w:space="0" w:color="auto"/>
        <w:bottom w:val="none" w:sz="0" w:space="0" w:color="auto"/>
        <w:right w:val="none" w:sz="0" w:space="0" w:color="auto"/>
      </w:divBdr>
    </w:div>
    <w:div w:id="471404908">
      <w:bodyDiv w:val="1"/>
      <w:marLeft w:val="0"/>
      <w:marRight w:val="0"/>
      <w:marTop w:val="0"/>
      <w:marBottom w:val="0"/>
      <w:divBdr>
        <w:top w:val="none" w:sz="0" w:space="0" w:color="auto"/>
        <w:left w:val="none" w:sz="0" w:space="0" w:color="auto"/>
        <w:bottom w:val="none" w:sz="0" w:space="0" w:color="auto"/>
        <w:right w:val="none" w:sz="0" w:space="0" w:color="auto"/>
      </w:divBdr>
    </w:div>
    <w:div w:id="483619341">
      <w:bodyDiv w:val="1"/>
      <w:marLeft w:val="0"/>
      <w:marRight w:val="0"/>
      <w:marTop w:val="0"/>
      <w:marBottom w:val="0"/>
      <w:divBdr>
        <w:top w:val="none" w:sz="0" w:space="0" w:color="auto"/>
        <w:left w:val="none" w:sz="0" w:space="0" w:color="auto"/>
        <w:bottom w:val="none" w:sz="0" w:space="0" w:color="auto"/>
        <w:right w:val="none" w:sz="0" w:space="0" w:color="auto"/>
      </w:divBdr>
    </w:div>
    <w:div w:id="491413187">
      <w:bodyDiv w:val="1"/>
      <w:marLeft w:val="0"/>
      <w:marRight w:val="0"/>
      <w:marTop w:val="0"/>
      <w:marBottom w:val="0"/>
      <w:divBdr>
        <w:top w:val="none" w:sz="0" w:space="0" w:color="auto"/>
        <w:left w:val="none" w:sz="0" w:space="0" w:color="auto"/>
        <w:bottom w:val="none" w:sz="0" w:space="0" w:color="auto"/>
        <w:right w:val="none" w:sz="0" w:space="0" w:color="auto"/>
      </w:divBdr>
    </w:div>
    <w:div w:id="508176420">
      <w:bodyDiv w:val="1"/>
      <w:marLeft w:val="0"/>
      <w:marRight w:val="0"/>
      <w:marTop w:val="0"/>
      <w:marBottom w:val="0"/>
      <w:divBdr>
        <w:top w:val="none" w:sz="0" w:space="0" w:color="auto"/>
        <w:left w:val="none" w:sz="0" w:space="0" w:color="auto"/>
        <w:bottom w:val="none" w:sz="0" w:space="0" w:color="auto"/>
        <w:right w:val="none" w:sz="0" w:space="0" w:color="auto"/>
      </w:divBdr>
    </w:div>
    <w:div w:id="624313477">
      <w:bodyDiv w:val="1"/>
      <w:marLeft w:val="0"/>
      <w:marRight w:val="0"/>
      <w:marTop w:val="0"/>
      <w:marBottom w:val="0"/>
      <w:divBdr>
        <w:top w:val="none" w:sz="0" w:space="0" w:color="auto"/>
        <w:left w:val="none" w:sz="0" w:space="0" w:color="auto"/>
        <w:bottom w:val="none" w:sz="0" w:space="0" w:color="auto"/>
        <w:right w:val="none" w:sz="0" w:space="0" w:color="auto"/>
      </w:divBdr>
    </w:div>
    <w:div w:id="631638299">
      <w:bodyDiv w:val="1"/>
      <w:marLeft w:val="0"/>
      <w:marRight w:val="0"/>
      <w:marTop w:val="0"/>
      <w:marBottom w:val="0"/>
      <w:divBdr>
        <w:top w:val="none" w:sz="0" w:space="0" w:color="auto"/>
        <w:left w:val="none" w:sz="0" w:space="0" w:color="auto"/>
        <w:bottom w:val="none" w:sz="0" w:space="0" w:color="auto"/>
        <w:right w:val="none" w:sz="0" w:space="0" w:color="auto"/>
      </w:divBdr>
    </w:div>
    <w:div w:id="643629832">
      <w:bodyDiv w:val="1"/>
      <w:marLeft w:val="0"/>
      <w:marRight w:val="0"/>
      <w:marTop w:val="0"/>
      <w:marBottom w:val="0"/>
      <w:divBdr>
        <w:top w:val="none" w:sz="0" w:space="0" w:color="auto"/>
        <w:left w:val="none" w:sz="0" w:space="0" w:color="auto"/>
        <w:bottom w:val="none" w:sz="0" w:space="0" w:color="auto"/>
        <w:right w:val="none" w:sz="0" w:space="0" w:color="auto"/>
      </w:divBdr>
    </w:div>
    <w:div w:id="756486311">
      <w:bodyDiv w:val="1"/>
      <w:marLeft w:val="0"/>
      <w:marRight w:val="0"/>
      <w:marTop w:val="0"/>
      <w:marBottom w:val="0"/>
      <w:divBdr>
        <w:top w:val="none" w:sz="0" w:space="0" w:color="auto"/>
        <w:left w:val="none" w:sz="0" w:space="0" w:color="auto"/>
        <w:bottom w:val="none" w:sz="0" w:space="0" w:color="auto"/>
        <w:right w:val="none" w:sz="0" w:space="0" w:color="auto"/>
      </w:divBdr>
    </w:div>
    <w:div w:id="770123133">
      <w:bodyDiv w:val="1"/>
      <w:marLeft w:val="0"/>
      <w:marRight w:val="0"/>
      <w:marTop w:val="0"/>
      <w:marBottom w:val="0"/>
      <w:divBdr>
        <w:top w:val="none" w:sz="0" w:space="0" w:color="auto"/>
        <w:left w:val="none" w:sz="0" w:space="0" w:color="auto"/>
        <w:bottom w:val="none" w:sz="0" w:space="0" w:color="auto"/>
        <w:right w:val="none" w:sz="0" w:space="0" w:color="auto"/>
      </w:divBdr>
    </w:div>
    <w:div w:id="805589650">
      <w:bodyDiv w:val="1"/>
      <w:marLeft w:val="0"/>
      <w:marRight w:val="0"/>
      <w:marTop w:val="0"/>
      <w:marBottom w:val="0"/>
      <w:divBdr>
        <w:top w:val="none" w:sz="0" w:space="0" w:color="auto"/>
        <w:left w:val="none" w:sz="0" w:space="0" w:color="auto"/>
        <w:bottom w:val="none" w:sz="0" w:space="0" w:color="auto"/>
        <w:right w:val="none" w:sz="0" w:space="0" w:color="auto"/>
      </w:divBdr>
    </w:div>
    <w:div w:id="866522079">
      <w:bodyDiv w:val="1"/>
      <w:marLeft w:val="0"/>
      <w:marRight w:val="0"/>
      <w:marTop w:val="0"/>
      <w:marBottom w:val="0"/>
      <w:divBdr>
        <w:top w:val="none" w:sz="0" w:space="0" w:color="auto"/>
        <w:left w:val="none" w:sz="0" w:space="0" w:color="auto"/>
        <w:bottom w:val="none" w:sz="0" w:space="0" w:color="auto"/>
        <w:right w:val="none" w:sz="0" w:space="0" w:color="auto"/>
      </w:divBdr>
    </w:div>
    <w:div w:id="926841311">
      <w:bodyDiv w:val="1"/>
      <w:marLeft w:val="0"/>
      <w:marRight w:val="0"/>
      <w:marTop w:val="0"/>
      <w:marBottom w:val="0"/>
      <w:divBdr>
        <w:top w:val="none" w:sz="0" w:space="0" w:color="auto"/>
        <w:left w:val="none" w:sz="0" w:space="0" w:color="auto"/>
        <w:bottom w:val="none" w:sz="0" w:space="0" w:color="auto"/>
        <w:right w:val="none" w:sz="0" w:space="0" w:color="auto"/>
      </w:divBdr>
    </w:div>
    <w:div w:id="1084183184">
      <w:bodyDiv w:val="1"/>
      <w:marLeft w:val="0"/>
      <w:marRight w:val="0"/>
      <w:marTop w:val="0"/>
      <w:marBottom w:val="0"/>
      <w:divBdr>
        <w:top w:val="none" w:sz="0" w:space="0" w:color="auto"/>
        <w:left w:val="none" w:sz="0" w:space="0" w:color="auto"/>
        <w:bottom w:val="none" w:sz="0" w:space="0" w:color="auto"/>
        <w:right w:val="none" w:sz="0" w:space="0" w:color="auto"/>
      </w:divBdr>
    </w:div>
    <w:div w:id="1095052418">
      <w:bodyDiv w:val="1"/>
      <w:marLeft w:val="0"/>
      <w:marRight w:val="0"/>
      <w:marTop w:val="0"/>
      <w:marBottom w:val="0"/>
      <w:divBdr>
        <w:top w:val="none" w:sz="0" w:space="0" w:color="auto"/>
        <w:left w:val="none" w:sz="0" w:space="0" w:color="auto"/>
        <w:bottom w:val="none" w:sz="0" w:space="0" w:color="auto"/>
        <w:right w:val="none" w:sz="0" w:space="0" w:color="auto"/>
      </w:divBdr>
    </w:div>
    <w:div w:id="1112087931">
      <w:bodyDiv w:val="1"/>
      <w:marLeft w:val="0"/>
      <w:marRight w:val="0"/>
      <w:marTop w:val="0"/>
      <w:marBottom w:val="0"/>
      <w:divBdr>
        <w:top w:val="none" w:sz="0" w:space="0" w:color="auto"/>
        <w:left w:val="none" w:sz="0" w:space="0" w:color="auto"/>
        <w:bottom w:val="none" w:sz="0" w:space="0" w:color="auto"/>
        <w:right w:val="none" w:sz="0" w:space="0" w:color="auto"/>
      </w:divBdr>
    </w:div>
    <w:div w:id="1197424555">
      <w:bodyDiv w:val="1"/>
      <w:marLeft w:val="0"/>
      <w:marRight w:val="0"/>
      <w:marTop w:val="0"/>
      <w:marBottom w:val="0"/>
      <w:divBdr>
        <w:top w:val="none" w:sz="0" w:space="0" w:color="auto"/>
        <w:left w:val="none" w:sz="0" w:space="0" w:color="auto"/>
        <w:bottom w:val="none" w:sz="0" w:space="0" w:color="auto"/>
        <w:right w:val="none" w:sz="0" w:space="0" w:color="auto"/>
      </w:divBdr>
    </w:div>
    <w:div w:id="1258902176">
      <w:bodyDiv w:val="1"/>
      <w:marLeft w:val="0"/>
      <w:marRight w:val="0"/>
      <w:marTop w:val="0"/>
      <w:marBottom w:val="0"/>
      <w:divBdr>
        <w:top w:val="none" w:sz="0" w:space="0" w:color="auto"/>
        <w:left w:val="none" w:sz="0" w:space="0" w:color="auto"/>
        <w:bottom w:val="none" w:sz="0" w:space="0" w:color="auto"/>
        <w:right w:val="none" w:sz="0" w:space="0" w:color="auto"/>
      </w:divBdr>
    </w:div>
    <w:div w:id="1397437229">
      <w:bodyDiv w:val="1"/>
      <w:marLeft w:val="0"/>
      <w:marRight w:val="0"/>
      <w:marTop w:val="0"/>
      <w:marBottom w:val="0"/>
      <w:divBdr>
        <w:top w:val="none" w:sz="0" w:space="0" w:color="auto"/>
        <w:left w:val="none" w:sz="0" w:space="0" w:color="auto"/>
        <w:bottom w:val="none" w:sz="0" w:space="0" w:color="auto"/>
        <w:right w:val="none" w:sz="0" w:space="0" w:color="auto"/>
      </w:divBdr>
    </w:div>
    <w:div w:id="1412463633">
      <w:bodyDiv w:val="1"/>
      <w:marLeft w:val="0"/>
      <w:marRight w:val="0"/>
      <w:marTop w:val="0"/>
      <w:marBottom w:val="0"/>
      <w:divBdr>
        <w:top w:val="none" w:sz="0" w:space="0" w:color="auto"/>
        <w:left w:val="none" w:sz="0" w:space="0" w:color="auto"/>
        <w:bottom w:val="none" w:sz="0" w:space="0" w:color="auto"/>
        <w:right w:val="none" w:sz="0" w:space="0" w:color="auto"/>
      </w:divBdr>
    </w:div>
    <w:div w:id="1536036381">
      <w:bodyDiv w:val="1"/>
      <w:marLeft w:val="0"/>
      <w:marRight w:val="0"/>
      <w:marTop w:val="0"/>
      <w:marBottom w:val="0"/>
      <w:divBdr>
        <w:top w:val="none" w:sz="0" w:space="0" w:color="auto"/>
        <w:left w:val="none" w:sz="0" w:space="0" w:color="auto"/>
        <w:bottom w:val="none" w:sz="0" w:space="0" w:color="auto"/>
        <w:right w:val="none" w:sz="0" w:space="0" w:color="auto"/>
      </w:divBdr>
    </w:div>
    <w:div w:id="1570919099">
      <w:bodyDiv w:val="1"/>
      <w:marLeft w:val="0"/>
      <w:marRight w:val="0"/>
      <w:marTop w:val="0"/>
      <w:marBottom w:val="0"/>
      <w:divBdr>
        <w:top w:val="none" w:sz="0" w:space="0" w:color="auto"/>
        <w:left w:val="none" w:sz="0" w:space="0" w:color="auto"/>
        <w:bottom w:val="none" w:sz="0" w:space="0" w:color="auto"/>
        <w:right w:val="none" w:sz="0" w:space="0" w:color="auto"/>
      </w:divBdr>
    </w:div>
    <w:div w:id="1629505429">
      <w:bodyDiv w:val="1"/>
      <w:marLeft w:val="0"/>
      <w:marRight w:val="0"/>
      <w:marTop w:val="0"/>
      <w:marBottom w:val="0"/>
      <w:divBdr>
        <w:top w:val="none" w:sz="0" w:space="0" w:color="auto"/>
        <w:left w:val="none" w:sz="0" w:space="0" w:color="auto"/>
        <w:bottom w:val="none" w:sz="0" w:space="0" w:color="auto"/>
        <w:right w:val="none" w:sz="0" w:space="0" w:color="auto"/>
      </w:divBdr>
    </w:div>
    <w:div w:id="1689527438">
      <w:bodyDiv w:val="1"/>
      <w:marLeft w:val="0"/>
      <w:marRight w:val="0"/>
      <w:marTop w:val="0"/>
      <w:marBottom w:val="0"/>
      <w:divBdr>
        <w:top w:val="none" w:sz="0" w:space="0" w:color="auto"/>
        <w:left w:val="none" w:sz="0" w:space="0" w:color="auto"/>
        <w:bottom w:val="none" w:sz="0" w:space="0" w:color="auto"/>
        <w:right w:val="none" w:sz="0" w:space="0" w:color="auto"/>
      </w:divBdr>
    </w:div>
    <w:div w:id="1828933270">
      <w:bodyDiv w:val="1"/>
      <w:marLeft w:val="0"/>
      <w:marRight w:val="0"/>
      <w:marTop w:val="0"/>
      <w:marBottom w:val="0"/>
      <w:divBdr>
        <w:top w:val="none" w:sz="0" w:space="0" w:color="auto"/>
        <w:left w:val="none" w:sz="0" w:space="0" w:color="auto"/>
        <w:bottom w:val="none" w:sz="0" w:space="0" w:color="auto"/>
        <w:right w:val="none" w:sz="0" w:space="0" w:color="auto"/>
      </w:divBdr>
    </w:div>
    <w:div w:id="1833448059">
      <w:bodyDiv w:val="1"/>
      <w:marLeft w:val="0"/>
      <w:marRight w:val="0"/>
      <w:marTop w:val="0"/>
      <w:marBottom w:val="0"/>
      <w:divBdr>
        <w:top w:val="none" w:sz="0" w:space="0" w:color="auto"/>
        <w:left w:val="none" w:sz="0" w:space="0" w:color="auto"/>
        <w:bottom w:val="none" w:sz="0" w:space="0" w:color="auto"/>
        <w:right w:val="none" w:sz="0" w:space="0" w:color="auto"/>
      </w:divBdr>
    </w:div>
    <w:div w:id="1837265678">
      <w:bodyDiv w:val="1"/>
      <w:marLeft w:val="0"/>
      <w:marRight w:val="0"/>
      <w:marTop w:val="0"/>
      <w:marBottom w:val="0"/>
      <w:divBdr>
        <w:top w:val="none" w:sz="0" w:space="0" w:color="auto"/>
        <w:left w:val="none" w:sz="0" w:space="0" w:color="auto"/>
        <w:bottom w:val="none" w:sz="0" w:space="0" w:color="auto"/>
        <w:right w:val="none" w:sz="0" w:space="0" w:color="auto"/>
      </w:divBdr>
    </w:div>
    <w:div w:id="1903325511">
      <w:bodyDiv w:val="1"/>
      <w:marLeft w:val="0"/>
      <w:marRight w:val="0"/>
      <w:marTop w:val="0"/>
      <w:marBottom w:val="0"/>
      <w:divBdr>
        <w:top w:val="none" w:sz="0" w:space="0" w:color="auto"/>
        <w:left w:val="none" w:sz="0" w:space="0" w:color="auto"/>
        <w:bottom w:val="none" w:sz="0" w:space="0" w:color="auto"/>
        <w:right w:val="none" w:sz="0" w:space="0" w:color="auto"/>
      </w:divBdr>
    </w:div>
    <w:div w:id="1934624627">
      <w:bodyDiv w:val="1"/>
      <w:marLeft w:val="0"/>
      <w:marRight w:val="0"/>
      <w:marTop w:val="0"/>
      <w:marBottom w:val="0"/>
      <w:divBdr>
        <w:top w:val="none" w:sz="0" w:space="0" w:color="auto"/>
        <w:left w:val="none" w:sz="0" w:space="0" w:color="auto"/>
        <w:bottom w:val="none" w:sz="0" w:space="0" w:color="auto"/>
        <w:right w:val="none" w:sz="0" w:space="0" w:color="auto"/>
      </w:divBdr>
    </w:div>
    <w:div w:id="2028947594">
      <w:bodyDiv w:val="1"/>
      <w:marLeft w:val="0"/>
      <w:marRight w:val="0"/>
      <w:marTop w:val="0"/>
      <w:marBottom w:val="0"/>
      <w:divBdr>
        <w:top w:val="none" w:sz="0" w:space="0" w:color="auto"/>
        <w:left w:val="none" w:sz="0" w:space="0" w:color="auto"/>
        <w:bottom w:val="none" w:sz="0" w:space="0" w:color="auto"/>
        <w:right w:val="none" w:sz="0" w:space="0" w:color="auto"/>
      </w:divBdr>
    </w:div>
    <w:div w:id="2076512774">
      <w:bodyDiv w:val="1"/>
      <w:marLeft w:val="0"/>
      <w:marRight w:val="0"/>
      <w:marTop w:val="0"/>
      <w:marBottom w:val="0"/>
      <w:divBdr>
        <w:top w:val="none" w:sz="0" w:space="0" w:color="auto"/>
        <w:left w:val="none" w:sz="0" w:space="0" w:color="auto"/>
        <w:bottom w:val="none" w:sz="0" w:space="0" w:color="auto"/>
        <w:right w:val="none" w:sz="0" w:space="0" w:color="auto"/>
      </w:divBdr>
    </w:div>
    <w:div w:id="2121948678">
      <w:bodyDiv w:val="1"/>
      <w:marLeft w:val="0"/>
      <w:marRight w:val="0"/>
      <w:marTop w:val="0"/>
      <w:marBottom w:val="0"/>
      <w:divBdr>
        <w:top w:val="none" w:sz="0" w:space="0" w:color="auto"/>
        <w:left w:val="none" w:sz="0" w:space="0" w:color="auto"/>
        <w:bottom w:val="none" w:sz="0" w:space="0" w:color="auto"/>
        <w:right w:val="none" w:sz="0" w:space="0" w:color="auto"/>
      </w:divBdr>
    </w:div>
    <w:div w:id="213990745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http://www.chinawealth.com.cn" TargetMode="Externa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471</TotalTime>
  <Pages>8</Pages>
  <Words>671</Words>
  <Characters>3828</Characters>
  <Application>Microsoft Office Word</Application>
  <DocSecurity>0</DocSecurity>
  <Lines>31</Lines>
  <Paragraphs>8</Paragraphs>
  <ScaleCrop>false</ScaleCrop>
  <Company/>
  <LinksUpToDate>false</LinksUpToDate>
  <CharactersWithSpaces>4491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未定义</cp:lastModifiedBy>
  <cp:revision>533</cp:revision>
  <cp:lastPrinted>2021-06-03T04:20:00Z</cp:lastPrinted>
  <dcterms:created xsi:type="dcterms:W3CDTF">2008-09-11T17:20:00Z</dcterms:created>
  <dcterms:modified xsi:type="dcterms:W3CDTF">2023-08-07T07:43:00Z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ies>
</file>