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eastAsia="宋体" w:cs="宋体"/>
          <w:b/>
          <w:bCs/>
          <w:kern w:val="0"/>
          <w:sz w:val="36"/>
        </w:rPr>
      </w:pPr>
      <w:r>
        <w:rPr>
          <w:rFonts w:hint="eastAsia" w:ascii="宋体" w:hAnsi="宋体" w:eastAsia="宋体" w:cs="宋体"/>
          <w:b/>
          <w:bCs/>
          <w:kern w:val="0"/>
          <w:sz w:val="36"/>
        </w:rPr>
        <w:t>关于代销杭银理财幸福99丰裕固收386天242</w:t>
      </w:r>
      <w:r>
        <w:rPr>
          <w:rFonts w:hint="eastAsia" w:ascii="宋体" w:hAnsi="宋体" w:eastAsia="宋体" w:cs="宋体"/>
          <w:b/>
          <w:bCs/>
          <w:kern w:val="0"/>
          <w:sz w:val="36"/>
          <w:lang w:val="en-US" w:eastAsia="zh-CN"/>
        </w:rPr>
        <w:t>41</w:t>
      </w:r>
      <w:r>
        <w:rPr>
          <w:rFonts w:hint="eastAsia" w:ascii="宋体" w:hAnsi="宋体" w:eastAsia="宋体" w:cs="宋体"/>
          <w:b/>
          <w:bCs/>
          <w:kern w:val="0"/>
          <w:sz w:val="36"/>
        </w:rPr>
        <w:t>期理财的通知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微软雅黑" w:hAnsi="微软雅黑" w:cs="宋体"/>
          <w:color w:val="000000"/>
          <w:sz w:val="30"/>
          <w:szCs w:val="30"/>
        </w:rPr>
      </w:pPr>
      <w:bookmarkStart w:id="0" w:name="_GoBack"/>
      <w:r>
        <w:rPr>
          <w:rFonts w:hint="eastAsia" w:ascii="仿宋_GB2312" w:hAnsi="微软雅黑" w:eastAsia="仿宋_GB2312" w:cs="宋体"/>
          <w:color w:val="000000"/>
          <w:sz w:val="32"/>
          <w:szCs w:val="32"/>
        </w:rPr>
        <w:t>各分(支)行：</w:t>
      </w:r>
    </w:p>
    <w:p>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我行</w:t>
      </w:r>
      <w:r>
        <w:rPr>
          <w:rFonts w:hint="eastAsia" w:ascii="仿宋_GB2312" w:hAnsi="微软雅黑" w:eastAsia="仿宋_GB2312" w:cs="宋体"/>
          <w:sz w:val="32"/>
          <w:szCs w:val="32"/>
        </w:rPr>
        <w:t>将于</w:t>
      </w:r>
      <w:r>
        <w:rPr>
          <w:rFonts w:hint="eastAsia" w:ascii="仿宋_GB2312" w:hAnsi="微软雅黑" w:eastAsia="仿宋_GB2312" w:cs="宋体"/>
          <w:color w:val="FF0000"/>
          <w:sz w:val="32"/>
          <w:szCs w:val="32"/>
        </w:rPr>
        <w:t>202</w:t>
      </w:r>
      <w:r>
        <w:rPr>
          <w:rFonts w:hint="eastAsia" w:ascii="仿宋_GB2312" w:hAnsi="微软雅黑" w:eastAsia="仿宋_GB2312" w:cs="宋体"/>
          <w:color w:val="FF0000"/>
          <w:sz w:val="32"/>
          <w:szCs w:val="32"/>
          <w:lang w:val="en-US" w:eastAsia="zh-CN"/>
        </w:rPr>
        <w:t>4</w:t>
      </w:r>
      <w:r>
        <w:rPr>
          <w:rFonts w:hint="eastAsia" w:ascii="仿宋_GB2312" w:hAnsi="微软雅黑" w:eastAsia="仿宋_GB2312" w:cs="宋体"/>
          <w:color w:val="FF0000"/>
          <w:sz w:val="32"/>
          <w:szCs w:val="32"/>
        </w:rPr>
        <w:t>年10月</w:t>
      </w:r>
      <w:r>
        <w:rPr>
          <w:rFonts w:hint="eastAsia" w:ascii="仿宋_GB2312" w:hAnsi="微软雅黑" w:eastAsia="仿宋_GB2312" w:cs="宋体"/>
          <w:color w:val="FF0000"/>
          <w:sz w:val="32"/>
          <w:szCs w:val="32"/>
          <w:lang w:val="en-US" w:eastAsia="zh-CN"/>
        </w:rPr>
        <w:t>17</w:t>
      </w:r>
      <w:r>
        <w:rPr>
          <w:rFonts w:hint="eastAsia" w:ascii="仿宋_GB2312" w:hAnsi="微软雅黑" w:eastAsia="仿宋_GB2312" w:cs="宋体"/>
          <w:color w:val="FF0000"/>
          <w:sz w:val="32"/>
          <w:szCs w:val="32"/>
        </w:rPr>
        <w:t>日起</w:t>
      </w:r>
      <w:r>
        <w:rPr>
          <w:rFonts w:hint="eastAsia" w:ascii="仿宋_GB2312" w:hAnsi="微软雅黑" w:eastAsia="仿宋_GB2312" w:cs="宋体"/>
          <w:color w:val="000000"/>
          <w:sz w:val="32"/>
          <w:szCs w:val="32"/>
        </w:rPr>
        <w:t>代销</w:t>
      </w:r>
      <w:r>
        <w:rPr>
          <w:rFonts w:hint="eastAsia" w:ascii="仿宋_GB2312" w:hAnsi="微软雅黑" w:eastAsia="仿宋_GB2312" w:cs="宋体"/>
          <w:color w:val="FF0000"/>
          <w:sz w:val="32"/>
          <w:szCs w:val="32"/>
        </w:rPr>
        <w:t>杭银理财有限责任公司</w:t>
      </w:r>
      <w:r>
        <w:rPr>
          <w:rFonts w:hint="eastAsia" w:ascii="仿宋_GB2312" w:hAnsi="微软雅黑" w:eastAsia="仿宋_GB2312" w:cs="宋体"/>
          <w:color w:val="000000"/>
          <w:sz w:val="32"/>
          <w:szCs w:val="32"/>
        </w:rPr>
        <w:t>发行的</w:t>
      </w:r>
      <w:r>
        <w:rPr>
          <w:rFonts w:hint="eastAsia" w:ascii="仿宋_GB2312" w:hAnsi="微软雅黑" w:eastAsia="仿宋_GB2312" w:cs="宋体"/>
          <w:b/>
          <w:color w:val="000000"/>
          <w:sz w:val="32"/>
          <w:szCs w:val="32"/>
        </w:rPr>
        <w:t>幸福99丰裕固收386天242</w:t>
      </w:r>
      <w:r>
        <w:rPr>
          <w:rFonts w:hint="eastAsia" w:ascii="仿宋_GB2312" w:hAnsi="微软雅黑" w:eastAsia="仿宋_GB2312" w:cs="宋体"/>
          <w:b/>
          <w:color w:val="000000"/>
          <w:sz w:val="32"/>
          <w:szCs w:val="32"/>
          <w:lang w:val="en-US" w:eastAsia="zh-CN"/>
        </w:rPr>
        <w:t>41</w:t>
      </w:r>
      <w:r>
        <w:rPr>
          <w:rFonts w:hint="eastAsia" w:ascii="仿宋_GB2312" w:hAnsi="微软雅黑" w:eastAsia="仿宋_GB2312" w:cs="宋体"/>
          <w:b/>
          <w:color w:val="000000"/>
          <w:sz w:val="32"/>
          <w:szCs w:val="32"/>
        </w:rPr>
        <w:t>期理财</w:t>
      </w:r>
      <w:r>
        <w:rPr>
          <w:rFonts w:hint="eastAsia" w:ascii="仿宋_GB2312" w:hAnsi="微软雅黑" w:eastAsia="仿宋_GB2312" w:cs="宋体"/>
          <w:color w:val="000000"/>
          <w:sz w:val="32"/>
          <w:szCs w:val="32"/>
        </w:rPr>
        <w:t>, 目前只在</w:t>
      </w:r>
      <w:r>
        <w:rPr>
          <w:rFonts w:hint="eastAsia" w:ascii="仿宋_GB2312" w:hAnsi="微软雅黑" w:eastAsia="仿宋_GB2312" w:cs="宋体"/>
          <w:b/>
          <w:color w:val="FF0000"/>
          <w:sz w:val="32"/>
          <w:szCs w:val="32"/>
        </w:rPr>
        <w:t>手机银行</w:t>
      </w:r>
      <w:r>
        <w:rPr>
          <w:rFonts w:hint="eastAsia" w:ascii="仿宋_GB2312" w:hAnsi="微软雅黑" w:eastAsia="仿宋_GB2312" w:cs="宋体"/>
          <w:color w:val="000000"/>
          <w:sz w:val="32"/>
          <w:szCs w:val="32"/>
        </w:rPr>
        <w:t>销售</w:t>
      </w:r>
      <w:r>
        <w:rPr>
          <w:rFonts w:hint="eastAsia" w:ascii="仿宋_GB2312" w:hAnsi="微软雅黑" w:eastAsia="仿宋_GB2312" w:cs="宋体"/>
          <w:color w:val="000000"/>
          <w:sz w:val="32"/>
          <w:szCs w:val="32"/>
          <w:lang w:val="en-US" w:eastAsia="zh-CN"/>
        </w:rPr>
        <w:t>,</w:t>
      </w:r>
      <w:r>
        <w:rPr>
          <w:rFonts w:hint="eastAsia" w:ascii="仿宋_GB2312" w:eastAsia="仿宋_GB2312"/>
          <w:b/>
          <w:bCs/>
          <w:color w:val="FF0000"/>
          <w:sz w:val="32"/>
          <w:szCs w:val="32"/>
        </w:rPr>
        <w:t>销售服务费率0.</w:t>
      </w:r>
      <w:r>
        <w:rPr>
          <w:rFonts w:hint="eastAsia" w:ascii="仿宋_GB2312" w:eastAsia="仿宋_GB2312"/>
          <w:b/>
          <w:bCs/>
          <w:color w:val="FF0000"/>
          <w:sz w:val="32"/>
          <w:szCs w:val="32"/>
          <w:lang w:val="en-US" w:eastAsia="zh-CN"/>
        </w:rPr>
        <w:t>3</w:t>
      </w:r>
      <w:r>
        <w:rPr>
          <w:rFonts w:hint="eastAsia" w:ascii="仿宋_GB2312" w:eastAsia="仿宋_GB2312"/>
          <w:b/>
          <w:bCs/>
          <w:color w:val="FF0000"/>
          <w:sz w:val="32"/>
          <w:szCs w:val="32"/>
        </w:rPr>
        <w:t>0%/年</w:t>
      </w:r>
      <w:r>
        <w:rPr>
          <w:rFonts w:hint="eastAsia" w:ascii="仿宋_GB2312" w:eastAsia="仿宋_GB2312"/>
          <w:color w:val="000000"/>
          <w:sz w:val="32"/>
          <w:szCs w:val="32"/>
        </w:rPr>
        <w:t>。</w:t>
      </w:r>
      <w:r>
        <w:rPr>
          <w:rFonts w:hint="eastAsia" w:ascii="仿宋_GB2312" w:hAnsi="微软雅黑" w:eastAsia="仿宋_GB2312" w:cs="宋体"/>
          <w:color w:val="000000"/>
          <w:sz w:val="32"/>
          <w:szCs w:val="32"/>
        </w:rPr>
        <w:t>部分要素如下：</w:t>
      </w:r>
    </w:p>
    <w:tbl>
      <w:tblPr>
        <w:tblStyle w:val="4"/>
        <w:tblpPr w:leftFromText="180" w:rightFromText="180" w:vertAnchor="text" w:horzAnchor="page" w:tblpXSpec="center" w:tblpY="476"/>
        <w:tblOverlap w:val="never"/>
        <w:tblW w:w="88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
      <w:tblGrid>
        <w:gridCol w:w="1680"/>
        <w:gridCol w:w="7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rHeight w:val="368" w:hRule="atLeast"/>
          <w:jc w:val="center"/>
        </w:trPr>
        <w:tc>
          <w:tcPr>
            <w:tcW w:w="1680" w:type="dxa"/>
            <w:noWrap w:val="0"/>
            <w:vAlign w:val="center"/>
          </w:tcPr>
          <w:p>
            <w:pPr>
              <w:widowControl/>
              <w:spacing w:line="360" w:lineRule="auto"/>
              <w:contextualSpacing/>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产品名称</w:t>
            </w:r>
          </w:p>
        </w:tc>
        <w:tc>
          <w:tcPr>
            <w:tcW w:w="7185" w:type="dxa"/>
            <w:noWrap w:val="0"/>
            <w:vAlign w:val="center"/>
          </w:tcPr>
          <w:p>
            <w:pPr>
              <w:widowControl/>
              <w:spacing w:line="360" w:lineRule="auto"/>
              <w:contextualSpacing/>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幸福99丰裕固收386天24241期理财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rHeight w:val="90" w:hRule="atLeast"/>
          <w:jc w:val="center"/>
        </w:trPr>
        <w:tc>
          <w:tcPr>
            <w:tcW w:w="1680" w:type="dxa"/>
            <w:noWrap w:val="0"/>
            <w:vAlign w:val="center"/>
          </w:tcPr>
          <w:p>
            <w:pPr>
              <w:widowControl/>
              <w:spacing w:line="360" w:lineRule="auto"/>
              <w:contextualSpacing/>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产品简称</w:t>
            </w:r>
          </w:p>
        </w:tc>
        <w:tc>
          <w:tcPr>
            <w:tcW w:w="7185" w:type="dxa"/>
            <w:noWrap w:val="0"/>
            <w:vAlign w:val="center"/>
          </w:tcPr>
          <w:p>
            <w:pPr>
              <w:widowControl/>
              <w:spacing w:line="360" w:lineRule="auto"/>
              <w:contextualSpacing/>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丰裕固收24241期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rHeight w:val="90" w:hRule="atLeast"/>
          <w:jc w:val="center"/>
        </w:trPr>
        <w:tc>
          <w:tcPr>
            <w:tcW w:w="1680" w:type="dxa"/>
            <w:noWrap w:val="0"/>
            <w:vAlign w:val="center"/>
          </w:tcPr>
          <w:p>
            <w:pPr>
              <w:widowControl/>
              <w:spacing w:line="360" w:lineRule="auto"/>
              <w:contextualSpacing/>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产品编号</w:t>
            </w:r>
          </w:p>
        </w:tc>
        <w:tc>
          <w:tcPr>
            <w:tcW w:w="7185" w:type="dxa"/>
            <w:noWrap w:val="0"/>
            <w:vAlign w:val="center"/>
          </w:tcPr>
          <w:p>
            <w:pPr>
              <w:widowControl/>
              <w:spacing w:line="360" w:lineRule="auto"/>
              <w:contextualSpacing/>
              <w:jc w:val="both"/>
              <w:rPr>
                <w:rFonts w:ascii="宋体" w:hAnsi="宋体" w:eastAsia="宋体" w:cs="宋体"/>
                <w:color w:val="000000"/>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〖FYG24241〗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rHeight w:val="881" w:hRule="atLeast"/>
          <w:jc w:val="center"/>
        </w:trPr>
        <w:tc>
          <w:tcPr>
            <w:tcW w:w="1680" w:type="dxa"/>
            <w:noWrap w:val="0"/>
            <w:vAlign w:val="center"/>
          </w:tcPr>
          <w:p>
            <w:pPr>
              <w:widowControl/>
              <w:spacing w:line="360" w:lineRule="auto"/>
              <w:contextualSpacing/>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登记编码</w:t>
            </w:r>
          </w:p>
        </w:tc>
        <w:tc>
          <w:tcPr>
            <w:tcW w:w="7185" w:type="dxa"/>
            <w:noWrap w:val="0"/>
            <w:vAlign w:val="center"/>
          </w:tcPr>
          <w:p>
            <w:pPr>
              <w:widowControl/>
              <w:spacing w:line="360" w:lineRule="auto"/>
              <w:contextualSpacing/>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本理财计划在全国银行业理财信息登记系统的登记编码是〖Z7002224000299〗，投资者可依据该编码在“中国理财网（www.chinawealth.com.cn）”查询本理财计划信息。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rHeight w:val="451" w:hRule="atLeast"/>
          <w:jc w:val="center"/>
        </w:trPr>
        <w:tc>
          <w:tcPr>
            <w:tcW w:w="1680" w:type="dxa"/>
            <w:noWrap w:val="0"/>
            <w:vAlign w:val="center"/>
          </w:tcPr>
          <w:p>
            <w:pPr>
              <w:widowControl/>
              <w:spacing w:line="360" w:lineRule="auto"/>
              <w:contextualSpacing/>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发行对象</w:t>
            </w:r>
          </w:p>
        </w:tc>
        <w:tc>
          <w:tcPr>
            <w:tcW w:w="7185" w:type="dxa"/>
            <w:noWrap w:val="0"/>
            <w:vAlign w:val="center"/>
          </w:tcPr>
          <w:p>
            <w:pPr>
              <w:widowControl/>
              <w:spacing w:line="360" w:lineRule="auto"/>
              <w:contextualSpacing/>
              <w:jc w:val="both"/>
              <w:rPr>
                <w:rFonts w:hint="eastAsia" w:ascii="宋体" w:hAnsi="宋体" w:eastAsia="宋体" w:cs="宋体"/>
                <w:b/>
                <w:color w:val="000000"/>
                <w:kern w:val="2"/>
                <w:sz w:val="21"/>
                <w:szCs w:val="21"/>
                <w:highlight w:val="none"/>
                <w:lang w:val="en-US" w:eastAsia="zh-CN" w:bidi="ar-SA"/>
              </w:rPr>
            </w:pPr>
            <w:r>
              <w:rPr>
                <w:rFonts w:hint="eastAsia" w:ascii="宋体" w:hAnsi="宋体" w:eastAsia="宋体" w:cs="宋体"/>
                <w:b w:val="0"/>
                <w:bCs/>
                <w:color w:val="000000"/>
                <w:kern w:val="2"/>
                <w:sz w:val="21"/>
                <w:szCs w:val="21"/>
                <w:highlight w:val="none"/>
                <w:lang w:val="en-US" w:eastAsia="zh-CN" w:bidi="ar-SA"/>
              </w:rPr>
              <w:t>D份额（销售代码〖FYG24241D〗）：杭银理财直销渠道及部分代销机构客户。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rHeight w:val="90" w:hRule="atLeast"/>
          <w:jc w:val="center"/>
        </w:trPr>
        <w:tc>
          <w:tcPr>
            <w:tcW w:w="1680" w:type="dxa"/>
            <w:noWrap w:val="0"/>
            <w:vAlign w:val="center"/>
          </w:tcPr>
          <w:p>
            <w:pPr>
              <w:widowControl/>
              <w:spacing w:line="360" w:lineRule="auto"/>
              <w:contextualSpacing/>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发行方式</w:t>
            </w:r>
          </w:p>
        </w:tc>
        <w:tc>
          <w:tcPr>
            <w:tcW w:w="7185" w:type="dxa"/>
            <w:noWrap w:val="0"/>
            <w:vAlign w:val="center"/>
          </w:tcPr>
          <w:p>
            <w:pPr>
              <w:widowControl/>
              <w:spacing w:line="360" w:lineRule="auto"/>
              <w:contextualSpacing/>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jc w:val="center"/>
        </w:trPr>
        <w:tc>
          <w:tcPr>
            <w:tcW w:w="1680" w:type="dxa"/>
            <w:noWrap w:val="0"/>
            <w:vAlign w:val="center"/>
          </w:tcPr>
          <w:p>
            <w:pPr>
              <w:widowControl/>
              <w:spacing w:line="360" w:lineRule="auto"/>
              <w:contextualSpacing/>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产品类型</w:t>
            </w:r>
          </w:p>
        </w:tc>
        <w:tc>
          <w:tcPr>
            <w:tcW w:w="7185" w:type="dxa"/>
            <w:noWrap w:val="0"/>
            <w:vAlign w:val="center"/>
          </w:tcPr>
          <w:p>
            <w:pPr>
              <w:widowControl/>
              <w:spacing w:line="360" w:lineRule="auto"/>
              <w:contextualSpacing/>
              <w:jc w:val="both"/>
              <w:rPr>
                <w:rFonts w:ascii="宋体" w:hAnsi="宋体" w:eastAsia="宋体" w:cs="宋体"/>
                <w:color w:val="000000"/>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〖固定收益类〗</w:t>
            </w:r>
            <w:r>
              <w:rPr>
                <w:rFonts w:hint="eastAsia" w:ascii="宋体" w:hAnsi="宋体" w:eastAsia="宋体" w:cs="宋体"/>
                <w:color w:val="000000"/>
                <w:kern w:val="2"/>
                <w:sz w:val="21"/>
                <w:szCs w:val="21"/>
                <w:highlight w:val="none"/>
                <w:lang w:val="en-US" w:eastAsia="zh-CN" w:bidi="ar-SA"/>
              </w:rPr>
              <w:t>，非保本浮动收益型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rHeight w:val="308" w:hRule="atLeast"/>
          <w:jc w:val="center"/>
        </w:trPr>
        <w:tc>
          <w:tcPr>
            <w:tcW w:w="1680" w:type="dxa"/>
            <w:noWrap w:val="0"/>
            <w:vAlign w:val="center"/>
          </w:tcPr>
          <w:p>
            <w:pPr>
              <w:widowControl/>
              <w:spacing w:line="360" w:lineRule="auto"/>
              <w:contextualSpacing/>
              <w:jc w:val="center"/>
              <w:rPr>
                <w:rFonts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运作模式</w:t>
            </w:r>
          </w:p>
        </w:tc>
        <w:tc>
          <w:tcPr>
            <w:tcW w:w="7185" w:type="dxa"/>
            <w:noWrap w:val="0"/>
            <w:vAlign w:val="center"/>
          </w:tcPr>
          <w:p>
            <w:pPr>
              <w:widowControl/>
              <w:spacing w:line="360" w:lineRule="auto"/>
              <w:contextualSpacing/>
              <w:jc w:val="both"/>
              <w:rPr>
                <w:rFonts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rHeight w:val="218" w:hRule="atLeast"/>
          <w:jc w:val="center"/>
        </w:trPr>
        <w:tc>
          <w:tcPr>
            <w:tcW w:w="1680" w:type="dxa"/>
            <w:noWrap w:val="0"/>
            <w:vAlign w:val="center"/>
          </w:tcPr>
          <w:p>
            <w:pPr>
              <w:widowControl/>
              <w:spacing w:line="360" w:lineRule="auto"/>
              <w:contextualSpacing/>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分级产品</w:t>
            </w:r>
          </w:p>
        </w:tc>
        <w:tc>
          <w:tcPr>
            <w:tcW w:w="7185" w:type="dxa"/>
            <w:noWrap w:val="0"/>
            <w:vAlign w:val="center"/>
          </w:tcPr>
          <w:p>
            <w:pPr>
              <w:widowControl/>
              <w:spacing w:line="360" w:lineRule="auto"/>
              <w:contextualSpacing/>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rHeight w:val="218" w:hRule="atLeast"/>
          <w:jc w:val="center"/>
        </w:trPr>
        <w:tc>
          <w:tcPr>
            <w:tcW w:w="1680" w:type="dxa"/>
            <w:noWrap w:val="0"/>
            <w:vAlign w:val="center"/>
          </w:tcPr>
          <w:p>
            <w:pPr>
              <w:widowControl/>
              <w:spacing w:line="360" w:lineRule="auto"/>
              <w:contextualSpacing/>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销售范围</w:t>
            </w:r>
          </w:p>
        </w:tc>
        <w:tc>
          <w:tcPr>
            <w:tcW w:w="7185" w:type="dxa"/>
            <w:noWrap w:val="0"/>
            <w:vAlign w:val="center"/>
          </w:tcPr>
          <w:p>
            <w:pPr>
              <w:widowControl/>
              <w:spacing w:line="360" w:lineRule="auto"/>
              <w:contextualSpacing/>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w:t>
            </w:r>
            <w:r>
              <w:rPr>
                <w:rFonts w:hint="eastAsia" w:ascii="宋体" w:hAnsi="宋体" w:eastAsia="宋体" w:cs="宋体"/>
                <w:color w:val="000000"/>
                <w:kern w:val="2"/>
                <w:sz w:val="21"/>
                <w:szCs w:val="21"/>
                <w:highlight w:val="none"/>
                <w:lang w:val="en-US" w:eastAsia="zh-CN" w:bidi="ar-SA"/>
              </w:rPr>
              <w:t>全国</w:t>
            </w:r>
            <w:r>
              <w:rPr>
                <w:rFonts w:hint="eastAsia" w:ascii="宋体" w:hAnsi="宋体" w:eastAsia="宋体" w:cs="宋体"/>
                <w:kern w:val="2"/>
                <w:sz w:val="21"/>
                <w:szCs w:val="21"/>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jc w:val="center"/>
        </w:trPr>
        <w:tc>
          <w:tcPr>
            <w:tcW w:w="1680" w:type="dxa"/>
            <w:noWrap w:val="0"/>
            <w:vAlign w:val="center"/>
          </w:tcPr>
          <w:p>
            <w:pPr>
              <w:widowControl/>
              <w:spacing w:line="360" w:lineRule="auto"/>
              <w:contextualSpacing/>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销售渠道</w:t>
            </w:r>
          </w:p>
        </w:tc>
        <w:tc>
          <w:tcPr>
            <w:tcW w:w="7185" w:type="dxa"/>
            <w:noWrap w:val="0"/>
            <w:vAlign w:val="center"/>
          </w:tcPr>
          <w:p>
            <w:pPr>
              <w:widowControl/>
              <w:spacing w:line="360" w:lineRule="auto"/>
              <w:contextualSpacing/>
              <w:jc w:val="left"/>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可通过杭银理财直销渠道和代理销售机构的</w:t>
            </w:r>
            <w:r>
              <w:rPr>
                <w:rFonts w:hint="eastAsia" w:ascii="宋体" w:hAnsi="宋体" w:eastAsia="宋体" w:cs="宋体"/>
                <w:kern w:val="2"/>
                <w:sz w:val="21"/>
                <w:szCs w:val="21"/>
                <w:highlight w:val="none"/>
                <w:lang w:val="en-US" w:eastAsia="zh-CN" w:bidi="ar-SA"/>
              </w:rPr>
              <w:t>〖</w:t>
            </w:r>
            <w:r>
              <w:rPr>
                <w:rFonts w:hint="eastAsia" w:ascii="宋体" w:hAnsi="宋体" w:eastAsia="宋体" w:cs="宋体"/>
                <w:color w:val="000000"/>
                <w:kern w:val="2"/>
                <w:sz w:val="21"/>
                <w:szCs w:val="21"/>
                <w:highlight w:val="none"/>
                <w:lang w:val="en-US" w:eastAsia="zh-CN" w:bidi="ar-SA"/>
              </w:rPr>
              <w:t>营业网点、网上银行、手机银行</w:t>
            </w:r>
            <w:r>
              <w:rPr>
                <w:rFonts w:hint="eastAsia" w:ascii="宋体" w:hAnsi="宋体" w:eastAsia="宋体" w:cs="宋体"/>
                <w:kern w:val="2"/>
                <w:sz w:val="21"/>
                <w:szCs w:val="21"/>
                <w:highlight w:val="none"/>
                <w:lang w:val="en-US" w:eastAsia="zh-CN" w:bidi="ar-SA"/>
              </w:rPr>
              <w:t>〗</w:t>
            </w:r>
            <w:r>
              <w:rPr>
                <w:rFonts w:hint="eastAsia" w:ascii="宋体" w:hAnsi="宋体" w:eastAsia="宋体" w:cs="宋体"/>
                <w:color w:val="000000"/>
                <w:kern w:val="2"/>
                <w:sz w:val="21"/>
                <w:szCs w:val="21"/>
                <w:highlight w:val="none"/>
                <w:lang w:val="en-US" w:eastAsia="zh-CN" w:bidi="ar-SA"/>
              </w:rPr>
              <w:t>等渠道购买，通过代理销售机构购买的，具体销售渠道以代理销售机构披露为准。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jc w:val="center"/>
        </w:trPr>
        <w:tc>
          <w:tcPr>
            <w:tcW w:w="1680" w:type="dxa"/>
            <w:noWrap w:val="0"/>
            <w:vAlign w:val="center"/>
          </w:tcPr>
          <w:p>
            <w:pPr>
              <w:widowControl/>
              <w:spacing w:line="360" w:lineRule="auto"/>
              <w:contextualSpacing/>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交易币种</w:t>
            </w:r>
          </w:p>
        </w:tc>
        <w:tc>
          <w:tcPr>
            <w:tcW w:w="7185" w:type="dxa"/>
            <w:noWrap w:val="0"/>
            <w:vAlign w:val="center"/>
          </w:tcPr>
          <w:p>
            <w:pPr>
              <w:widowControl/>
              <w:spacing w:line="360" w:lineRule="auto"/>
              <w:contextualSpacing/>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jc w:val="center"/>
        </w:trPr>
        <w:tc>
          <w:tcPr>
            <w:tcW w:w="1680" w:type="dxa"/>
            <w:noWrap w:val="0"/>
            <w:vAlign w:val="center"/>
          </w:tcPr>
          <w:p>
            <w:pPr>
              <w:widowControl/>
              <w:spacing w:line="360" w:lineRule="auto"/>
              <w:contextualSpacing/>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发行规模上限</w:t>
            </w:r>
          </w:p>
        </w:tc>
        <w:tc>
          <w:tcPr>
            <w:tcW w:w="7185" w:type="dxa"/>
            <w:noWrap w:val="0"/>
            <w:vAlign w:val="center"/>
          </w:tcPr>
          <w:p>
            <w:pPr>
              <w:widowControl/>
              <w:spacing w:line="360" w:lineRule="auto"/>
              <w:contextualSpacing/>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〖40〗亿元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jc w:val="center"/>
        </w:trPr>
        <w:tc>
          <w:tcPr>
            <w:tcW w:w="1680" w:type="dxa"/>
            <w:noWrap w:val="0"/>
            <w:vAlign w:val="center"/>
          </w:tcPr>
          <w:p>
            <w:pPr>
              <w:widowControl/>
              <w:spacing w:line="360" w:lineRule="auto"/>
              <w:contextualSpacing/>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认购期</w:t>
            </w:r>
          </w:p>
        </w:tc>
        <w:tc>
          <w:tcPr>
            <w:tcW w:w="7185" w:type="dxa"/>
            <w:noWrap w:val="0"/>
            <w:vAlign w:val="center"/>
          </w:tcPr>
          <w:p>
            <w:pPr>
              <w:widowControl/>
              <w:spacing w:line="360" w:lineRule="auto"/>
              <w:contextualSpacing/>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〖2024〗年〖10〗月〖15〗日-〖2024〗年〖10〗月〖21〗日</w:t>
            </w:r>
            <w:r>
              <w:rPr>
                <w:rFonts w:hint="eastAsia" w:ascii="宋体" w:hAnsi="宋体" w:eastAsia="宋体" w:cs="宋体"/>
                <w:color w:val="000000"/>
                <w:kern w:val="0"/>
                <w:sz w:val="21"/>
                <w:szCs w:val="21"/>
                <w:highlight w:val="none"/>
                <w:lang w:val="en-US" w:eastAsia="zh-CN" w:bidi="ar-SA"/>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rHeight w:val="368" w:hRule="atLeast"/>
          <w:jc w:val="center"/>
        </w:trPr>
        <w:tc>
          <w:tcPr>
            <w:tcW w:w="1680" w:type="dxa"/>
            <w:noWrap w:val="0"/>
            <w:vAlign w:val="center"/>
          </w:tcPr>
          <w:p>
            <w:pPr>
              <w:widowControl/>
              <w:spacing w:line="360" w:lineRule="auto"/>
              <w:contextualSpacing/>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认购时间</w:t>
            </w:r>
          </w:p>
        </w:tc>
        <w:tc>
          <w:tcPr>
            <w:tcW w:w="7185" w:type="dxa"/>
            <w:noWrap w:val="0"/>
            <w:vAlign w:val="center"/>
          </w:tcPr>
          <w:p>
            <w:pPr>
              <w:widowControl/>
              <w:spacing w:line="360" w:lineRule="auto"/>
              <w:contextualSpacing/>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认购期首日〖9：00〗至认购结束日〖17：00〗</w:t>
            </w:r>
            <w:r>
              <w:rPr>
                <w:rFonts w:hint="eastAsia" w:ascii="宋体" w:hAnsi="宋体" w:eastAsia="宋体" w:cs="宋体"/>
                <w:color w:val="000000"/>
                <w:kern w:val="0"/>
                <w:sz w:val="21"/>
                <w:szCs w:val="21"/>
                <w:highlight w:val="none"/>
                <w:lang w:val="en-US" w:eastAsia="zh-CN" w:bidi="ar-SA"/>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jc w:val="center"/>
        </w:trPr>
        <w:tc>
          <w:tcPr>
            <w:tcW w:w="1680" w:type="dxa"/>
            <w:noWrap w:val="0"/>
            <w:vAlign w:val="center"/>
          </w:tcPr>
          <w:p>
            <w:pPr>
              <w:widowControl/>
              <w:spacing w:line="360" w:lineRule="auto"/>
              <w:contextualSpacing/>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成立日</w:t>
            </w:r>
          </w:p>
        </w:tc>
        <w:tc>
          <w:tcPr>
            <w:tcW w:w="7185" w:type="dxa"/>
            <w:noWrap w:val="0"/>
            <w:vAlign w:val="center"/>
          </w:tcPr>
          <w:p>
            <w:pPr>
              <w:widowControl/>
              <w:spacing w:line="360" w:lineRule="auto"/>
              <w:contextualSpacing/>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〖2024〗年〖10〗月〖22〗日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jc w:val="center"/>
        </w:trPr>
        <w:tc>
          <w:tcPr>
            <w:tcW w:w="1680" w:type="dxa"/>
            <w:noWrap w:val="0"/>
            <w:vAlign w:val="center"/>
          </w:tcPr>
          <w:p>
            <w:pPr>
              <w:widowControl/>
              <w:spacing w:line="360" w:lineRule="auto"/>
              <w:contextualSpacing/>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到期日</w:t>
            </w:r>
          </w:p>
        </w:tc>
        <w:tc>
          <w:tcPr>
            <w:tcW w:w="7185" w:type="dxa"/>
            <w:noWrap w:val="0"/>
            <w:vAlign w:val="center"/>
          </w:tcPr>
          <w:p>
            <w:pPr>
              <w:widowControl/>
              <w:spacing w:line="360" w:lineRule="auto"/>
              <w:contextualSpacing/>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〖2025〗年〖11〗月〖12〗日，若到期日为非工作日则顺延至下一个工作日。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jc w:val="center"/>
        </w:trPr>
        <w:tc>
          <w:tcPr>
            <w:tcW w:w="1680" w:type="dxa"/>
            <w:noWrap w:val="0"/>
            <w:vAlign w:val="center"/>
          </w:tcPr>
          <w:p>
            <w:pPr>
              <w:widowControl/>
              <w:spacing w:line="360" w:lineRule="auto"/>
              <w:contextualSpacing/>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理财期限</w:t>
            </w:r>
          </w:p>
        </w:tc>
        <w:tc>
          <w:tcPr>
            <w:tcW w:w="7185" w:type="dxa"/>
            <w:noWrap w:val="0"/>
            <w:vAlign w:val="center"/>
          </w:tcPr>
          <w:p>
            <w:pPr>
              <w:widowControl/>
              <w:spacing w:line="360" w:lineRule="auto"/>
              <w:contextualSpacing/>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〖386〗天（实际理财期限受制于管理人提前终止权等条款）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jc w:val="center"/>
        </w:trPr>
        <w:tc>
          <w:tcPr>
            <w:tcW w:w="1680" w:type="dxa"/>
            <w:noWrap w:val="0"/>
            <w:vAlign w:val="center"/>
          </w:tcPr>
          <w:p>
            <w:pPr>
              <w:widowControl/>
              <w:spacing w:line="360" w:lineRule="auto"/>
              <w:contextualSpacing/>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产品续期</w:t>
            </w:r>
          </w:p>
        </w:tc>
        <w:tc>
          <w:tcPr>
            <w:tcW w:w="7185" w:type="dxa"/>
            <w:noWrap w:val="0"/>
            <w:vAlign w:val="center"/>
          </w:tcPr>
          <w:p>
            <w:pPr>
              <w:widowControl/>
              <w:spacing w:line="360" w:lineRule="auto"/>
              <w:contextualSpacing/>
              <w:jc w:val="both"/>
              <w:rPr>
                <w:rFonts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本理财计划在到期日前如遇部分资产无法变现，为保障投资者权益，管理人有权进行一次或多次续期，并在到期日前〖5〗</w:t>
            </w:r>
            <w:r>
              <w:rPr>
                <w:rFonts w:hint="eastAsia" w:ascii="宋体" w:hAnsi="宋体" w:eastAsia="宋体" w:cs="宋体"/>
                <w:bCs/>
                <w:kern w:val="2"/>
                <w:sz w:val="21"/>
                <w:szCs w:val="21"/>
                <w:highlight w:val="none"/>
                <w:lang w:val="en-US" w:eastAsia="zh-CN" w:bidi="ar-SA"/>
              </w:rPr>
              <w:t>个工作日对外公告续期事宜及续期时间。理财计划在续期期间不得进行申购和赎回。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jc w:val="center"/>
        </w:trPr>
        <w:tc>
          <w:tcPr>
            <w:tcW w:w="1680" w:type="dxa"/>
            <w:noWrap w:val="0"/>
            <w:vAlign w:val="center"/>
          </w:tcPr>
          <w:p>
            <w:pPr>
              <w:widowControl/>
              <w:spacing w:line="360" w:lineRule="auto"/>
              <w:contextualSpacing/>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认购起点金额</w:t>
            </w:r>
          </w:p>
        </w:tc>
        <w:tc>
          <w:tcPr>
            <w:tcW w:w="7185" w:type="dxa"/>
            <w:noWrap w:val="0"/>
            <w:vAlign w:val="center"/>
          </w:tcPr>
          <w:p>
            <w:pPr>
              <w:widowControl/>
              <w:spacing w:line="360" w:lineRule="auto"/>
              <w:contextualSpacing/>
              <w:jc w:val="both"/>
              <w:rPr>
                <w:rFonts w:hint="eastAsia" w:ascii="宋体" w:hAnsi="宋体" w:eastAsia="宋体" w:cs="宋体"/>
                <w:color w:val="000000"/>
                <w:kern w:val="0"/>
                <w:sz w:val="21"/>
                <w:szCs w:val="21"/>
                <w:highlight w:val="none"/>
                <w:lang w:val="en-US" w:eastAsia="zh-CN" w:bidi="ar-SA"/>
              </w:rPr>
            </w:pPr>
            <w:r>
              <w:rPr>
                <w:rFonts w:hint="eastAsia" w:ascii="宋体" w:hAnsi="宋体" w:eastAsia="宋体" w:cs="宋体"/>
                <w:color w:val="000000"/>
                <w:kern w:val="0"/>
                <w:sz w:val="21"/>
                <w:szCs w:val="21"/>
                <w:highlight w:val="none"/>
                <w:lang w:val="en-US" w:eastAsia="zh-CN" w:bidi="ar-SA"/>
              </w:rPr>
              <w:t>〖D份额〗起点〖1〗元整，超过认购起点部分，应为〖1〗元的整数倍。</w:t>
            </w:r>
          </w:p>
          <w:p>
            <w:pPr>
              <w:widowControl/>
              <w:spacing w:line="360" w:lineRule="auto"/>
              <w:contextualSpacing/>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0"/>
                <w:sz w:val="21"/>
                <w:szCs w:val="21"/>
                <w:highlight w:val="none"/>
                <w:lang w:val="en-US" w:eastAsia="zh-CN" w:bidi="ar-SA"/>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rHeight w:val="524" w:hRule="atLeast"/>
          <w:jc w:val="center"/>
        </w:trPr>
        <w:tc>
          <w:tcPr>
            <w:tcW w:w="1680" w:type="dxa"/>
            <w:noWrap w:val="0"/>
            <w:vAlign w:val="center"/>
          </w:tcPr>
          <w:p>
            <w:pPr>
              <w:widowControl/>
              <w:spacing w:line="360" w:lineRule="auto"/>
              <w:contextualSpacing/>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认购份额</w:t>
            </w:r>
          </w:p>
        </w:tc>
        <w:tc>
          <w:tcPr>
            <w:tcW w:w="7185" w:type="dxa"/>
            <w:noWrap w:val="0"/>
            <w:vAlign w:val="center"/>
          </w:tcPr>
          <w:p>
            <w:pPr>
              <w:widowControl/>
              <w:spacing w:line="360" w:lineRule="auto"/>
              <w:contextualSpacing/>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认购份额=认购金额/1元。认购份额保留至0.01份理财产品份额，小数点后两位以下四舍五入。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jc w:val="center"/>
        </w:trPr>
        <w:tc>
          <w:tcPr>
            <w:tcW w:w="1680" w:type="dxa"/>
            <w:noWrap w:val="0"/>
            <w:vAlign w:val="center"/>
          </w:tcPr>
          <w:p>
            <w:pPr>
              <w:widowControl/>
              <w:spacing w:line="360" w:lineRule="auto"/>
              <w:contextualSpacing/>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产品成立</w:t>
            </w:r>
          </w:p>
        </w:tc>
        <w:tc>
          <w:tcPr>
            <w:tcW w:w="7185" w:type="dxa"/>
            <w:noWrap w:val="0"/>
            <w:vAlign w:val="center"/>
          </w:tcPr>
          <w:p>
            <w:pPr>
              <w:widowControl/>
              <w:spacing w:line="360" w:lineRule="auto"/>
              <w:contextualSpacing/>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为保护投资者利益，管理人可根据市场变化情况或法定节假日调整缩短或延长认购期并提前或推迟成立，理财计划提前或推迟成立时管理人将调整相关日期并进行信息披露。理财计划最终规模以实际认购规模为准。如果理财计划认购规模低于</w:t>
            </w:r>
            <w:r>
              <w:rPr>
                <w:rFonts w:hint="eastAsia" w:ascii="宋体" w:hAnsi="宋体" w:eastAsia="宋体" w:cs="宋体"/>
                <w:kern w:val="2"/>
                <w:sz w:val="21"/>
                <w:szCs w:val="21"/>
                <w:highlight w:val="none"/>
                <w:lang w:val="en-US" w:eastAsia="zh-CN" w:bidi="ar-SA"/>
              </w:rPr>
              <w:t>〖3000〗</w:t>
            </w:r>
            <w:r>
              <w:rPr>
                <w:rFonts w:hint="eastAsia" w:ascii="宋体" w:hAnsi="宋体" w:eastAsia="宋体" w:cs="宋体"/>
                <w:color w:val="000000"/>
                <w:kern w:val="2"/>
                <w:sz w:val="21"/>
                <w:szCs w:val="21"/>
                <w:highlight w:val="none"/>
                <w:lang w:val="en-US" w:eastAsia="zh-CN" w:bidi="ar-SA"/>
              </w:rPr>
              <w:t>万元，则管理人可宣布本理财计划不成立并在原定理财计划成立日后</w:t>
            </w:r>
            <w:r>
              <w:rPr>
                <w:rFonts w:hint="eastAsia" w:ascii="宋体" w:hAnsi="宋体" w:eastAsia="宋体" w:cs="宋体"/>
                <w:kern w:val="2"/>
                <w:sz w:val="21"/>
                <w:szCs w:val="21"/>
                <w:highlight w:val="none"/>
                <w:lang w:val="en-US" w:eastAsia="zh-CN" w:bidi="ar-SA"/>
              </w:rPr>
              <w:t>〖</w:t>
            </w:r>
            <w:r>
              <w:rPr>
                <w:rFonts w:hint="eastAsia" w:ascii="宋体" w:hAnsi="宋体" w:eastAsia="宋体" w:cs="宋体"/>
                <w:color w:val="000000"/>
                <w:kern w:val="2"/>
                <w:sz w:val="21"/>
                <w:szCs w:val="21"/>
                <w:highlight w:val="none"/>
                <w:lang w:val="en-US" w:eastAsia="zh-CN" w:bidi="ar-SA"/>
              </w:rPr>
              <w:t>2</w:t>
            </w:r>
            <w:r>
              <w:rPr>
                <w:rFonts w:hint="eastAsia" w:ascii="宋体" w:hAnsi="宋体" w:eastAsia="宋体" w:cs="宋体"/>
                <w:kern w:val="2"/>
                <w:sz w:val="21"/>
                <w:szCs w:val="21"/>
                <w:highlight w:val="none"/>
                <w:lang w:val="en-US" w:eastAsia="zh-CN" w:bidi="ar-SA"/>
              </w:rPr>
              <w:t>〗</w:t>
            </w:r>
            <w:r>
              <w:rPr>
                <w:rFonts w:hint="eastAsia" w:ascii="宋体" w:hAnsi="宋体" w:eastAsia="宋体" w:cs="宋体"/>
                <w:color w:val="000000"/>
                <w:kern w:val="2"/>
                <w:sz w:val="21"/>
                <w:szCs w:val="21"/>
                <w:highlight w:val="none"/>
                <w:lang w:val="en-US" w:eastAsia="zh-CN" w:bidi="ar-SA"/>
              </w:rPr>
              <w:t>个工作日内通过管理人或销售机构发布不成立信息，投资者购买的理财资金将在原定成立日后2个工作日内划转至投资者指定理财账户，</w:t>
            </w:r>
            <w:r>
              <w:rPr>
                <w:rFonts w:hint="eastAsia" w:ascii="宋体" w:hAnsi="宋体" w:eastAsia="宋体" w:cs="宋体"/>
                <w:b/>
                <w:color w:val="000000"/>
                <w:kern w:val="2"/>
                <w:sz w:val="21"/>
                <w:szCs w:val="21"/>
                <w:highlight w:val="none"/>
                <w:lang w:val="en-US" w:eastAsia="zh-CN" w:bidi="ar-SA"/>
              </w:rPr>
              <w:t>该理财资金在原定成立日至资金到账日之间不计利息。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jc w:val="center"/>
        </w:trPr>
        <w:tc>
          <w:tcPr>
            <w:tcW w:w="1680" w:type="dxa"/>
            <w:noWrap w:val="0"/>
            <w:vAlign w:val="center"/>
          </w:tcPr>
          <w:p>
            <w:pPr>
              <w:widowControl/>
              <w:spacing w:line="360" w:lineRule="auto"/>
              <w:contextualSpacing/>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单位净值</w:t>
            </w:r>
          </w:p>
        </w:tc>
        <w:tc>
          <w:tcPr>
            <w:tcW w:w="7185" w:type="dxa"/>
            <w:noWrap w:val="0"/>
            <w:vAlign w:val="center"/>
          </w:tcPr>
          <w:p>
            <w:pPr>
              <w:widowControl/>
              <w:spacing w:line="360" w:lineRule="auto"/>
              <w:contextualSpacing/>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单位净值=理财计划估值日理财计划总净值/理财计划总份额，单位净值保留小数点后四位。</w:t>
            </w:r>
          </w:p>
          <w:p>
            <w:pPr>
              <w:widowControl/>
              <w:spacing w:line="360" w:lineRule="auto"/>
              <w:contextualSpacing/>
              <w:jc w:val="both"/>
              <w:rPr>
                <w:rFonts w:hint="eastAsia" w:ascii="宋体" w:hAnsi="宋体" w:eastAsia="宋体" w:cs="宋体"/>
                <w:b/>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理财计划总净值=理财计划认购总额+理财计划所获总收益-理财计划总费用（包括但不限于固定管理费、托管费、销售服务费、浮动管理费等）。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jc w:val="center"/>
        </w:trPr>
        <w:tc>
          <w:tcPr>
            <w:tcW w:w="1680" w:type="dxa"/>
            <w:noWrap w:val="0"/>
            <w:vAlign w:val="center"/>
          </w:tcPr>
          <w:p>
            <w:pPr>
              <w:widowControl/>
              <w:spacing w:line="360" w:lineRule="auto"/>
              <w:contextualSpacing/>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资金与收益支付方式</w:t>
            </w:r>
          </w:p>
        </w:tc>
        <w:tc>
          <w:tcPr>
            <w:tcW w:w="7185" w:type="dxa"/>
            <w:noWrap w:val="0"/>
            <w:vAlign w:val="center"/>
          </w:tcPr>
          <w:p>
            <w:pPr>
              <w:widowControl/>
              <w:spacing w:line="360" w:lineRule="auto"/>
              <w:contextualSpacing/>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理财计划到期后，最快</w:t>
            </w:r>
            <w:r>
              <w:rPr>
                <w:rFonts w:hint="eastAsia" w:ascii="宋体" w:hAnsi="宋体" w:eastAsia="宋体" w:cs="宋体"/>
                <w:kern w:val="2"/>
                <w:sz w:val="21"/>
                <w:szCs w:val="21"/>
                <w:highlight w:val="none"/>
                <w:lang w:val="en-US" w:eastAsia="zh-CN" w:bidi="ar-SA"/>
              </w:rPr>
              <w:t>〖1〗</w:t>
            </w:r>
            <w:r>
              <w:rPr>
                <w:rFonts w:hint="eastAsia" w:ascii="宋体" w:hAnsi="宋体" w:eastAsia="宋体" w:cs="宋体"/>
                <w:color w:val="000000"/>
                <w:kern w:val="2"/>
                <w:sz w:val="21"/>
                <w:szCs w:val="21"/>
                <w:highlight w:val="none"/>
                <w:lang w:val="en-US" w:eastAsia="zh-CN" w:bidi="ar-SA"/>
              </w:rPr>
              <w:t>个工作日，最晚</w:t>
            </w:r>
            <w:r>
              <w:rPr>
                <w:rFonts w:hint="eastAsia" w:ascii="宋体" w:hAnsi="宋体" w:eastAsia="宋体" w:cs="宋体"/>
                <w:kern w:val="2"/>
                <w:sz w:val="21"/>
                <w:szCs w:val="21"/>
                <w:highlight w:val="none"/>
                <w:lang w:val="en-US" w:eastAsia="zh-CN" w:bidi="ar-SA"/>
              </w:rPr>
              <w:t>〖3〗</w:t>
            </w:r>
            <w:r>
              <w:rPr>
                <w:rFonts w:hint="eastAsia" w:ascii="宋体" w:hAnsi="宋体" w:eastAsia="宋体" w:cs="宋体"/>
                <w:color w:val="000000"/>
                <w:kern w:val="2"/>
                <w:sz w:val="21"/>
                <w:szCs w:val="21"/>
                <w:highlight w:val="none"/>
                <w:lang w:val="en-US" w:eastAsia="zh-CN" w:bidi="ar-SA"/>
              </w:rPr>
              <w:t>个工作日内（遇节假日顺延）理财资金与收益一次性支付。如遇资金在途或法定工作日调整，实际资金到账日以公告为准。</w:t>
            </w:r>
            <w:r>
              <w:rPr>
                <w:rFonts w:hint="eastAsia" w:ascii="宋体" w:hAnsi="宋体" w:eastAsia="宋体" w:cs="宋体"/>
                <w:color w:val="000000"/>
                <w:kern w:val="0"/>
                <w:sz w:val="21"/>
                <w:szCs w:val="21"/>
                <w:highlight w:val="none"/>
                <w:lang w:val="en-US" w:eastAsia="zh-CN" w:bidi="ar-SA"/>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jc w:val="center"/>
        </w:trPr>
        <w:tc>
          <w:tcPr>
            <w:tcW w:w="1680" w:type="dxa"/>
            <w:noWrap w:val="0"/>
            <w:vAlign w:val="center"/>
          </w:tcPr>
          <w:p>
            <w:pPr>
              <w:widowControl/>
              <w:spacing w:line="360" w:lineRule="auto"/>
              <w:contextualSpacing/>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业绩比较基准</w:t>
            </w:r>
          </w:p>
        </w:tc>
        <w:tc>
          <w:tcPr>
            <w:tcW w:w="7185" w:type="dxa"/>
            <w:noWrap w:val="0"/>
            <w:vAlign w:val="center"/>
          </w:tcPr>
          <w:p>
            <w:pPr>
              <w:widowControl/>
              <w:spacing w:line="360" w:lineRule="auto"/>
              <w:jc w:val="left"/>
              <w:rPr>
                <w:rFonts w:hint="eastAsia" w:ascii="宋体" w:hAnsi="宋体" w:eastAsia="宋体" w:cs="宋体"/>
                <w:b/>
                <w:bCs/>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本理财计划〖D份额〗业绩比较基准为〖2.8%〗（年化）。</w:t>
            </w:r>
            <w:r>
              <w:rPr>
                <w:rFonts w:hint="eastAsia" w:ascii="宋体" w:hAnsi="宋体" w:eastAsia="宋体" w:cs="宋体"/>
                <w:kern w:val="2"/>
                <w:sz w:val="21"/>
                <w:szCs w:val="21"/>
                <w:highlight w:val="none"/>
                <w:lang w:val="en-US" w:eastAsia="zh-CN" w:bidi="ar-SA"/>
              </w:rPr>
              <w:br w:type="textWrapping"/>
            </w:r>
            <w:r>
              <w:rPr>
                <w:rFonts w:hint="eastAsia" w:ascii="宋体" w:hAnsi="宋体" w:eastAsia="宋体" w:cs="宋体"/>
                <w:b/>
                <w:bCs/>
                <w:kern w:val="2"/>
                <w:sz w:val="21"/>
                <w:szCs w:val="21"/>
                <w:highlight w:val="none"/>
                <w:lang w:val="en-US" w:eastAsia="zh-CN" w:bidi="ar-SA"/>
              </w:rPr>
              <w:t>业绩基准测算依据：本理财计划重点投资于货币市场工具、债券、非标准化债权类资产等资产，管理人根据固定收益市场历史表现，结合当前利率水平、资产配比及市场同类型产品情况，经综合判断得出。</w:t>
            </w:r>
          </w:p>
          <w:p>
            <w:pPr>
              <w:widowControl/>
              <w:spacing w:line="360" w:lineRule="auto"/>
              <w:jc w:val="left"/>
              <w:rPr>
                <w:rFonts w:hint="eastAsia" w:ascii="宋体" w:hAnsi="宋体" w:eastAsia="宋体" w:cs="宋体"/>
                <w:b/>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管理人有权根据市场情况及理财计划运作情况调整业绩基准，并至少于新业绩基准启用前</w:t>
            </w:r>
            <w:r>
              <w:rPr>
                <w:rFonts w:hint="eastAsia" w:ascii="宋体" w:hAnsi="宋体" w:eastAsia="宋体" w:cs="宋体"/>
                <w:kern w:val="0"/>
                <w:sz w:val="21"/>
                <w:szCs w:val="24"/>
                <w:highlight w:val="none"/>
                <w:lang w:val="en-US" w:eastAsia="zh-CN" w:bidi="ar-SA"/>
              </w:rPr>
              <w:t>〖2〗</w:t>
            </w:r>
            <w:r>
              <w:rPr>
                <w:rFonts w:hint="eastAsia" w:ascii="宋体" w:hAnsi="宋体" w:eastAsia="宋体" w:cs="宋体"/>
                <w:kern w:val="2"/>
                <w:sz w:val="21"/>
                <w:szCs w:val="21"/>
                <w:highlight w:val="none"/>
                <w:lang w:val="en-US" w:eastAsia="zh-CN" w:bidi="ar-SA"/>
              </w:rPr>
              <w:t>个工作日公告。</w:t>
            </w:r>
          </w:p>
          <w:p>
            <w:pPr>
              <w:widowControl/>
              <w:spacing w:line="360" w:lineRule="auto"/>
              <w:contextualSpacing/>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b/>
                <w:kern w:val="2"/>
                <w:sz w:val="21"/>
                <w:szCs w:val="21"/>
                <w:highlight w:val="none"/>
                <w:lang w:val="en-US" w:eastAsia="zh-CN" w:bidi="ar-SA"/>
              </w:rPr>
              <w:t>本理财计划为净值型理财产品，其业绩表现将随市场波动具有不确定性。本公司提醒投资者关注，业绩比较基准不是预期收益率，并不代表理财计划的未来表现和实际收益率，不构成对理财计划收益的承诺。</w:t>
            </w:r>
          </w:p>
        </w:tc>
      </w:tr>
    </w:tbl>
    <w:p>
      <w:pPr>
        <w:keepNext w:val="0"/>
        <w:keepLines w:val="0"/>
        <w:pageBreakBefore w:val="0"/>
        <w:widowControl w:val="0"/>
        <w:kinsoku/>
        <w:wordWrap/>
        <w:overflowPunct/>
        <w:topLinePunct w:val="0"/>
        <w:autoSpaceDE/>
        <w:autoSpaceDN/>
        <w:bidi w:val="0"/>
        <w:adjustRightInd/>
        <w:snapToGrid/>
        <w:spacing w:line="560" w:lineRule="exact"/>
        <w:ind w:firstLine="630"/>
        <w:jc w:val="center"/>
        <w:textAlignment w:val="auto"/>
        <w:rPr>
          <w:rFonts w:ascii="仿宋_GB2312" w:hAnsi="微软雅黑" w:eastAsia="仿宋_GB2312" w:cs="宋体"/>
          <w:color w:val="FF0000"/>
          <w:sz w:val="32"/>
          <w:szCs w:val="32"/>
        </w:rPr>
      </w:pPr>
      <w:r>
        <w:rPr>
          <w:rFonts w:hint="eastAsia" w:ascii="仿宋_GB2312" w:hAnsi="微软雅黑" w:eastAsia="仿宋_GB2312" w:cs="宋体"/>
          <w:color w:val="FF0000"/>
          <w:sz w:val="32"/>
          <w:szCs w:val="32"/>
        </w:rPr>
        <w:t>（更多具体要素请详阅产品说明书）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注意事项：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微软雅黑" w:hAnsi="微软雅黑" w:cs="宋体"/>
          <w:color w:val="000000"/>
          <w:sz w:val="30"/>
          <w:szCs w:val="30"/>
        </w:rPr>
      </w:pPr>
      <w:r>
        <w:rPr>
          <w:rFonts w:hint="eastAsia" w:ascii="仿宋_GB2312" w:hAnsi="微软雅黑" w:eastAsia="仿宋_GB2312" w:cs="宋体"/>
          <w:color w:val="000000"/>
          <w:sz w:val="32"/>
          <w:szCs w:val="32"/>
        </w:rPr>
        <w:t>1.该产品销售要求参照我行自营理财销售相关规定执行。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2.相关产品销售文件见附件。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3.根据管理人内部风险评级标准，本</w:t>
      </w:r>
      <w:r>
        <w:rPr>
          <w:rFonts w:hint="eastAsia" w:ascii="仿宋_GB2312" w:hAnsi="微软雅黑" w:eastAsia="仿宋_GB2312" w:cs="宋体"/>
          <w:color w:val="000000"/>
          <w:sz w:val="32"/>
          <w:szCs w:val="32"/>
          <w:lang w:eastAsia="zh-CN"/>
        </w:rPr>
        <w:t>产品</w:t>
      </w:r>
      <w:r>
        <w:rPr>
          <w:rFonts w:hint="eastAsia" w:ascii="仿宋_GB2312" w:hAnsi="微软雅黑" w:eastAsia="仿宋_GB2312" w:cs="宋体"/>
          <w:color w:val="000000"/>
          <w:sz w:val="32"/>
          <w:szCs w:val="32"/>
        </w:rPr>
        <w:t>的风险等级为R2，中低风险。</w:t>
      </w:r>
      <w:r>
        <w:rPr>
          <w:rFonts w:hint="eastAsia" w:ascii="仿宋_GB2312" w:hAnsi="微软雅黑" w:eastAsia="仿宋_GB2312" w:cs="宋体"/>
          <w:color w:val="FF0000"/>
          <w:sz w:val="32"/>
          <w:szCs w:val="32"/>
        </w:rPr>
        <w:t>紫金农商银行对本产品的风险评级为中风险</w:t>
      </w:r>
      <w:r>
        <w:rPr>
          <w:rFonts w:ascii="仿宋_GB2312" w:hAnsi="微软雅黑" w:eastAsia="仿宋_GB2312" w:cs="宋体"/>
          <w:color w:val="FF000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4.如有其他未尽事宜以私人银行部解释为准。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微软雅黑" w:hAnsi="微软雅黑" w:cs="宋体"/>
          <w:color w:val="000000"/>
          <w:sz w:val="30"/>
          <w:szCs w:val="3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微软雅黑" w:eastAsia="仿宋_GB2312" w:cs="宋体"/>
          <w:color w:val="000000"/>
          <w:sz w:val="32"/>
          <w:szCs w:val="32"/>
        </w:rPr>
      </w:pPr>
      <w:r>
        <w:rPr>
          <w:rFonts w:hint="eastAsia" w:ascii="仿宋_GB2312" w:hAnsi="微软雅黑" w:eastAsia="仿宋_GB2312" w:cs="宋体"/>
          <w:color w:val="000000"/>
          <w:sz w:val="32"/>
          <w:szCs w:val="32"/>
        </w:rPr>
        <w:t>附件：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微软雅黑" w:eastAsia="仿宋_GB2312" w:cs="宋体"/>
          <w:color w:val="000000"/>
          <w:sz w:val="32"/>
          <w:szCs w:val="32"/>
        </w:rPr>
      </w:pPr>
      <w:r>
        <w:rPr>
          <w:rFonts w:hint="eastAsia" w:ascii="仿宋_GB2312" w:hAnsi="微软雅黑" w:eastAsia="仿宋_GB2312" w:cs="宋体"/>
          <w:color w:val="000000"/>
          <w:sz w:val="32"/>
          <w:szCs w:val="32"/>
        </w:rPr>
        <w:t>1.</w:t>
      </w:r>
      <w:r>
        <w:rPr>
          <w:rFonts w:hint="eastAsia"/>
        </w:rPr>
        <w:t xml:space="preserve"> </w:t>
      </w:r>
      <w:r>
        <w:rPr>
          <w:rFonts w:hint="eastAsia" w:ascii="仿宋_GB2312" w:hAnsi="微软雅黑" w:eastAsia="仿宋_GB2312" w:cs="宋体"/>
          <w:color w:val="000000"/>
          <w:sz w:val="32"/>
          <w:szCs w:val="32"/>
        </w:rPr>
        <w:t>幸福99丰裕固收386天24241期理财产品说明书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微软雅黑" w:eastAsia="仿宋_GB2312" w:cs="宋体"/>
          <w:color w:val="000000"/>
          <w:sz w:val="32"/>
          <w:szCs w:val="32"/>
        </w:rPr>
      </w:pPr>
      <w:r>
        <w:rPr>
          <w:rFonts w:hint="eastAsia" w:ascii="仿宋_GB2312" w:hAnsi="微软雅黑" w:eastAsia="仿宋_GB2312" w:cs="宋体"/>
          <w:color w:val="000000"/>
          <w:sz w:val="32"/>
          <w:szCs w:val="32"/>
        </w:rPr>
        <w:t>2.</w:t>
      </w:r>
      <w:r>
        <w:rPr>
          <w:rFonts w:hint="eastAsia"/>
        </w:rPr>
        <w:t xml:space="preserve"> </w:t>
      </w:r>
      <w:r>
        <w:rPr>
          <w:rFonts w:hint="eastAsia" w:ascii="仿宋_GB2312" w:hAnsi="微软雅黑" w:eastAsia="仿宋_GB2312" w:cs="宋体"/>
          <w:color w:val="000000"/>
          <w:sz w:val="32"/>
          <w:szCs w:val="32"/>
        </w:rPr>
        <w:t>幸福99丰裕固收386天24241期理财风险揭示书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微软雅黑" w:eastAsia="仿宋_GB2312" w:cs="宋体"/>
          <w:color w:val="000000"/>
          <w:sz w:val="32"/>
          <w:szCs w:val="32"/>
        </w:rPr>
      </w:pPr>
      <w:r>
        <w:rPr>
          <w:rFonts w:hint="eastAsia" w:ascii="仿宋_GB2312" w:hAnsi="微软雅黑" w:eastAsia="仿宋_GB2312" w:cs="宋体"/>
          <w:color w:val="000000"/>
          <w:sz w:val="32"/>
          <w:szCs w:val="32"/>
        </w:rPr>
        <w:t>3.</w:t>
      </w:r>
      <w:r>
        <w:rPr>
          <w:rFonts w:hint="eastAsia"/>
        </w:rPr>
        <w:t xml:space="preserve"> </w:t>
      </w:r>
      <w:r>
        <w:rPr>
          <w:rFonts w:hint="eastAsia" w:ascii="仿宋_GB2312" w:hAnsi="微软雅黑" w:eastAsia="仿宋_GB2312" w:cs="宋体"/>
          <w:color w:val="000000"/>
          <w:sz w:val="32"/>
          <w:szCs w:val="32"/>
        </w:rPr>
        <w:t>幸幸福99丰裕固收386天24241期理财投资协议书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微软雅黑" w:eastAsia="仿宋_GB2312" w:cs="宋体"/>
          <w:color w:val="000000"/>
          <w:sz w:val="32"/>
          <w:szCs w:val="32"/>
        </w:rPr>
      </w:pPr>
      <w:r>
        <w:rPr>
          <w:rFonts w:hint="eastAsia" w:ascii="仿宋_GB2312" w:hAnsi="微软雅黑" w:eastAsia="仿宋_GB2312" w:cs="宋体"/>
          <w:color w:val="000000"/>
          <w:sz w:val="32"/>
          <w:szCs w:val="32"/>
        </w:rPr>
        <w:t>4.</w:t>
      </w:r>
      <w:r>
        <w:rPr>
          <w:rFonts w:hint="eastAsia"/>
        </w:rPr>
        <w:t xml:space="preserve"> </w:t>
      </w:r>
      <w:r>
        <w:rPr>
          <w:rFonts w:hint="eastAsia" w:ascii="仿宋_GB2312" w:hAnsi="微软雅黑" w:eastAsia="仿宋_GB2312" w:cs="宋体"/>
          <w:color w:val="000000"/>
          <w:sz w:val="32"/>
          <w:szCs w:val="32"/>
        </w:rPr>
        <w:t>幸福99丰裕固收386天24241期理财投资者权益须知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微软雅黑" w:hAnsi="微软雅黑" w:cs="宋体"/>
          <w:color w:val="000000"/>
          <w:sz w:val="30"/>
          <w:szCs w:val="30"/>
        </w:rPr>
      </w:pPr>
      <w:r>
        <w:rPr>
          <w:rFonts w:hint="eastAsia" w:ascii="仿宋_GB2312" w:hAnsi="微软雅黑" w:eastAsia="仿宋_GB2312" w:cs="宋体"/>
          <w:color w:val="000000"/>
          <w:sz w:val="32"/>
          <w:szCs w:val="32"/>
        </w:rPr>
        <w:t>5.</w:t>
      </w:r>
      <w:r>
        <w:rPr>
          <w:rFonts w:hint="eastAsia"/>
        </w:rPr>
        <w:t xml:space="preserve"> </w:t>
      </w:r>
      <w:r>
        <w:rPr>
          <w:rFonts w:hint="eastAsia" w:ascii="仿宋_GB2312" w:hAnsi="微软雅黑" w:eastAsia="仿宋_GB2312" w:cs="宋体"/>
          <w:color w:val="000000"/>
          <w:sz w:val="32"/>
          <w:szCs w:val="32"/>
        </w:rPr>
        <w:t>幸福99丰裕固收386天24241期理财销售协议书</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ascii="微软雅黑" w:hAnsi="微软雅黑" w:cs="宋体"/>
          <w:color w:val="000000"/>
          <w:sz w:val="30"/>
          <w:szCs w:val="30"/>
        </w:rPr>
      </w:pP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ascii="微软雅黑" w:hAnsi="微软雅黑" w:cs="宋体"/>
          <w:color w:val="000000"/>
          <w:sz w:val="30"/>
          <w:szCs w:val="30"/>
        </w:rPr>
      </w:pP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ascii="微软雅黑" w:hAnsi="微软雅黑" w:cs="宋体"/>
          <w:color w:val="000000"/>
          <w:sz w:val="30"/>
          <w:szCs w:val="30"/>
        </w:rPr>
      </w:pPr>
      <w:r>
        <w:rPr>
          <w:rFonts w:hint="eastAsia" w:ascii="仿宋_GB2312" w:hAnsi="微软雅黑" w:eastAsia="仿宋_GB2312" w:cs="宋体"/>
          <w:color w:val="000000"/>
          <w:sz w:val="32"/>
          <w:szCs w:val="32"/>
        </w:rPr>
        <w:t>私人银行部</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pPr>
      <w:r>
        <w:rPr>
          <w:rFonts w:hint="eastAsia" w:ascii="仿宋_GB2312" w:hAnsi="微软雅黑" w:eastAsia="仿宋_GB2312" w:cs="宋体"/>
          <w:color w:val="000000"/>
          <w:sz w:val="32"/>
          <w:szCs w:val="32"/>
        </w:rPr>
        <w:t>202</w:t>
      </w:r>
      <w:r>
        <w:rPr>
          <w:rFonts w:hint="eastAsia" w:ascii="仿宋_GB2312" w:hAnsi="微软雅黑" w:eastAsia="仿宋_GB2312" w:cs="宋体"/>
          <w:color w:val="000000"/>
          <w:sz w:val="32"/>
          <w:szCs w:val="32"/>
          <w:lang w:val="en-US" w:eastAsia="zh-CN"/>
        </w:rPr>
        <w:t>4</w:t>
      </w:r>
      <w:r>
        <w:rPr>
          <w:rFonts w:hint="eastAsia" w:ascii="仿宋_GB2312" w:hAnsi="微软雅黑" w:eastAsia="仿宋_GB2312" w:cs="宋体"/>
          <w:color w:val="000000"/>
          <w:sz w:val="32"/>
          <w:szCs w:val="32"/>
        </w:rPr>
        <w:t>年10月</w:t>
      </w:r>
      <w:r>
        <w:rPr>
          <w:rFonts w:hint="eastAsia" w:ascii="仿宋_GB2312" w:hAnsi="微软雅黑" w:eastAsia="仿宋_GB2312" w:cs="宋体"/>
          <w:color w:val="000000"/>
          <w:sz w:val="32"/>
          <w:szCs w:val="32"/>
          <w:lang w:val="en-US" w:eastAsia="zh-CN"/>
        </w:rPr>
        <w:t>17</w:t>
      </w:r>
      <w:r>
        <w:rPr>
          <w:rFonts w:hint="eastAsia" w:ascii="仿宋_GB2312" w:hAnsi="微软雅黑" w:eastAsia="仿宋_GB2312" w:cs="宋体"/>
          <w:color w:val="000000"/>
          <w:sz w:val="32"/>
          <w:szCs w:val="32"/>
        </w:rPr>
        <w:t>日</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36919"/>
    <w:rsid w:val="000030C3"/>
    <w:rsid w:val="000033F5"/>
    <w:rsid w:val="000072BC"/>
    <w:rsid w:val="00007521"/>
    <w:rsid w:val="000075A0"/>
    <w:rsid w:val="0001048B"/>
    <w:rsid w:val="000122F9"/>
    <w:rsid w:val="00012E07"/>
    <w:rsid w:val="00013832"/>
    <w:rsid w:val="00013DBE"/>
    <w:rsid w:val="00014BCC"/>
    <w:rsid w:val="00016A9C"/>
    <w:rsid w:val="00022102"/>
    <w:rsid w:val="00022E7F"/>
    <w:rsid w:val="00023064"/>
    <w:rsid w:val="00023B45"/>
    <w:rsid w:val="00023C03"/>
    <w:rsid w:val="00024CA5"/>
    <w:rsid w:val="00026EA1"/>
    <w:rsid w:val="0003312E"/>
    <w:rsid w:val="0003374A"/>
    <w:rsid w:val="0003421D"/>
    <w:rsid w:val="000361CA"/>
    <w:rsid w:val="00037A98"/>
    <w:rsid w:val="000414B9"/>
    <w:rsid w:val="000415CC"/>
    <w:rsid w:val="00041798"/>
    <w:rsid w:val="00042D32"/>
    <w:rsid w:val="000437A8"/>
    <w:rsid w:val="0004409D"/>
    <w:rsid w:val="00044450"/>
    <w:rsid w:val="0005121E"/>
    <w:rsid w:val="00053A9F"/>
    <w:rsid w:val="00053C32"/>
    <w:rsid w:val="00054634"/>
    <w:rsid w:val="000574FB"/>
    <w:rsid w:val="00064CBB"/>
    <w:rsid w:val="00070D78"/>
    <w:rsid w:val="00070F02"/>
    <w:rsid w:val="00074585"/>
    <w:rsid w:val="0007529A"/>
    <w:rsid w:val="00077DC2"/>
    <w:rsid w:val="000833C0"/>
    <w:rsid w:val="00083918"/>
    <w:rsid w:val="00083AB9"/>
    <w:rsid w:val="00085E4C"/>
    <w:rsid w:val="00091A62"/>
    <w:rsid w:val="00093269"/>
    <w:rsid w:val="00093B2B"/>
    <w:rsid w:val="00094F6C"/>
    <w:rsid w:val="00095265"/>
    <w:rsid w:val="0009593E"/>
    <w:rsid w:val="000978B5"/>
    <w:rsid w:val="000A1F2E"/>
    <w:rsid w:val="000A5AC5"/>
    <w:rsid w:val="000A5BA2"/>
    <w:rsid w:val="000A7D4D"/>
    <w:rsid w:val="000B08F3"/>
    <w:rsid w:val="000B0990"/>
    <w:rsid w:val="000B20AF"/>
    <w:rsid w:val="000B25FC"/>
    <w:rsid w:val="000B4C94"/>
    <w:rsid w:val="000B6F23"/>
    <w:rsid w:val="000C028B"/>
    <w:rsid w:val="000C1D9F"/>
    <w:rsid w:val="000C331C"/>
    <w:rsid w:val="000C4436"/>
    <w:rsid w:val="000C4625"/>
    <w:rsid w:val="000C4F3C"/>
    <w:rsid w:val="000C74FA"/>
    <w:rsid w:val="000D09EF"/>
    <w:rsid w:val="000D1F1A"/>
    <w:rsid w:val="000D36D0"/>
    <w:rsid w:val="000D389E"/>
    <w:rsid w:val="000D5489"/>
    <w:rsid w:val="000E1205"/>
    <w:rsid w:val="000E240F"/>
    <w:rsid w:val="000E32C0"/>
    <w:rsid w:val="000E4345"/>
    <w:rsid w:val="000E7595"/>
    <w:rsid w:val="000F005D"/>
    <w:rsid w:val="000F05CF"/>
    <w:rsid w:val="000F155B"/>
    <w:rsid w:val="000F219E"/>
    <w:rsid w:val="000F25BF"/>
    <w:rsid w:val="000F3964"/>
    <w:rsid w:val="000F4543"/>
    <w:rsid w:val="000F4A3D"/>
    <w:rsid w:val="000F6F1F"/>
    <w:rsid w:val="000F73F7"/>
    <w:rsid w:val="001014E0"/>
    <w:rsid w:val="00101919"/>
    <w:rsid w:val="00101B51"/>
    <w:rsid w:val="00103076"/>
    <w:rsid w:val="0010552C"/>
    <w:rsid w:val="00106F29"/>
    <w:rsid w:val="00107D51"/>
    <w:rsid w:val="00107FF0"/>
    <w:rsid w:val="00112497"/>
    <w:rsid w:val="00112684"/>
    <w:rsid w:val="001127FE"/>
    <w:rsid w:val="00112E70"/>
    <w:rsid w:val="00112E8C"/>
    <w:rsid w:val="0011661E"/>
    <w:rsid w:val="00121152"/>
    <w:rsid w:val="00122D99"/>
    <w:rsid w:val="00122EF1"/>
    <w:rsid w:val="001233B3"/>
    <w:rsid w:val="00124393"/>
    <w:rsid w:val="00126912"/>
    <w:rsid w:val="001274CF"/>
    <w:rsid w:val="0013123A"/>
    <w:rsid w:val="00131747"/>
    <w:rsid w:val="00135349"/>
    <w:rsid w:val="001367ED"/>
    <w:rsid w:val="00142F82"/>
    <w:rsid w:val="001444AA"/>
    <w:rsid w:val="001500AA"/>
    <w:rsid w:val="001507B3"/>
    <w:rsid w:val="00150F97"/>
    <w:rsid w:val="00154797"/>
    <w:rsid w:val="00155BFE"/>
    <w:rsid w:val="00155F20"/>
    <w:rsid w:val="00155FCF"/>
    <w:rsid w:val="001574AC"/>
    <w:rsid w:val="0015776A"/>
    <w:rsid w:val="00161602"/>
    <w:rsid w:val="00162062"/>
    <w:rsid w:val="001626EA"/>
    <w:rsid w:val="00165035"/>
    <w:rsid w:val="00165B73"/>
    <w:rsid w:val="00167D31"/>
    <w:rsid w:val="00171DAA"/>
    <w:rsid w:val="00171F6E"/>
    <w:rsid w:val="00173F6B"/>
    <w:rsid w:val="00176BE1"/>
    <w:rsid w:val="00183532"/>
    <w:rsid w:val="0018354C"/>
    <w:rsid w:val="00184071"/>
    <w:rsid w:val="00185BAD"/>
    <w:rsid w:val="001865B5"/>
    <w:rsid w:val="00186825"/>
    <w:rsid w:val="00190ED1"/>
    <w:rsid w:val="00191067"/>
    <w:rsid w:val="00192311"/>
    <w:rsid w:val="0019231B"/>
    <w:rsid w:val="00192AC1"/>
    <w:rsid w:val="00193527"/>
    <w:rsid w:val="00193E84"/>
    <w:rsid w:val="0019467A"/>
    <w:rsid w:val="00194996"/>
    <w:rsid w:val="0019522F"/>
    <w:rsid w:val="00197526"/>
    <w:rsid w:val="001A0681"/>
    <w:rsid w:val="001A0890"/>
    <w:rsid w:val="001A0A36"/>
    <w:rsid w:val="001A146F"/>
    <w:rsid w:val="001B3260"/>
    <w:rsid w:val="001B3E8B"/>
    <w:rsid w:val="001B3F22"/>
    <w:rsid w:val="001C1032"/>
    <w:rsid w:val="001C18CB"/>
    <w:rsid w:val="001C49D5"/>
    <w:rsid w:val="001C4D63"/>
    <w:rsid w:val="001D59AA"/>
    <w:rsid w:val="001D5FA4"/>
    <w:rsid w:val="001D7016"/>
    <w:rsid w:val="001D754E"/>
    <w:rsid w:val="001D7BF4"/>
    <w:rsid w:val="001E43FD"/>
    <w:rsid w:val="001E47AF"/>
    <w:rsid w:val="001F0B47"/>
    <w:rsid w:val="001F27C2"/>
    <w:rsid w:val="001F3CC9"/>
    <w:rsid w:val="001F3FB8"/>
    <w:rsid w:val="001F506D"/>
    <w:rsid w:val="001F55B0"/>
    <w:rsid w:val="00204F88"/>
    <w:rsid w:val="00206D83"/>
    <w:rsid w:val="0020726C"/>
    <w:rsid w:val="002125EC"/>
    <w:rsid w:val="00212BF7"/>
    <w:rsid w:val="00212D78"/>
    <w:rsid w:val="002136FC"/>
    <w:rsid w:val="00215A8B"/>
    <w:rsid w:val="0022062F"/>
    <w:rsid w:val="00222E85"/>
    <w:rsid w:val="00226903"/>
    <w:rsid w:val="0022698C"/>
    <w:rsid w:val="002305FC"/>
    <w:rsid w:val="00233E60"/>
    <w:rsid w:val="002366EC"/>
    <w:rsid w:val="002373B1"/>
    <w:rsid w:val="002377A2"/>
    <w:rsid w:val="00237E3D"/>
    <w:rsid w:val="00240CE1"/>
    <w:rsid w:val="00242592"/>
    <w:rsid w:val="00245FAE"/>
    <w:rsid w:val="0024687B"/>
    <w:rsid w:val="0024773E"/>
    <w:rsid w:val="00250D31"/>
    <w:rsid w:val="00253378"/>
    <w:rsid w:val="002569D9"/>
    <w:rsid w:val="002576EA"/>
    <w:rsid w:val="00260993"/>
    <w:rsid w:val="00260F02"/>
    <w:rsid w:val="00261171"/>
    <w:rsid w:val="0026180C"/>
    <w:rsid w:val="00261D34"/>
    <w:rsid w:val="00262921"/>
    <w:rsid w:val="00266247"/>
    <w:rsid w:val="00266607"/>
    <w:rsid w:val="002701D7"/>
    <w:rsid w:val="00273848"/>
    <w:rsid w:val="00273A3A"/>
    <w:rsid w:val="00281CE6"/>
    <w:rsid w:val="0028319C"/>
    <w:rsid w:val="002831BF"/>
    <w:rsid w:val="002846B9"/>
    <w:rsid w:val="00284C50"/>
    <w:rsid w:val="00284DFB"/>
    <w:rsid w:val="00285E4D"/>
    <w:rsid w:val="00285E56"/>
    <w:rsid w:val="0028659F"/>
    <w:rsid w:val="0028720E"/>
    <w:rsid w:val="00290C10"/>
    <w:rsid w:val="0029205D"/>
    <w:rsid w:val="0029231F"/>
    <w:rsid w:val="00295809"/>
    <w:rsid w:val="00297C02"/>
    <w:rsid w:val="002A1A94"/>
    <w:rsid w:val="002A24EF"/>
    <w:rsid w:val="002A28F8"/>
    <w:rsid w:val="002A3C83"/>
    <w:rsid w:val="002A5E2F"/>
    <w:rsid w:val="002A623D"/>
    <w:rsid w:val="002B2603"/>
    <w:rsid w:val="002B30F8"/>
    <w:rsid w:val="002B339B"/>
    <w:rsid w:val="002B5931"/>
    <w:rsid w:val="002C1C72"/>
    <w:rsid w:val="002C214B"/>
    <w:rsid w:val="002C22E4"/>
    <w:rsid w:val="002C2586"/>
    <w:rsid w:val="002C4010"/>
    <w:rsid w:val="002C5DD8"/>
    <w:rsid w:val="002D7A7D"/>
    <w:rsid w:val="002E02A0"/>
    <w:rsid w:val="002E07C3"/>
    <w:rsid w:val="002E4197"/>
    <w:rsid w:val="002E47B1"/>
    <w:rsid w:val="002E4E98"/>
    <w:rsid w:val="002E70A2"/>
    <w:rsid w:val="002F0506"/>
    <w:rsid w:val="002F3816"/>
    <w:rsid w:val="002F4218"/>
    <w:rsid w:val="002F5EE1"/>
    <w:rsid w:val="00300A2D"/>
    <w:rsid w:val="00303658"/>
    <w:rsid w:val="00304125"/>
    <w:rsid w:val="00305ECB"/>
    <w:rsid w:val="003076B4"/>
    <w:rsid w:val="00307FF0"/>
    <w:rsid w:val="003107F7"/>
    <w:rsid w:val="00312588"/>
    <w:rsid w:val="00313A1E"/>
    <w:rsid w:val="00314E8B"/>
    <w:rsid w:val="00315090"/>
    <w:rsid w:val="003152CC"/>
    <w:rsid w:val="003162B1"/>
    <w:rsid w:val="003162CB"/>
    <w:rsid w:val="00316F86"/>
    <w:rsid w:val="00317A9F"/>
    <w:rsid w:val="003221E9"/>
    <w:rsid w:val="003227D3"/>
    <w:rsid w:val="0032464D"/>
    <w:rsid w:val="00326D3E"/>
    <w:rsid w:val="00330D3D"/>
    <w:rsid w:val="00331A7D"/>
    <w:rsid w:val="003335E5"/>
    <w:rsid w:val="00337E92"/>
    <w:rsid w:val="00340331"/>
    <w:rsid w:val="00340ADA"/>
    <w:rsid w:val="00342C20"/>
    <w:rsid w:val="00343BE7"/>
    <w:rsid w:val="0034406D"/>
    <w:rsid w:val="0034631F"/>
    <w:rsid w:val="0034639B"/>
    <w:rsid w:val="00351A4B"/>
    <w:rsid w:val="00352257"/>
    <w:rsid w:val="0035271C"/>
    <w:rsid w:val="00356468"/>
    <w:rsid w:val="003604B8"/>
    <w:rsid w:val="0036361E"/>
    <w:rsid w:val="003661D9"/>
    <w:rsid w:val="00370C51"/>
    <w:rsid w:val="003775F3"/>
    <w:rsid w:val="00380098"/>
    <w:rsid w:val="003822A6"/>
    <w:rsid w:val="003825D7"/>
    <w:rsid w:val="00386234"/>
    <w:rsid w:val="0038656B"/>
    <w:rsid w:val="00387309"/>
    <w:rsid w:val="00391185"/>
    <w:rsid w:val="0039530E"/>
    <w:rsid w:val="00395F15"/>
    <w:rsid w:val="00397AB9"/>
    <w:rsid w:val="003A063D"/>
    <w:rsid w:val="003A1E2B"/>
    <w:rsid w:val="003A3372"/>
    <w:rsid w:val="003A43CC"/>
    <w:rsid w:val="003A736F"/>
    <w:rsid w:val="003B0CC5"/>
    <w:rsid w:val="003B0E75"/>
    <w:rsid w:val="003B1CA2"/>
    <w:rsid w:val="003B3406"/>
    <w:rsid w:val="003B440C"/>
    <w:rsid w:val="003B592B"/>
    <w:rsid w:val="003B653B"/>
    <w:rsid w:val="003B66DA"/>
    <w:rsid w:val="003B698C"/>
    <w:rsid w:val="003B6B6A"/>
    <w:rsid w:val="003C3DBA"/>
    <w:rsid w:val="003C413F"/>
    <w:rsid w:val="003C4EEF"/>
    <w:rsid w:val="003C7E51"/>
    <w:rsid w:val="003D02F6"/>
    <w:rsid w:val="003D0608"/>
    <w:rsid w:val="003D17F2"/>
    <w:rsid w:val="003D415A"/>
    <w:rsid w:val="003D449C"/>
    <w:rsid w:val="003D49F9"/>
    <w:rsid w:val="003D5181"/>
    <w:rsid w:val="003D68E6"/>
    <w:rsid w:val="003E0929"/>
    <w:rsid w:val="003E0F2E"/>
    <w:rsid w:val="003E6A1F"/>
    <w:rsid w:val="003E6EDF"/>
    <w:rsid w:val="003F1BCD"/>
    <w:rsid w:val="003F6E4C"/>
    <w:rsid w:val="003F7C47"/>
    <w:rsid w:val="00401835"/>
    <w:rsid w:val="004021AC"/>
    <w:rsid w:val="004046B8"/>
    <w:rsid w:val="00406256"/>
    <w:rsid w:val="00406891"/>
    <w:rsid w:val="00410F63"/>
    <w:rsid w:val="004126A2"/>
    <w:rsid w:val="00412784"/>
    <w:rsid w:val="00413236"/>
    <w:rsid w:val="0041518C"/>
    <w:rsid w:val="004213F3"/>
    <w:rsid w:val="00421A1C"/>
    <w:rsid w:val="00421F3E"/>
    <w:rsid w:val="004234F6"/>
    <w:rsid w:val="004246DB"/>
    <w:rsid w:val="00425EA5"/>
    <w:rsid w:val="00431841"/>
    <w:rsid w:val="00431915"/>
    <w:rsid w:val="00431A52"/>
    <w:rsid w:val="0043296C"/>
    <w:rsid w:val="004334DE"/>
    <w:rsid w:val="004338D4"/>
    <w:rsid w:val="00434EE8"/>
    <w:rsid w:val="00435129"/>
    <w:rsid w:val="00435341"/>
    <w:rsid w:val="00435A73"/>
    <w:rsid w:val="00436CEB"/>
    <w:rsid w:val="00441AFE"/>
    <w:rsid w:val="00441DCF"/>
    <w:rsid w:val="004430FA"/>
    <w:rsid w:val="00447E88"/>
    <w:rsid w:val="004509FB"/>
    <w:rsid w:val="00452A12"/>
    <w:rsid w:val="00454F8E"/>
    <w:rsid w:val="00456A34"/>
    <w:rsid w:val="004607D4"/>
    <w:rsid w:val="004611C0"/>
    <w:rsid w:val="004612B7"/>
    <w:rsid w:val="004635C8"/>
    <w:rsid w:val="00463B39"/>
    <w:rsid w:val="0046655B"/>
    <w:rsid w:val="00466867"/>
    <w:rsid w:val="00466A4F"/>
    <w:rsid w:val="00466C94"/>
    <w:rsid w:val="004679FF"/>
    <w:rsid w:val="00470060"/>
    <w:rsid w:val="00471ABB"/>
    <w:rsid w:val="004734BB"/>
    <w:rsid w:val="00473B0E"/>
    <w:rsid w:val="00473BD9"/>
    <w:rsid w:val="00475248"/>
    <w:rsid w:val="00481039"/>
    <w:rsid w:val="00482ABA"/>
    <w:rsid w:val="00484C29"/>
    <w:rsid w:val="00490A82"/>
    <w:rsid w:val="00491D6A"/>
    <w:rsid w:val="0049299E"/>
    <w:rsid w:val="004931D5"/>
    <w:rsid w:val="0049701A"/>
    <w:rsid w:val="00497468"/>
    <w:rsid w:val="004A003F"/>
    <w:rsid w:val="004A365D"/>
    <w:rsid w:val="004A3D9A"/>
    <w:rsid w:val="004A66E4"/>
    <w:rsid w:val="004A7B69"/>
    <w:rsid w:val="004B12AE"/>
    <w:rsid w:val="004B4C02"/>
    <w:rsid w:val="004C0F35"/>
    <w:rsid w:val="004C1E73"/>
    <w:rsid w:val="004C30E6"/>
    <w:rsid w:val="004C4BCA"/>
    <w:rsid w:val="004D0A50"/>
    <w:rsid w:val="004D39F5"/>
    <w:rsid w:val="004D4AD6"/>
    <w:rsid w:val="004D5329"/>
    <w:rsid w:val="004E19A2"/>
    <w:rsid w:val="004E2C29"/>
    <w:rsid w:val="004E2DB9"/>
    <w:rsid w:val="004E4537"/>
    <w:rsid w:val="004E45F0"/>
    <w:rsid w:val="004E7A71"/>
    <w:rsid w:val="004E7CDA"/>
    <w:rsid w:val="004F0926"/>
    <w:rsid w:val="004F0C31"/>
    <w:rsid w:val="004F20D0"/>
    <w:rsid w:val="004F4B17"/>
    <w:rsid w:val="00503C77"/>
    <w:rsid w:val="00504C46"/>
    <w:rsid w:val="0051109E"/>
    <w:rsid w:val="00512727"/>
    <w:rsid w:val="0051586E"/>
    <w:rsid w:val="00516171"/>
    <w:rsid w:val="005161C6"/>
    <w:rsid w:val="005179DF"/>
    <w:rsid w:val="00517D43"/>
    <w:rsid w:val="00520D8B"/>
    <w:rsid w:val="00522E9C"/>
    <w:rsid w:val="005246F1"/>
    <w:rsid w:val="0052485F"/>
    <w:rsid w:val="00525C3A"/>
    <w:rsid w:val="0053148A"/>
    <w:rsid w:val="005317AA"/>
    <w:rsid w:val="005325D0"/>
    <w:rsid w:val="0053394D"/>
    <w:rsid w:val="00533B20"/>
    <w:rsid w:val="00535A68"/>
    <w:rsid w:val="00541B4A"/>
    <w:rsid w:val="00547B9B"/>
    <w:rsid w:val="005553AC"/>
    <w:rsid w:val="0056049E"/>
    <w:rsid w:val="00561837"/>
    <w:rsid w:val="0056439B"/>
    <w:rsid w:val="00566526"/>
    <w:rsid w:val="00570563"/>
    <w:rsid w:val="00570BD5"/>
    <w:rsid w:val="00570F6D"/>
    <w:rsid w:val="0057114A"/>
    <w:rsid w:val="0057364A"/>
    <w:rsid w:val="00573C91"/>
    <w:rsid w:val="00573D43"/>
    <w:rsid w:val="00574251"/>
    <w:rsid w:val="005774ED"/>
    <w:rsid w:val="00580B75"/>
    <w:rsid w:val="005812CE"/>
    <w:rsid w:val="00582D1A"/>
    <w:rsid w:val="00583AE0"/>
    <w:rsid w:val="00585B8F"/>
    <w:rsid w:val="005863AA"/>
    <w:rsid w:val="00586D71"/>
    <w:rsid w:val="0058730B"/>
    <w:rsid w:val="00590954"/>
    <w:rsid w:val="00592D2C"/>
    <w:rsid w:val="00592EEA"/>
    <w:rsid w:val="00592F57"/>
    <w:rsid w:val="00595117"/>
    <w:rsid w:val="00595F7A"/>
    <w:rsid w:val="005A0BD6"/>
    <w:rsid w:val="005A3EC7"/>
    <w:rsid w:val="005A5A71"/>
    <w:rsid w:val="005A6762"/>
    <w:rsid w:val="005A6ADA"/>
    <w:rsid w:val="005A6AED"/>
    <w:rsid w:val="005B0A2C"/>
    <w:rsid w:val="005B118C"/>
    <w:rsid w:val="005B23BA"/>
    <w:rsid w:val="005B3EBF"/>
    <w:rsid w:val="005B70B0"/>
    <w:rsid w:val="005C19A1"/>
    <w:rsid w:val="005C1E6A"/>
    <w:rsid w:val="005C5071"/>
    <w:rsid w:val="005D2294"/>
    <w:rsid w:val="005D2A0D"/>
    <w:rsid w:val="005D304C"/>
    <w:rsid w:val="005D4255"/>
    <w:rsid w:val="005D5013"/>
    <w:rsid w:val="005D6136"/>
    <w:rsid w:val="005D66B3"/>
    <w:rsid w:val="005E018E"/>
    <w:rsid w:val="005E0A90"/>
    <w:rsid w:val="005E4D24"/>
    <w:rsid w:val="005E6EEA"/>
    <w:rsid w:val="005E7317"/>
    <w:rsid w:val="005E73F3"/>
    <w:rsid w:val="005F28E0"/>
    <w:rsid w:val="005F3054"/>
    <w:rsid w:val="005F36FC"/>
    <w:rsid w:val="005F3769"/>
    <w:rsid w:val="005F4C22"/>
    <w:rsid w:val="005F5357"/>
    <w:rsid w:val="005F7812"/>
    <w:rsid w:val="00600401"/>
    <w:rsid w:val="00602D85"/>
    <w:rsid w:val="00604A33"/>
    <w:rsid w:val="00604EE4"/>
    <w:rsid w:val="0061126D"/>
    <w:rsid w:val="00613641"/>
    <w:rsid w:val="00613CB0"/>
    <w:rsid w:val="006140E4"/>
    <w:rsid w:val="0061647C"/>
    <w:rsid w:val="0061787E"/>
    <w:rsid w:val="00617D10"/>
    <w:rsid w:val="0062420A"/>
    <w:rsid w:val="0062607D"/>
    <w:rsid w:val="00627BF4"/>
    <w:rsid w:val="00632A8A"/>
    <w:rsid w:val="00641A78"/>
    <w:rsid w:val="00641E0D"/>
    <w:rsid w:val="006431C1"/>
    <w:rsid w:val="00644948"/>
    <w:rsid w:val="00647429"/>
    <w:rsid w:val="00647E01"/>
    <w:rsid w:val="00650297"/>
    <w:rsid w:val="00650DB5"/>
    <w:rsid w:val="006525DB"/>
    <w:rsid w:val="006549C6"/>
    <w:rsid w:val="0065524A"/>
    <w:rsid w:val="00655442"/>
    <w:rsid w:val="0065767A"/>
    <w:rsid w:val="00661A57"/>
    <w:rsid w:val="00663C41"/>
    <w:rsid w:val="00664E85"/>
    <w:rsid w:val="00665ECC"/>
    <w:rsid w:val="00671DDE"/>
    <w:rsid w:val="00671FF0"/>
    <w:rsid w:val="00672132"/>
    <w:rsid w:val="006722B2"/>
    <w:rsid w:val="006724CF"/>
    <w:rsid w:val="006767C0"/>
    <w:rsid w:val="00682CAE"/>
    <w:rsid w:val="006842CE"/>
    <w:rsid w:val="00686546"/>
    <w:rsid w:val="006911CE"/>
    <w:rsid w:val="00692F17"/>
    <w:rsid w:val="00697D3B"/>
    <w:rsid w:val="006A12E5"/>
    <w:rsid w:val="006A15B0"/>
    <w:rsid w:val="006A3984"/>
    <w:rsid w:val="006A451F"/>
    <w:rsid w:val="006A50FD"/>
    <w:rsid w:val="006B1BF0"/>
    <w:rsid w:val="006B2EED"/>
    <w:rsid w:val="006B39B2"/>
    <w:rsid w:val="006C245F"/>
    <w:rsid w:val="006C2C0D"/>
    <w:rsid w:val="006C35C3"/>
    <w:rsid w:val="006C4E09"/>
    <w:rsid w:val="006C6126"/>
    <w:rsid w:val="006D0553"/>
    <w:rsid w:val="006D27FD"/>
    <w:rsid w:val="006D3A1E"/>
    <w:rsid w:val="006D5B94"/>
    <w:rsid w:val="006D7BCD"/>
    <w:rsid w:val="006E05EA"/>
    <w:rsid w:val="006E10B9"/>
    <w:rsid w:val="006E2274"/>
    <w:rsid w:val="006E3BF1"/>
    <w:rsid w:val="006E5D26"/>
    <w:rsid w:val="006E5F85"/>
    <w:rsid w:val="006E65E3"/>
    <w:rsid w:val="006F069D"/>
    <w:rsid w:val="006F0B96"/>
    <w:rsid w:val="006F1030"/>
    <w:rsid w:val="006F2A30"/>
    <w:rsid w:val="006F68B3"/>
    <w:rsid w:val="006F6FBE"/>
    <w:rsid w:val="007033D6"/>
    <w:rsid w:val="007034BC"/>
    <w:rsid w:val="00705739"/>
    <w:rsid w:val="00706792"/>
    <w:rsid w:val="00712225"/>
    <w:rsid w:val="0071671B"/>
    <w:rsid w:val="00717ED4"/>
    <w:rsid w:val="00720FE6"/>
    <w:rsid w:val="007221ED"/>
    <w:rsid w:val="00724282"/>
    <w:rsid w:val="00724389"/>
    <w:rsid w:val="00725217"/>
    <w:rsid w:val="00727A44"/>
    <w:rsid w:val="00727F11"/>
    <w:rsid w:val="00731ADB"/>
    <w:rsid w:val="00731CF2"/>
    <w:rsid w:val="007320A3"/>
    <w:rsid w:val="007329D4"/>
    <w:rsid w:val="00732CB2"/>
    <w:rsid w:val="00733A3D"/>
    <w:rsid w:val="00737D30"/>
    <w:rsid w:val="00740168"/>
    <w:rsid w:val="00742334"/>
    <w:rsid w:val="007426BA"/>
    <w:rsid w:val="0074527D"/>
    <w:rsid w:val="007452F5"/>
    <w:rsid w:val="00745F7C"/>
    <w:rsid w:val="0075054E"/>
    <w:rsid w:val="0075458F"/>
    <w:rsid w:val="00755434"/>
    <w:rsid w:val="00762116"/>
    <w:rsid w:val="00762519"/>
    <w:rsid w:val="00763423"/>
    <w:rsid w:val="00763B2E"/>
    <w:rsid w:val="0076417E"/>
    <w:rsid w:val="00765ED0"/>
    <w:rsid w:val="007665E2"/>
    <w:rsid w:val="00767D43"/>
    <w:rsid w:val="00774CDD"/>
    <w:rsid w:val="00775923"/>
    <w:rsid w:val="00777EBD"/>
    <w:rsid w:val="007818D4"/>
    <w:rsid w:val="00782833"/>
    <w:rsid w:val="00784F19"/>
    <w:rsid w:val="00792287"/>
    <w:rsid w:val="0079305E"/>
    <w:rsid w:val="00795411"/>
    <w:rsid w:val="00795E2C"/>
    <w:rsid w:val="007A0A86"/>
    <w:rsid w:val="007A0FD6"/>
    <w:rsid w:val="007A2069"/>
    <w:rsid w:val="007A325D"/>
    <w:rsid w:val="007A3A29"/>
    <w:rsid w:val="007A3E84"/>
    <w:rsid w:val="007A4966"/>
    <w:rsid w:val="007A4D04"/>
    <w:rsid w:val="007A7ABF"/>
    <w:rsid w:val="007B0861"/>
    <w:rsid w:val="007B61DC"/>
    <w:rsid w:val="007B6D01"/>
    <w:rsid w:val="007C0AA4"/>
    <w:rsid w:val="007C0D7D"/>
    <w:rsid w:val="007C2234"/>
    <w:rsid w:val="007C45EF"/>
    <w:rsid w:val="007C5550"/>
    <w:rsid w:val="007C709A"/>
    <w:rsid w:val="007D1ADA"/>
    <w:rsid w:val="007D29BE"/>
    <w:rsid w:val="007D4B9E"/>
    <w:rsid w:val="007D5805"/>
    <w:rsid w:val="007D66B3"/>
    <w:rsid w:val="007D69BF"/>
    <w:rsid w:val="007D71CB"/>
    <w:rsid w:val="007D7624"/>
    <w:rsid w:val="007E1288"/>
    <w:rsid w:val="007E30FF"/>
    <w:rsid w:val="007E3FF0"/>
    <w:rsid w:val="007E69EF"/>
    <w:rsid w:val="007F0739"/>
    <w:rsid w:val="007F1180"/>
    <w:rsid w:val="007F709C"/>
    <w:rsid w:val="007F7A21"/>
    <w:rsid w:val="008022DC"/>
    <w:rsid w:val="00802AD6"/>
    <w:rsid w:val="008076BE"/>
    <w:rsid w:val="00810F2D"/>
    <w:rsid w:val="00811075"/>
    <w:rsid w:val="00811D43"/>
    <w:rsid w:val="00811E4F"/>
    <w:rsid w:val="00814959"/>
    <w:rsid w:val="00816657"/>
    <w:rsid w:val="00817F31"/>
    <w:rsid w:val="00822AE1"/>
    <w:rsid w:val="008243AD"/>
    <w:rsid w:val="0082443A"/>
    <w:rsid w:val="008257AC"/>
    <w:rsid w:val="0082774C"/>
    <w:rsid w:val="0083383D"/>
    <w:rsid w:val="00835104"/>
    <w:rsid w:val="008358C4"/>
    <w:rsid w:val="00840BFE"/>
    <w:rsid w:val="00842C83"/>
    <w:rsid w:val="00845434"/>
    <w:rsid w:val="00847043"/>
    <w:rsid w:val="00850109"/>
    <w:rsid w:val="00851A26"/>
    <w:rsid w:val="00852544"/>
    <w:rsid w:val="00852F58"/>
    <w:rsid w:val="008531CD"/>
    <w:rsid w:val="00854089"/>
    <w:rsid w:val="00854B49"/>
    <w:rsid w:val="008552CF"/>
    <w:rsid w:val="00855DE4"/>
    <w:rsid w:val="00857320"/>
    <w:rsid w:val="00857D93"/>
    <w:rsid w:val="00857F22"/>
    <w:rsid w:val="008624A1"/>
    <w:rsid w:val="00863D8F"/>
    <w:rsid w:val="00863FE5"/>
    <w:rsid w:val="0086490B"/>
    <w:rsid w:val="00865968"/>
    <w:rsid w:val="00866F15"/>
    <w:rsid w:val="00870D6D"/>
    <w:rsid w:val="00872822"/>
    <w:rsid w:val="008747DF"/>
    <w:rsid w:val="00874D4F"/>
    <w:rsid w:val="00876411"/>
    <w:rsid w:val="0087722B"/>
    <w:rsid w:val="008775E8"/>
    <w:rsid w:val="00881201"/>
    <w:rsid w:val="00881202"/>
    <w:rsid w:val="008827F4"/>
    <w:rsid w:val="00882898"/>
    <w:rsid w:val="00882BA6"/>
    <w:rsid w:val="008859DD"/>
    <w:rsid w:val="0088678C"/>
    <w:rsid w:val="008872F6"/>
    <w:rsid w:val="00890005"/>
    <w:rsid w:val="00890141"/>
    <w:rsid w:val="00891592"/>
    <w:rsid w:val="008960AE"/>
    <w:rsid w:val="008966E9"/>
    <w:rsid w:val="00896F23"/>
    <w:rsid w:val="008A03BA"/>
    <w:rsid w:val="008A26C0"/>
    <w:rsid w:val="008A31C5"/>
    <w:rsid w:val="008B1412"/>
    <w:rsid w:val="008B19B7"/>
    <w:rsid w:val="008B1F4A"/>
    <w:rsid w:val="008B2750"/>
    <w:rsid w:val="008B454A"/>
    <w:rsid w:val="008B5E71"/>
    <w:rsid w:val="008B5FCB"/>
    <w:rsid w:val="008B6355"/>
    <w:rsid w:val="008B7AC9"/>
    <w:rsid w:val="008C1100"/>
    <w:rsid w:val="008C1E30"/>
    <w:rsid w:val="008C204A"/>
    <w:rsid w:val="008C4661"/>
    <w:rsid w:val="008C54F7"/>
    <w:rsid w:val="008D0D3E"/>
    <w:rsid w:val="008D10C2"/>
    <w:rsid w:val="008D13C4"/>
    <w:rsid w:val="008D2637"/>
    <w:rsid w:val="008D4B69"/>
    <w:rsid w:val="008D5417"/>
    <w:rsid w:val="008D5788"/>
    <w:rsid w:val="008D5812"/>
    <w:rsid w:val="008E055F"/>
    <w:rsid w:val="008E0DF2"/>
    <w:rsid w:val="008E1429"/>
    <w:rsid w:val="008E1A0A"/>
    <w:rsid w:val="008E38C0"/>
    <w:rsid w:val="008E4500"/>
    <w:rsid w:val="008E4F9E"/>
    <w:rsid w:val="008E69AA"/>
    <w:rsid w:val="008F002D"/>
    <w:rsid w:val="008F010A"/>
    <w:rsid w:val="008F2B89"/>
    <w:rsid w:val="008F3D24"/>
    <w:rsid w:val="008F4013"/>
    <w:rsid w:val="008F4273"/>
    <w:rsid w:val="008F60E1"/>
    <w:rsid w:val="008F6FB9"/>
    <w:rsid w:val="0090608B"/>
    <w:rsid w:val="009065D7"/>
    <w:rsid w:val="00913279"/>
    <w:rsid w:val="00914F6E"/>
    <w:rsid w:val="0091585C"/>
    <w:rsid w:val="009167A1"/>
    <w:rsid w:val="00922C04"/>
    <w:rsid w:val="0092405F"/>
    <w:rsid w:val="009251EA"/>
    <w:rsid w:val="00925B3B"/>
    <w:rsid w:val="00926A5C"/>
    <w:rsid w:val="0093145B"/>
    <w:rsid w:val="009319EF"/>
    <w:rsid w:val="009345A9"/>
    <w:rsid w:val="00941527"/>
    <w:rsid w:val="00942FCF"/>
    <w:rsid w:val="00943305"/>
    <w:rsid w:val="009465F7"/>
    <w:rsid w:val="00946C63"/>
    <w:rsid w:val="00946F6B"/>
    <w:rsid w:val="00950CC0"/>
    <w:rsid w:val="0095296C"/>
    <w:rsid w:val="00952B19"/>
    <w:rsid w:val="00952B27"/>
    <w:rsid w:val="00952CB2"/>
    <w:rsid w:val="0095559E"/>
    <w:rsid w:val="00955B81"/>
    <w:rsid w:val="00955B83"/>
    <w:rsid w:val="00956D1D"/>
    <w:rsid w:val="00957483"/>
    <w:rsid w:val="009575E8"/>
    <w:rsid w:val="00957B3D"/>
    <w:rsid w:val="0096241E"/>
    <w:rsid w:val="0096356C"/>
    <w:rsid w:val="009641CB"/>
    <w:rsid w:val="00964786"/>
    <w:rsid w:val="00964A9F"/>
    <w:rsid w:val="00964F28"/>
    <w:rsid w:val="00965F9E"/>
    <w:rsid w:val="0096669D"/>
    <w:rsid w:val="00967857"/>
    <w:rsid w:val="009701DE"/>
    <w:rsid w:val="00971C7A"/>
    <w:rsid w:val="00973A66"/>
    <w:rsid w:val="00980FB2"/>
    <w:rsid w:val="00983330"/>
    <w:rsid w:val="00984FE3"/>
    <w:rsid w:val="00985088"/>
    <w:rsid w:val="00985758"/>
    <w:rsid w:val="00986A28"/>
    <w:rsid w:val="00987D23"/>
    <w:rsid w:val="009903E0"/>
    <w:rsid w:val="0099337C"/>
    <w:rsid w:val="00995477"/>
    <w:rsid w:val="009A1075"/>
    <w:rsid w:val="009A316D"/>
    <w:rsid w:val="009A4302"/>
    <w:rsid w:val="009A61F2"/>
    <w:rsid w:val="009A7FB0"/>
    <w:rsid w:val="009B09E0"/>
    <w:rsid w:val="009B0DED"/>
    <w:rsid w:val="009B21D9"/>
    <w:rsid w:val="009B46B2"/>
    <w:rsid w:val="009B4AD8"/>
    <w:rsid w:val="009B76DD"/>
    <w:rsid w:val="009C005C"/>
    <w:rsid w:val="009C0087"/>
    <w:rsid w:val="009C27E2"/>
    <w:rsid w:val="009C3873"/>
    <w:rsid w:val="009C6DF4"/>
    <w:rsid w:val="009C7486"/>
    <w:rsid w:val="009D03E7"/>
    <w:rsid w:val="009D1CCC"/>
    <w:rsid w:val="009D1FC7"/>
    <w:rsid w:val="009D2F8F"/>
    <w:rsid w:val="009D4F16"/>
    <w:rsid w:val="009D6BE2"/>
    <w:rsid w:val="009E3CE7"/>
    <w:rsid w:val="009F049E"/>
    <w:rsid w:val="009F548E"/>
    <w:rsid w:val="009F605D"/>
    <w:rsid w:val="009F6209"/>
    <w:rsid w:val="00A014F8"/>
    <w:rsid w:val="00A030C4"/>
    <w:rsid w:val="00A03BBB"/>
    <w:rsid w:val="00A0416D"/>
    <w:rsid w:val="00A04811"/>
    <w:rsid w:val="00A05DD2"/>
    <w:rsid w:val="00A06691"/>
    <w:rsid w:val="00A07B86"/>
    <w:rsid w:val="00A1100F"/>
    <w:rsid w:val="00A116C2"/>
    <w:rsid w:val="00A12295"/>
    <w:rsid w:val="00A140BB"/>
    <w:rsid w:val="00A20F94"/>
    <w:rsid w:val="00A219AB"/>
    <w:rsid w:val="00A227C8"/>
    <w:rsid w:val="00A24C2F"/>
    <w:rsid w:val="00A30006"/>
    <w:rsid w:val="00A300BE"/>
    <w:rsid w:val="00A33006"/>
    <w:rsid w:val="00A33050"/>
    <w:rsid w:val="00A34244"/>
    <w:rsid w:val="00A4457D"/>
    <w:rsid w:val="00A46336"/>
    <w:rsid w:val="00A46C90"/>
    <w:rsid w:val="00A47F81"/>
    <w:rsid w:val="00A50234"/>
    <w:rsid w:val="00A52799"/>
    <w:rsid w:val="00A60BC9"/>
    <w:rsid w:val="00A62AD2"/>
    <w:rsid w:val="00A64334"/>
    <w:rsid w:val="00A66862"/>
    <w:rsid w:val="00A66EB4"/>
    <w:rsid w:val="00A73991"/>
    <w:rsid w:val="00A73D70"/>
    <w:rsid w:val="00A74CB4"/>
    <w:rsid w:val="00A74D17"/>
    <w:rsid w:val="00A758E1"/>
    <w:rsid w:val="00A77F23"/>
    <w:rsid w:val="00A801FE"/>
    <w:rsid w:val="00A8131C"/>
    <w:rsid w:val="00A84F7A"/>
    <w:rsid w:val="00A851E3"/>
    <w:rsid w:val="00A861DE"/>
    <w:rsid w:val="00A91E00"/>
    <w:rsid w:val="00A92BB9"/>
    <w:rsid w:val="00A931A0"/>
    <w:rsid w:val="00A93845"/>
    <w:rsid w:val="00A93D6A"/>
    <w:rsid w:val="00A943DD"/>
    <w:rsid w:val="00A95D8B"/>
    <w:rsid w:val="00A963A5"/>
    <w:rsid w:val="00A974F5"/>
    <w:rsid w:val="00A978C4"/>
    <w:rsid w:val="00AA02A3"/>
    <w:rsid w:val="00AA0411"/>
    <w:rsid w:val="00AA1ED5"/>
    <w:rsid w:val="00AB1029"/>
    <w:rsid w:val="00AB125C"/>
    <w:rsid w:val="00AB224E"/>
    <w:rsid w:val="00AB25F6"/>
    <w:rsid w:val="00AB3808"/>
    <w:rsid w:val="00AB3837"/>
    <w:rsid w:val="00AB4369"/>
    <w:rsid w:val="00AB5150"/>
    <w:rsid w:val="00AB53C3"/>
    <w:rsid w:val="00AB57BF"/>
    <w:rsid w:val="00AB6D15"/>
    <w:rsid w:val="00AB7B67"/>
    <w:rsid w:val="00AC22D3"/>
    <w:rsid w:val="00AC2746"/>
    <w:rsid w:val="00AC425B"/>
    <w:rsid w:val="00AC5218"/>
    <w:rsid w:val="00AC78F9"/>
    <w:rsid w:val="00AD0B73"/>
    <w:rsid w:val="00AD7C2B"/>
    <w:rsid w:val="00AE0559"/>
    <w:rsid w:val="00AE3EAD"/>
    <w:rsid w:val="00AE5984"/>
    <w:rsid w:val="00AE6317"/>
    <w:rsid w:val="00AE6F42"/>
    <w:rsid w:val="00AE71CA"/>
    <w:rsid w:val="00AF0A89"/>
    <w:rsid w:val="00AF3E77"/>
    <w:rsid w:val="00AF71AD"/>
    <w:rsid w:val="00B0006C"/>
    <w:rsid w:val="00B0392B"/>
    <w:rsid w:val="00B10139"/>
    <w:rsid w:val="00B12A58"/>
    <w:rsid w:val="00B12ECD"/>
    <w:rsid w:val="00B13937"/>
    <w:rsid w:val="00B22BA7"/>
    <w:rsid w:val="00B255BC"/>
    <w:rsid w:val="00B25BB5"/>
    <w:rsid w:val="00B26B8D"/>
    <w:rsid w:val="00B26C19"/>
    <w:rsid w:val="00B300BB"/>
    <w:rsid w:val="00B31A21"/>
    <w:rsid w:val="00B34BE0"/>
    <w:rsid w:val="00B3564D"/>
    <w:rsid w:val="00B36884"/>
    <w:rsid w:val="00B37E12"/>
    <w:rsid w:val="00B37EB0"/>
    <w:rsid w:val="00B40B46"/>
    <w:rsid w:val="00B419AA"/>
    <w:rsid w:val="00B424B1"/>
    <w:rsid w:val="00B4385F"/>
    <w:rsid w:val="00B447CE"/>
    <w:rsid w:val="00B52110"/>
    <w:rsid w:val="00B55C6F"/>
    <w:rsid w:val="00B60033"/>
    <w:rsid w:val="00B6436E"/>
    <w:rsid w:val="00B6517A"/>
    <w:rsid w:val="00B65376"/>
    <w:rsid w:val="00B66663"/>
    <w:rsid w:val="00B66879"/>
    <w:rsid w:val="00B673AD"/>
    <w:rsid w:val="00B73071"/>
    <w:rsid w:val="00B7384E"/>
    <w:rsid w:val="00B74E92"/>
    <w:rsid w:val="00B74FA4"/>
    <w:rsid w:val="00B80CC4"/>
    <w:rsid w:val="00B81321"/>
    <w:rsid w:val="00B81813"/>
    <w:rsid w:val="00B81B6A"/>
    <w:rsid w:val="00B8275E"/>
    <w:rsid w:val="00B8423B"/>
    <w:rsid w:val="00B858B0"/>
    <w:rsid w:val="00B85E18"/>
    <w:rsid w:val="00B86CC0"/>
    <w:rsid w:val="00B86F87"/>
    <w:rsid w:val="00B87691"/>
    <w:rsid w:val="00B9308B"/>
    <w:rsid w:val="00B93470"/>
    <w:rsid w:val="00B940C8"/>
    <w:rsid w:val="00B952C5"/>
    <w:rsid w:val="00B96714"/>
    <w:rsid w:val="00B96866"/>
    <w:rsid w:val="00B96A64"/>
    <w:rsid w:val="00B97E9F"/>
    <w:rsid w:val="00BA15B2"/>
    <w:rsid w:val="00BA364B"/>
    <w:rsid w:val="00BA4D59"/>
    <w:rsid w:val="00BA5C3D"/>
    <w:rsid w:val="00BA6CC6"/>
    <w:rsid w:val="00BB0BCA"/>
    <w:rsid w:val="00BB2852"/>
    <w:rsid w:val="00BB2E73"/>
    <w:rsid w:val="00BB479A"/>
    <w:rsid w:val="00BB588B"/>
    <w:rsid w:val="00BC0E29"/>
    <w:rsid w:val="00BC1F26"/>
    <w:rsid w:val="00BC2F00"/>
    <w:rsid w:val="00BC4B35"/>
    <w:rsid w:val="00BC5B34"/>
    <w:rsid w:val="00BD032A"/>
    <w:rsid w:val="00BD0CF7"/>
    <w:rsid w:val="00BD423B"/>
    <w:rsid w:val="00BD71C0"/>
    <w:rsid w:val="00BD7688"/>
    <w:rsid w:val="00BD786F"/>
    <w:rsid w:val="00BE09AD"/>
    <w:rsid w:val="00BE0F8C"/>
    <w:rsid w:val="00BE5707"/>
    <w:rsid w:val="00BE59D9"/>
    <w:rsid w:val="00BF1DCC"/>
    <w:rsid w:val="00BF24E5"/>
    <w:rsid w:val="00BF2DB0"/>
    <w:rsid w:val="00BF4AEC"/>
    <w:rsid w:val="00BF5137"/>
    <w:rsid w:val="00C022D9"/>
    <w:rsid w:val="00C0574D"/>
    <w:rsid w:val="00C0749B"/>
    <w:rsid w:val="00C10633"/>
    <w:rsid w:val="00C115E7"/>
    <w:rsid w:val="00C11861"/>
    <w:rsid w:val="00C17B20"/>
    <w:rsid w:val="00C17C1C"/>
    <w:rsid w:val="00C200B8"/>
    <w:rsid w:val="00C2360E"/>
    <w:rsid w:val="00C23D55"/>
    <w:rsid w:val="00C27071"/>
    <w:rsid w:val="00C33B94"/>
    <w:rsid w:val="00C34517"/>
    <w:rsid w:val="00C354C5"/>
    <w:rsid w:val="00C36DC4"/>
    <w:rsid w:val="00C4573D"/>
    <w:rsid w:val="00C45C97"/>
    <w:rsid w:val="00C4624B"/>
    <w:rsid w:val="00C476D8"/>
    <w:rsid w:val="00C478BA"/>
    <w:rsid w:val="00C53446"/>
    <w:rsid w:val="00C57400"/>
    <w:rsid w:val="00C57985"/>
    <w:rsid w:val="00C643F3"/>
    <w:rsid w:val="00C653C5"/>
    <w:rsid w:val="00C654A5"/>
    <w:rsid w:val="00C65946"/>
    <w:rsid w:val="00C6677E"/>
    <w:rsid w:val="00C671F7"/>
    <w:rsid w:val="00C7014E"/>
    <w:rsid w:val="00C73A99"/>
    <w:rsid w:val="00C73BDA"/>
    <w:rsid w:val="00C75A67"/>
    <w:rsid w:val="00C76175"/>
    <w:rsid w:val="00C77048"/>
    <w:rsid w:val="00C8019C"/>
    <w:rsid w:val="00C80373"/>
    <w:rsid w:val="00C80AA7"/>
    <w:rsid w:val="00C80F7F"/>
    <w:rsid w:val="00C82637"/>
    <w:rsid w:val="00C836FF"/>
    <w:rsid w:val="00C837CB"/>
    <w:rsid w:val="00C86D7D"/>
    <w:rsid w:val="00C87C4B"/>
    <w:rsid w:val="00C912D8"/>
    <w:rsid w:val="00C91621"/>
    <w:rsid w:val="00C93C54"/>
    <w:rsid w:val="00C93FC6"/>
    <w:rsid w:val="00C95058"/>
    <w:rsid w:val="00C9510B"/>
    <w:rsid w:val="00C95BF1"/>
    <w:rsid w:val="00C95C47"/>
    <w:rsid w:val="00C963D9"/>
    <w:rsid w:val="00C96A75"/>
    <w:rsid w:val="00CA11BF"/>
    <w:rsid w:val="00CA5F7F"/>
    <w:rsid w:val="00CA72FA"/>
    <w:rsid w:val="00CB0568"/>
    <w:rsid w:val="00CB24F0"/>
    <w:rsid w:val="00CB38F9"/>
    <w:rsid w:val="00CB5454"/>
    <w:rsid w:val="00CB5A05"/>
    <w:rsid w:val="00CC001A"/>
    <w:rsid w:val="00CC359D"/>
    <w:rsid w:val="00CC5856"/>
    <w:rsid w:val="00CC7397"/>
    <w:rsid w:val="00CD006F"/>
    <w:rsid w:val="00CD1324"/>
    <w:rsid w:val="00CD196F"/>
    <w:rsid w:val="00CD2DB3"/>
    <w:rsid w:val="00CD305F"/>
    <w:rsid w:val="00CD344C"/>
    <w:rsid w:val="00CD5C71"/>
    <w:rsid w:val="00CD6824"/>
    <w:rsid w:val="00CD6D29"/>
    <w:rsid w:val="00CD7964"/>
    <w:rsid w:val="00CE0D4D"/>
    <w:rsid w:val="00CE1E8E"/>
    <w:rsid w:val="00CE3507"/>
    <w:rsid w:val="00CE7923"/>
    <w:rsid w:val="00CE7EF9"/>
    <w:rsid w:val="00CF05E2"/>
    <w:rsid w:val="00CF1A42"/>
    <w:rsid w:val="00CF5BF2"/>
    <w:rsid w:val="00CF5F0A"/>
    <w:rsid w:val="00CF62D0"/>
    <w:rsid w:val="00CF768C"/>
    <w:rsid w:val="00D02D5B"/>
    <w:rsid w:val="00D04035"/>
    <w:rsid w:val="00D07A25"/>
    <w:rsid w:val="00D112E4"/>
    <w:rsid w:val="00D12515"/>
    <w:rsid w:val="00D1267B"/>
    <w:rsid w:val="00D1276D"/>
    <w:rsid w:val="00D12F5D"/>
    <w:rsid w:val="00D13563"/>
    <w:rsid w:val="00D135A5"/>
    <w:rsid w:val="00D143DE"/>
    <w:rsid w:val="00D148B6"/>
    <w:rsid w:val="00D21F7D"/>
    <w:rsid w:val="00D25BA3"/>
    <w:rsid w:val="00D27988"/>
    <w:rsid w:val="00D3001B"/>
    <w:rsid w:val="00D31D39"/>
    <w:rsid w:val="00D323FE"/>
    <w:rsid w:val="00D33BAA"/>
    <w:rsid w:val="00D34FBA"/>
    <w:rsid w:val="00D35911"/>
    <w:rsid w:val="00D35E80"/>
    <w:rsid w:val="00D368D0"/>
    <w:rsid w:val="00D37A4A"/>
    <w:rsid w:val="00D37F23"/>
    <w:rsid w:val="00D41E5E"/>
    <w:rsid w:val="00D42E39"/>
    <w:rsid w:val="00D466E8"/>
    <w:rsid w:val="00D4762C"/>
    <w:rsid w:val="00D51C2C"/>
    <w:rsid w:val="00D53CE2"/>
    <w:rsid w:val="00D55F3F"/>
    <w:rsid w:val="00D570E5"/>
    <w:rsid w:val="00D60265"/>
    <w:rsid w:val="00D604D8"/>
    <w:rsid w:val="00D609E2"/>
    <w:rsid w:val="00D61BF6"/>
    <w:rsid w:val="00D6278C"/>
    <w:rsid w:val="00D62F88"/>
    <w:rsid w:val="00D63265"/>
    <w:rsid w:val="00D661BD"/>
    <w:rsid w:val="00D66749"/>
    <w:rsid w:val="00D66F1D"/>
    <w:rsid w:val="00D70592"/>
    <w:rsid w:val="00D71F76"/>
    <w:rsid w:val="00D72587"/>
    <w:rsid w:val="00D72B63"/>
    <w:rsid w:val="00D744EE"/>
    <w:rsid w:val="00D75977"/>
    <w:rsid w:val="00D76588"/>
    <w:rsid w:val="00D8512D"/>
    <w:rsid w:val="00D86ED4"/>
    <w:rsid w:val="00D902A7"/>
    <w:rsid w:val="00D921A4"/>
    <w:rsid w:val="00D925DA"/>
    <w:rsid w:val="00D934D3"/>
    <w:rsid w:val="00D96045"/>
    <w:rsid w:val="00D96CE0"/>
    <w:rsid w:val="00D972FB"/>
    <w:rsid w:val="00DA00DB"/>
    <w:rsid w:val="00DA2182"/>
    <w:rsid w:val="00DA21FB"/>
    <w:rsid w:val="00DA335B"/>
    <w:rsid w:val="00DA439F"/>
    <w:rsid w:val="00DA4B3C"/>
    <w:rsid w:val="00DA6477"/>
    <w:rsid w:val="00DA66AF"/>
    <w:rsid w:val="00DA70CB"/>
    <w:rsid w:val="00DB0575"/>
    <w:rsid w:val="00DB1888"/>
    <w:rsid w:val="00DB19D3"/>
    <w:rsid w:val="00DB5765"/>
    <w:rsid w:val="00DB61D9"/>
    <w:rsid w:val="00DC2E26"/>
    <w:rsid w:val="00DC5AB8"/>
    <w:rsid w:val="00DC67A0"/>
    <w:rsid w:val="00DC711A"/>
    <w:rsid w:val="00DD06F5"/>
    <w:rsid w:val="00DD1D2D"/>
    <w:rsid w:val="00DD2D5F"/>
    <w:rsid w:val="00DD3822"/>
    <w:rsid w:val="00DD4259"/>
    <w:rsid w:val="00DD6E11"/>
    <w:rsid w:val="00DE1FE2"/>
    <w:rsid w:val="00DE3E22"/>
    <w:rsid w:val="00DE4861"/>
    <w:rsid w:val="00DE66F2"/>
    <w:rsid w:val="00DE7EFD"/>
    <w:rsid w:val="00DF5603"/>
    <w:rsid w:val="00DF6287"/>
    <w:rsid w:val="00DF731E"/>
    <w:rsid w:val="00E011A7"/>
    <w:rsid w:val="00E03A6B"/>
    <w:rsid w:val="00E04810"/>
    <w:rsid w:val="00E11678"/>
    <w:rsid w:val="00E120E6"/>
    <w:rsid w:val="00E12135"/>
    <w:rsid w:val="00E14A8B"/>
    <w:rsid w:val="00E15CC5"/>
    <w:rsid w:val="00E23A02"/>
    <w:rsid w:val="00E24340"/>
    <w:rsid w:val="00E24A41"/>
    <w:rsid w:val="00E314A2"/>
    <w:rsid w:val="00E33F0C"/>
    <w:rsid w:val="00E33F4F"/>
    <w:rsid w:val="00E3556E"/>
    <w:rsid w:val="00E367EB"/>
    <w:rsid w:val="00E3727F"/>
    <w:rsid w:val="00E4037A"/>
    <w:rsid w:val="00E45ED2"/>
    <w:rsid w:val="00E46123"/>
    <w:rsid w:val="00E477ED"/>
    <w:rsid w:val="00E523C9"/>
    <w:rsid w:val="00E53052"/>
    <w:rsid w:val="00E549BF"/>
    <w:rsid w:val="00E54DF1"/>
    <w:rsid w:val="00E60566"/>
    <w:rsid w:val="00E609A7"/>
    <w:rsid w:val="00E627EC"/>
    <w:rsid w:val="00E62F56"/>
    <w:rsid w:val="00E65496"/>
    <w:rsid w:val="00E66435"/>
    <w:rsid w:val="00E66994"/>
    <w:rsid w:val="00E700E0"/>
    <w:rsid w:val="00E7178A"/>
    <w:rsid w:val="00E723BE"/>
    <w:rsid w:val="00E75D3C"/>
    <w:rsid w:val="00E76A49"/>
    <w:rsid w:val="00E77C89"/>
    <w:rsid w:val="00E804D0"/>
    <w:rsid w:val="00E8205B"/>
    <w:rsid w:val="00E8423A"/>
    <w:rsid w:val="00E90BEC"/>
    <w:rsid w:val="00EA004F"/>
    <w:rsid w:val="00EA0286"/>
    <w:rsid w:val="00EA2936"/>
    <w:rsid w:val="00EA4B77"/>
    <w:rsid w:val="00EA504A"/>
    <w:rsid w:val="00EB0BB0"/>
    <w:rsid w:val="00EB16AD"/>
    <w:rsid w:val="00EB1804"/>
    <w:rsid w:val="00EB1E2B"/>
    <w:rsid w:val="00EB26DD"/>
    <w:rsid w:val="00EC00C5"/>
    <w:rsid w:val="00EC32B0"/>
    <w:rsid w:val="00EC5398"/>
    <w:rsid w:val="00EC58AE"/>
    <w:rsid w:val="00EC5B2C"/>
    <w:rsid w:val="00EC5BEC"/>
    <w:rsid w:val="00EC609D"/>
    <w:rsid w:val="00EC6F14"/>
    <w:rsid w:val="00EC761F"/>
    <w:rsid w:val="00ED1AD5"/>
    <w:rsid w:val="00ED2157"/>
    <w:rsid w:val="00ED7D41"/>
    <w:rsid w:val="00EE0057"/>
    <w:rsid w:val="00EE0136"/>
    <w:rsid w:val="00EE07EB"/>
    <w:rsid w:val="00EE1457"/>
    <w:rsid w:val="00EE1E5D"/>
    <w:rsid w:val="00EE40EE"/>
    <w:rsid w:val="00EE49CD"/>
    <w:rsid w:val="00EF16D1"/>
    <w:rsid w:val="00EF2297"/>
    <w:rsid w:val="00EF4842"/>
    <w:rsid w:val="00EF4C78"/>
    <w:rsid w:val="00F01365"/>
    <w:rsid w:val="00F020E7"/>
    <w:rsid w:val="00F029B9"/>
    <w:rsid w:val="00F033C4"/>
    <w:rsid w:val="00F03548"/>
    <w:rsid w:val="00F03E0C"/>
    <w:rsid w:val="00F06A24"/>
    <w:rsid w:val="00F10427"/>
    <w:rsid w:val="00F12A85"/>
    <w:rsid w:val="00F12E89"/>
    <w:rsid w:val="00F15FFD"/>
    <w:rsid w:val="00F170D1"/>
    <w:rsid w:val="00F22E4C"/>
    <w:rsid w:val="00F260BF"/>
    <w:rsid w:val="00F27070"/>
    <w:rsid w:val="00F315A8"/>
    <w:rsid w:val="00F31613"/>
    <w:rsid w:val="00F325F7"/>
    <w:rsid w:val="00F32CE2"/>
    <w:rsid w:val="00F34A27"/>
    <w:rsid w:val="00F35625"/>
    <w:rsid w:val="00F35ED9"/>
    <w:rsid w:val="00F36217"/>
    <w:rsid w:val="00F36892"/>
    <w:rsid w:val="00F36919"/>
    <w:rsid w:val="00F42123"/>
    <w:rsid w:val="00F42220"/>
    <w:rsid w:val="00F430C7"/>
    <w:rsid w:val="00F46E88"/>
    <w:rsid w:val="00F50CEF"/>
    <w:rsid w:val="00F52C9F"/>
    <w:rsid w:val="00F53B54"/>
    <w:rsid w:val="00F54A72"/>
    <w:rsid w:val="00F55BDB"/>
    <w:rsid w:val="00F60DBF"/>
    <w:rsid w:val="00F60EF8"/>
    <w:rsid w:val="00F70802"/>
    <w:rsid w:val="00F7272F"/>
    <w:rsid w:val="00F76B07"/>
    <w:rsid w:val="00F809CF"/>
    <w:rsid w:val="00F80E2E"/>
    <w:rsid w:val="00F81DA3"/>
    <w:rsid w:val="00F84230"/>
    <w:rsid w:val="00F8691C"/>
    <w:rsid w:val="00F91162"/>
    <w:rsid w:val="00F91B4B"/>
    <w:rsid w:val="00F93122"/>
    <w:rsid w:val="00F931F3"/>
    <w:rsid w:val="00F93A7D"/>
    <w:rsid w:val="00F94413"/>
    <w:rsid w:val="00F9457D"/>
    <w:rsid w:val="00FA1B78"/>
    <w:rsid w:val="00FA4A14"/>
    <w:rsid w:val="00FA5C5D"/>
    <w:rsid w:val="00FA5FBA"/>
    <w:rsid w:val="00FB1623"/>
    <w:rsid w:val="00FB34ED"/>
    <w:rsid w:val="00FB44E6"/>
    <w:rsid w:val="00FB7140"/>
    <w:rsid w:val="00FB7C38"/>
    <w:rsid w:val="00FC0588"/>
    <w:rsid w:val="00FC29EC"/>
    <w:rsid w:val="00FC3924"/>
    <w:rsid w:val="00FC3B87"/>
    <w:rsid w:val="00FC3F9C"/>
    <w:rsid w:val="00FC50F0"/>
    <w:rsid w:val="00FC526C"/>
    <w:rsid w:val="00FC5AA4"/>
    <w:rsid w:val="00FC60B1"/>
    <w:rsid w:val="00FC6E48"/>
    <w:rsid w:val="00FC78C5"/>
    <w:rsid w:val="00FD0472"/>
    <w:rsid w:val="00FD2CCF"/>
    <w:rsid w:val="00FD3842"/>
    <w:rsid w:val="00FD3FC1"/>
    <w:rsid w:val="00FD7B5D"/>
    <w:rsid w:val="00FE4FE9"/>
    <w:rsid w:val="00FE6E59"/>
    <w:rsid w:val="00FE7E13"/>
    <w:rsid w:val="00FF3A1F"/>
    <w:rsid w:val="00FF3FA9"/>
    <w:rsid w:val="00FF4006"/>
    <w:rsid w:val="00FF51C7"/>
    <w:rsid w:val="00FF5A5E"/>
    <w:rsid w:val="00FF622E"/>
    <w:rsid w:val="11620195"/>
    <w:rsid w:val="29D4543D"/>
    <w:rsid w:val="2F313F9B"/>
    <w:rsid w:val="31435E91"/>
    <w:rsid w:val="344F4553"/>
    <w:rsid w:val="3C4416E9"/>
    <w:rsid w:val="45717F01"/>
    <w:rsid w:val="543B6A38"/>
    <w:rsid w:val="593C7D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332</Words>
  <Characters>1899</Characters>
  <Lines>15</Lines>
  <Paragraphs>4</Paragraphs>
  <TotalTime>44</TotalTime>
  <ScaleCrop>false</ScaleCrop>
  <LinksUpToDate>false</LinksUpToDate>
  <CharactersWithSpaces>2227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2022-08-29T13:25:00Z</dcterms:created>
  <dc:creator>刘云飞</dc:creator>
  <cp:lastModifiedBy>lenovo</cp:lastModifiedBy>
  <dcterms:modified xsi:type="dcterms:W3CDTF">2024-10-17T01:58:49Z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DCEAEAD42D184A9A800EC1AB9CA9FA49</vt:lpwstr>
  </property>
</Properties>
</file>