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jc w:val="center"/>
        <w:rPr>
          <w:rFonts w:ascii="宋体" w:hAnsi="宋体" w:eastAsia="宋体" w:cs="宋体"/>
          <w:sz w:val="24"/>
          <w:szCs w:val="24"/>
        </w:rPr>
      </w:pPr>
      <w:r>
        <w:rPr>
          <w:rFonts w:hint="eastAsia" w:ascii="宋体" w:hAnsi="宋体" w:eastAsia="宋体" w:cs="宋体"/>
          <w:b/>
          <w:bCs/>
          <w:sz w:val="36"/>
        </w:rPr>
        <w:t>关于代销苏银理财启源现金</w:t>
      </w:r>
      <w:r>
        <w:rPr>
          <w:rFonts w:hint="eastAsia" w:ascii="宋体" w:hAnsi="宋体" w:eastAsia="宋体" w:cs="宋体"/>
          <w:b/>
          <w:bCs/>
          <w:sz w:val="36"/>
          <w:lang w:val="en-US" w:eastAsia="zh-CN"/>
        </w:rPr>
        <w:t>5</w:t>
      </w:r>
      <w:r>
        <w:rPr>
          <w:rFonts w:hint="eastAsia" w:ascii="宋体" w:hAnsi="宋体" w:eastAsia="宋体" w:cs="宋体"/>
          <w:b/>
          <w:bCs/>
          <w:sz w:val="36"/>
        </w:rPr>
        <w:t>号的通知</w:t>
      </w:r>
    </w:p>
    <w:p>
      <w:pPr>
        <w:adjustRightInd/>
        <w:snapToGrid/>
        <w:spacing w:after="0" w:line="555" w:lineRule="atLeast"/>
        <w:rPr>
          <w:rFonts w:ascii="微软雅黑" w:hAnsi="微软雅黑" w:cs="宋体"/>
          <w:color w:val="000000"/>
          <w:sz w:val="30"/>
          <w:szCs w:val="30"/>
        </w:rPr>
      </w:pPr>
      <w:r>
        <w:rPr>
          <w:rFonts w:hint="eastAsia" w:ascii="仿宋_GB2312" w:hAnsi="微软雅黑" w:eastAsia="仿宋_GB2312" w:cs="宋体"/>
          <w:color w:val="000000"/>
          <w:sz w:val="32"/>
          <w:szCs w:val="32"/>
        </w:rPr>
        <w:t>各分(支)行、总行营业部：</w:t>
      </w:r>
    </w:p>
    <w:p>
      <w:pPr>
        <w:adjustRightInd/>
        <w:snapToGrid/>
        <w:spacing w:after="0"/>
        <w:ind w:firstLine="63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我行代销</w:t>
      </w:r>
      <w:r>
        <w:rPr>
          <w:rFonts w:hint="eastAsia" w:ascii="仿宋_GB2312" w:hAnsi="微软雅黑" w:eastAsia="仿宋_GB2312" w:cs="宋体"/>
          <w:color w:val="FF0000"/>
          <w:sz w:val="32"/>
          <w:szCs w:val="32"/>
        </w:rPr>
        <w:t>苏银理财有限责任公司</w:t>
      </w:r>
      <w:r>
        <w:rPr>
          <w:rFonts w:hint="eastAsia" w:ascii="仿宋_GB2312" w:hAnsi="微软雅黑" w:eastAsia="仿宋_GB2312" w:cs="宋体"/>
          <w:color w:val="000000"/>
          <w:sz w:val="32"/>
          <w:szCs w:val="32"/>
        </w:rPr>
        <w:t>发行的苏银理财启源现金</w:t>
      </w:r>
      <w:r>
        <w:rPr>
          <w:rFonts w:hint="eastAsia" w:ascii="仿宋_GB2312" w:hAnsi="微软雅黑" w:eastAsia="仿宋_GB2312" w:cs="宋体"/>
          <w:color w:val="000000"/>
          <w:sz w:val="32"/>
          <w:szCs w:val="32"/>
          <w:lang w:val="en-US" w:eastAsia="zh-CN"/>
        </w:rPr>
        <w:t>5</w:t>
      </w:r>
      <w:r>
        <w:rPr>
          <w:rFonts w:hint="eastAsia" w:ascii="仿宋_GB2312" w:hAnsi="微软雅黑" w:eastAsia="仿宋_GB2312" w:cs="宋体"/>
          <w:color w:val="000000"/>
          <w:sz w:val="32"/>
          <w:szCs w:val="32"/>
        </w:rPr>
        <w:t>号将</w:t>
      </w:r>
      <w:r>
        <w:rPr>
          <w:rFonts w:hint="eastAsia" w:ascii="仿宋_GB2312" w:hAnsi="微软雅黑" w:eastAsia="仿宋_GB2312" w:cs="宋体"/>
          <w:sz w:val="32"/>
          <w:szCs w:val="32"/>
        </w:rPr>
        <w:t>于202</w:t>
      </w:r>
      <w:r>
        <w:rPr>
          <w:rFonts w:hint="eastAsia" w:ascii="仿宋_GB2312" w:hAnsi="微软雅黑" w:eastAsia="仿宋_GB2312" w:cs="宋体"/>
          <w:sz w:val="32"/>
          <w:szCs w:val="32"/>
          <w:lang w:val="en-US" w:eastAsia="zh-CN"/>
        </w:rPr>
        <w:t>4</w:t>
      </w:r>
      <w:r>
        <w:rPr>
          <w:rFonts w:hint="eastAsia" w:ascii="仿宋_GB2312" w:hAnsi="微软雅黑" w:eastAsia="仿宋_GB2312" w:cs="宋体"/>
          <w:sz w:val="32"/>
          <w:szCs w:val="32"/>
        </w:rPr>
        <w:t>年</w:t>
      </w:r>
      <w:r>
        <w:rPr>
          <w:rFonts w:hint="eastAsia" w:ascii="仿宋_GB2312" w:hAnsi="微软雅黑" w:eastAsia="仿宋_GB2312" w:cs="宋体"/>
          <w:sz w:val="32"/>
          <w:szCs w:val="32"/>
          <w:lang w:val="en-US" w:eastAsia="zh-CN"/>
        </w:rPr>
        <w:t>11</w:t>
      </w:r>
      <w:r>
        <w:rPr>
          <w:rFonts w:hint="eastAsia" w:ascii="仿宋_GB2312" w:hAnsi="微软雅黑" w:eastAsia="仿宋_GB2312" w:cs="宋体"/>
          <w:sz w:val="32"/>
          <w:szCs w:val="32"/>
        </w:rPr>
        <w:t>月</w:t>
      </w:r>
      <w:r>
        <w:rPr>
          <w:rFonts w:hint="eastAsia" w:ascii="仿宋_GB2312" w:hAnsi="微软雅黑" w:eastAsia="仿宋_GB2312" w:cs="宋体"/>
          <w:sz w:val="32"/>
          <w:szCs w:val="32"/>
          <w:lang w:val="en-US" w:eastAsia="zh-CN"/>
        </w:rPr>
        <w:t>1</w:t>
      </w:r>
      <w:r>
        <w:rPr>
          <w:rFonts w:hint="eastAsia" w:ascii="仿宋_GB2312" w:hAnsi="微软雅黑" w:eastAsia="仿宋_GB2312" w:cs="宋体"/>
          <w:sz w:val="32"/>
          <w:szCs w:val="32"/>
        </w:rPr>
        <w:t>日开始销售</w:t>
      </w:r>
      <w:r>
        <w:rPr>
          <w:rFonts w:hint="eastAsia" w:ascii="仿宋_GB2312" w:hAnsi="微软雅黑" w:eastAsia="仿宋_GB2312" w:cs="宋体"/>
          <w:color w:val="000000"/>
          <w:sz w:val="32"/>
          <w:szCs w:val="32"/>
        </w:rPr>
        <w:t>。部分要素如下：</w:t>
      </w:r>
    </w:p>
    <w:tbl>
      <w:tblPr>
        <w:tblStyle w:val="7"/>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81"/>
        <w:gridCol w:w="6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1"/>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795" w:type="dxa"/>
            <w:vAlign w:val="center"/>
          </w:tcPr>
          <w:p>
            <w:pPr>
              <w:pStyle w:val="16"/>
              <w:kinsoku w:val="0"/>
              <w:overflowPunct w:val="0"/>
              <w:spacing w:before="13"/>
              <w:ind w:left="115" w:right="121" w:rightChars="55"/>
              <w:jc w:val="both"/>
              <w:rPr>
                <w:rFonts w:hint="eastAsia" w:ascii="楷体" w:hAnsi="楷体" w:eastAsia="楷体" w:cs="宋体"/>
                <w:spacing w:val="-2"/>
                <w:sz w:val="21"/>
                <w:szCs w:val="21"/>
                <w:lang w:eastAsia="zh-CN"/>
              </w:rPr>
            </w:pPr>
            <w:r>
              <w:rPr>
                <w:rFonts w:hint="eastAsia" w:ascii="楷体" w:hAnsi="楷体" w:eastAsia="楷体" w:cs="宋体"/>
                <w:spacing w:val="-2"/>
                <w:sz w:val="21"/>
                <w:szCs w:val="21"/>
                <w:lang w:eastAsia="zh-CN"/>
              </w:rPr>
              <w:t>苏银理财启源现金5号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40"/>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795" w:type="dxa"/>
            <w:vAlign w:val="center"/>
          </w:tcPr>
          <w:p>
            <w:pPr>
              <w:pStyle w:val="16"/>
              <w:kinsoku w:val="0"/>
              <w:overflowPunct w:val="0"/>
              <w:ind w:left="115" w:right="121" w:rightChars="5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Z7003123000050</w:t>
            </w:r>
          </w:p>
          <w:p>
            <w:pPr>
              <w:pStyle w:val="16"/>
              <w:kinsoku w:val="0"/>
              <w:overflowPunct w:val="0"/>
              <w:ind w:left="115" w:right="121" w:rightChars="55"/>
              <w:jc w:val="both"/>
              <w:rPr>
                <w:rFonts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ascii="楷体" w:hAnsi="楷体" w:eastAsia="楷体" w:cs="宋体"/>
                <w:spacing w:val="-2"/>
                <w:sz w:val="21"/>
                <w:szCs w:val="21"/>
              </w:rPr>
              <w:t>www.chinawealth.com</w:t>
            </w:r>
            <w:r>
              <w:rPr>
                <w:rFonts w:hint="eastAsia" w:ascii="楷体" w:hAnsi="楷体" w:eastAsia="楷体" w:cs="宋体"/>
                <w:spacing w:val="-2"/>
                <w:sz w:val="21"/>
                <w:szCs w:val="21"/>
                <w:lang w:val="en-US" w:eastAsia="zh-CN"/>
              </w:rPr>
              <w:t>.</w:t>
            </w:r>
            <w:r>
              <w:rPr>
                <w:rFonts w:ascii="楷体" w:hAnsi="楷体" w:eastAsia="楷体" w:cs="宋体"/>
                <w:spacing w:val="-2"/>
                <w:sz w:val="21"/>
                <w:szCs w:val="21"/>
              </w:rPr>
              <w:t>cn</w:t>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3"/>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795" w:type="dxa"/>
            <w:vAlign w:val="center"/>
          </w:tcPr>
          <w:p>
            <w:pPr>
              <w:pStyle w:val="16"/>
              <w:kinsoku w:val="0"/>
              <w:overflowPunct w:val="0"/>
              <w:spacing w:before="12"/>
              <w:ind w:left="115" w:right="121" w:rightChars="5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lang w:val="en-US" w:eastAsia="zh-CN"/>
              </w:rPr>
              <w:t>苏银理财启源现金5号JS</w:t>
            </w:r>
            <w:r>
              <w:rPr>
                <w:rFonts w:hint="eastAsia" w:ascii="楷体" w:hAnsi="楷体" w:eastAsia="楷体" w:cs="宋体"/>
                <w:spacing w:val="-2"/>
                <w:sz w:val="21"/>
                <w:szCs w:val="21"/>
                <w:lang w:val="en-US" w:eastAsia="zh-CN"/>
              </w:rPr>
              <w:t>鑫福款/J03576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4"/>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795" w:type="dxa"/>
            <w:vAlign w:val="center"/>
          </w:tcPr>
          <w:p>
            <w:pPr>
              <w:pStyle w:val="16"/>
              <w:kinsoku w:val="0"/>
              <w:overflowPunct w:val="0"/>
              <w:spacing w:before="12"/>
              <w:ind w:left="115" w:right="121" w:rightChars="55"/>
              <w:jc w:val="both"/>
              <w:rPr>
                <w:rFonts w:ascii="楷体" w:hAnsi="楷体" w:eastAsia="楷体" w:cs="宋体"/>
                <w:spacing w:val="-2"/>
                <w:sz w:val="21"/>
                <w:szCs w:val="21"/>
              </w:rPr>
            </w:pPr>
            <w:r>
              <w:rPr>
                <w:rFonts w:hint="eastAsia" w:ascii="楷体" w:hAnsi="楷体" w:eastAsia="楷体" w:cs="宋体"/>
                <w:spacing w:val="-2"/>
                <w:sz w:val="21"/>
                <w:szCs w:val="21"/>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3"/>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795" w:type="dxa"/>
            <w:vAlign w:val="center"/>
          </w:tcPr>
          <w:p>
            <w:pPr>
              <w:pStyle w:val="16"/>
              <w:kinsoku w:val="0"/>
              <w:overflowPunct w:val="0"/>
              <w:spacing w:before="12"/>
              <w:ind w:left="115" w:right="121" w:rightChars="55"/>
              <w:jc w:val="both"/>
              <w:rPr>
                <w:rFonts w:ascii="楷体" w:hAnsi="楷体" w:eastAsia="楷体" w:cs="宋体"/>
                <w:spacing w:val="-2"/>
                <w:sz w:val="21"/>
                <w:szCs w:val="21"/>
              </w:rPr>
            </w:pPr>
            <w:r>
              <w:rPr>
                <w:rFonts w:hint="eastAsia" w:ascii="楷体" w:hAnsi="楷体" w:eastAsia="楷体" w:cs="宋体"/>
                <w:spacing w:val="-2"/>
                <w:sz w:val="21"/>
                <w:szCs w:val="21"/>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2" w:hRule="atLeast"/>
          <w:jc w:val="center"/>
        </w:trPr>
        <w:tc>
          <w:tcPr>
            <w:tcW w:w="2181" w:type="dxa"/>
            <w:vAlign w:val="center"/>
          </w:tcPr>
          <w:p>
            <w:pPr>
              <w:pStyle w:val="16"/>
              <w:kinsoku w:val="0"/>
              <w:overflowPunct w:val="0"/>
              <w:spacing w:before="13"/>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795" w:type="dxa"/>
            <w:vAlign w:val="center"/>
          </w:tcPr>
          <w:p>
            <w:pPr>
              <w:pStyle w:val="16"/>
              <w:kinsoku w:val="0"/>
              <w:overflowPunct w:val="0"/>
              <w:spacing w:before="13"/>
              <w:ind w:left="59" w:right="77" w:rightChars="35"/>
              <w:jc w:val="both"/>
              <w:rPr>
                <w:rFonts w:ascii="楷体" w:hAnsi="楷体" w:eastAsia="楷体" w:cs="宋体"/>
                <w:b/>
                <w:spacing w:val="-2"/>
                <w:sz w:val="21"/>
                <w:szCs w:val="21"/>
                <w:u w:val="single"/>
              </w:rPr>
            </w:pPr>
            <w:r>
              <w:rPr>
                <w:rFonts w:hint="eastAsia" w:ascii="楷体" w:hAnsi="楷体" w:eastAsia="楷体" w:cs="宋体"/>
                <w:spacing w:val="-2"/>
                <w:sz w:val="21"/>
                <w:szCs w:val="21"/>
              </w:rPr>
              <w:t>1、★一级，本评级为苏银理财有限责任公司内部评级，由苏银理财根据理财产品的投资组合、同类产品过往业绩和风险状况等因素，对理财产品进行评级，仅供客户参考。</w:t>
            </w:r>
          </w:p>
          <w:p>
            <w:pPr>
              <w:pStyle w:val="16"/>
              <w:kinsoku w:val="0"/>
              <w:overflowPunct w:val="0"/>
              <w:spacing w:before="13"/>
              <w:ind w:left="59" w:right="77" w:rightChars="35"/>
              <w:jc w:val="both"/>
              <w:rPr>
                <w:rFonts w:ascii="楷体" w:hAnsi="楷体" w:eastAsia="楷体" w:cs="宋体"/>
                <w:spacing w:val="-2"/>
                <w:sz w:val="21"/>
                <w:szCs w:val="21"/>
              </w:rPr>
            </w:pPr>
            <w:r>
              <w:rPr>
                <w:rFonts w:hint="eastAsia" w:ascii="楷体" w:hAnsi="楷体" w:eastAsia="楷体" w:cs="宋体"/>
                <w:spacing w:val="-2"/>
                <w:sz w:val="21"/>
                <w:szCs w:val="21"/>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sz w:val="21"/>
                <w:szCs w:val="21"/>
              </w:rPr>
              <w:t>销售评级与</w:t>
            </w:r>
            <w:r>
              <w:rPr>
                <w:rFonts w:hint="eastAsia" w:ascii="楷体" w:hAnsi="楷体" w:eastAsia="楷体" w:cs="宋体"/>
                <w:spacing w:val="-2"/>
                <w:sz w:val="21"/>
                <w:szCs w:val="21"/>
              </w:rPr>
              <w:t>苏银理财</w:t>
            </w:r>
            <w:r>
              <w:rPr>
                <w:rFonts w:ascii="楷体" w:hAnsi="楷体" w:eastAsia="楷体" w:cs="宋体"/>
                <w:spacing w:val="-2"/>
                <w:sz w:val="21"/>
                <w:szCs w:val="21"/>
              </w:rPr>
              <w:t>产品评级结果不一致的，代理销售机构应当采用对应较高风险等级的评级结果并予以披露</w:t>
            </w:r>
            <w:r>
              <w:rPr>
                <w:rFonts w:hint="eastAsia" w:ascii="楷体" w:hAnsi="楷体" w:eastAsia="楷体" w:cs="宋体"/>
                <w:spacing w:val="-2"/>
                <w:sz w:val="21"/>
                <w:szCs w:val="21"/>
              </w:rPr>
              <w:t>。</w:t>
            </w:r>
          </w:p>
          <w:p>
            <w:pPr>
              <w:pStyle w:val="16"/>
              <w:kinsoku w:val="0"/>
              <w:overflowPunct w:val="0"/>
              <w:spacing w:before="13"/>
              <w:ind w:left="115" w:right="121" w:rightChars="55"/>
              <w:jc w:val="both"/>
              <w:rPr>
                <w:rFonts w:hint="eastAsia" w:ascii="楷体" w:hAnsi="楷体" w:eastAsia="楷体" w:cs="宋体"/>
                <w:b/>
                <w:spacing w:val="-2"/>
                <w:sz w:val="21"/>
                <w:szCs w:val="21"/>
                <w:u w:val="single"/>
              </w:rPr>
            </w:pPr>
            <w:r>
              <w:rPr>
                <w:rFonts w:hint="eastAsia" w:ascii="楷体" w:hAnsi="楷体" w:eastAsia="楷体" w:cs="宋体"/>
                <w:bCs/>
                <w:spacing w:val="-2"/>
                <w:sz w:val="21"/>
                <w:szCs w:val="21"/>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ascii="楷体" w:hAnsi="楷体" w:eastAsia="楷体" w:cs="宋体"/>
                <w:b/>
                <w:spacing w:val="-2"/>
                <w:sz w:val="21"/>
                <w:szCs w:val="21"/>
                <w:highlight w:val="none"/>
                <w:u w:val="single"/>
              </w:rPr>
              <w:t>通过代理销售机构渠道销售，</w:t>
            </w:r>
            <w:r>
              <w:rPr>
                <w:rFonts w:ascii="楷体" w:hAnsi="楷体" w:eastAsia="楷体" w:cs="宋体"/>
                <w:b/>
                <w:spacing w:val="-2"/>
                <w:sz w:val="21"/>
                <w:szCs w:val="21"/>
                <w:u w:val="single"/>
              </w:rPr>
              <w:t>理财产品评级</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p>
          <w:p>
            <w:pPr>
              <w:rPr>
                <w:rFonts w:hint="eastAsia" w:ascii="楷体" w:hAnsi="楷体" w:eastAsia="楷体" w:cs="宋体"/>
                <w:b/>
                <w:spacing w:val="-2"/>
                <w:sz w:val="21"/>
                <w:szCs w:val="21"/>
                <w:u w:val="single"/>
              </w:rPr>
            </w:pPr>
            <w:r>
              <w:rPr>
                <w:rFonts w:hint="eastAsia" w:ascii="仿宋" w:hAnsi="仿宋" w:eastAsia="仿宋"/>
                <w:b/>
                <w:color w:val="FF0000"/>
                <w:sz w:val="20"/>
                <w:szCs w:val="20"/>
                <w:lang w:val="en-US" w:eastAsia="zh-CN"/>
              </w:rPr>
              <w:t>4、</w:t>
            </w:r>
            <w:r>
              <w:rPr>
                <w:rFonts w:hint="eastAsia" w:ascii="仿宋" w:hAnsi="仿宋" w:eastAsia="仿宋"/>
                <w:b/>
                <w:color w:val="FF0000"/>
                <w:sz w:val="20"/>
                <w:szCs w:val="20"/>
              </w:rPr>
              <w:t>紫金农商银行对本产品的风险评级为低风险。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2"/>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795" w:type="dxa"/>
            <w:vAlign w:val="center"/>
          </w:tcPr>
          <w:p>
            <w:pPr>
              <w:pStyle w:val="16"/>
              <w:kinsoku w:val="0"/>
              <w:overflowPunct w:val="0"/>
              <w:spacing w:before="12"/>
              <w:ind w:left="115" w:right="121" w:rightChars="55"/>
              <w:jc w:val="both"/>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3"/>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产品类型</w:t>
            </w:r>
          </w:p>
        </w:tc>
        <w:tc>
          <w:tcPr>
            <w:tcW w:w="6795" w:type="dxa"/>
            <w:vAlign w:val="center"/>
          </w:tcPr>
          <w:p>
            <w:pPr>
              <w:pStyle w:val="16"/>
              <w:kinsoku w:val="0"/>
              <w:overflowPunct w:val="0"/>
              <w:spacing w:before="12"/>
              <w:ind w:left="115" w:right="121" w:rightChars="55"/>
              <w:jc w:val="both"/>
              <w:rPr>
                <w:rFonts w:ascii="楷体" w:hAnsi="楷体" w:eastAsia="楷体" w:cs="宋体"/>
                <w:b/>
                <w:spacing w:val="-2"/>
                <w:sz w:val="21"/>
                <w:szCs w:val="21"/>
                <w:u w:val="single"/>
              </w:rPr>
            </w:pPr>
            <w:r>
              <w:rPr>
                <w:rFonts w:hint="eastAsia" w:ascii="楷体" w:hAnsi="楷体" w:eastAsia="楷体" w:cs="宋体"/>
                <w:b/>
                <w:spacing w:val="-2"/>
                <w:sz w:val="21"/>
                <w:szCs w:val="21"/>
                <w:highlight w:val="none"/>
                <w:u w:val="single"/>
                <w:lang w:val="en-US" w:eastAsia="zh-CN"/>
              </w:rPr>
              <w:t>现金管理类、</w:t>
            </w: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2181" w:type="dxa"/>
            <w:vAlign w:val="center"/>
          </w:tcPr>
          <w:p>
            <w:pPr>
              <w:pStyle w:val="16"/>
              <w:kinsoku w:val="0"/>
              <w:overflowPunct w:val="0"/>
              <w:spacing w:before="13"/>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795" w:type="dxa"/>
            <w:vAlign w:val="center"/>
          </w:tcPr>
          <w:p>
            <w:pPr>
              <w:pStyle w:val="16"/>
              <w:kinsoku w:val="0"/>
              <w:overflowPunct w:val="0"/>
              <w:spacing w:before="12"/>
              <w:ind w:left="115" w:right="121" w:rightChars="55"/>
              <w:jc w:val="both"/>
              <w:rPr>
                <w:rFonts w:hint="default" w:ascii="楷体" w:hAnsi="楷体" w:eastAsia="楷体" w:cs="宋体"/>
                <w:spacing w:val="-2"/>
                <w:sz w:val="21"/>
                <w:szCs w:val="21"/>
                <w:lang w:val="en-US" w:eastAsia="zh-CN"/>
              </w:rPr>
            </w:pPr>
            <w:r>
              <w:rPr>
                <w:rFonts w:hint="default" w:ascii="楷体" w:hAnsi="楷体" w:eastAsia="楷体" w:cs="宋体"/>
                <w:spacing w:val="-2"/>
                <w:sz w:val="21"/>
                <w:szCs w:val="21"/>
                <w:lang w:val="en-US" w:eastAsia="zh-CN"/>
              </w:rPr>
              <w:t>苏银理财启源现金5号JS</w:t>
            </w:r>
            <w:r>
              <w:rPr>
                <w:rFonts w:hint="eastAsia" w:ascii="楷体" w:hAnsi="楷体" w:eastAsia="楷体" w:cs="宋体"/>
                <w:spacing w:val="-2"/>
                <w:sz w:val="21"/>
                <w:szCs w:val="21"/>
                <w:lang w:val="en-US" w:eastAsia="zh-CN"/>
              </w:rPr>
              <w:t>鑫福款</w:t>
            </w:r>
            <w:r>
              <w:rPr>
                <w:rFonts w:hint="eastAsia" w:ascii="楷体" w:hAnsi="楷体" w:eastAsia="楷体" w:cs="宋体"/>
                <w:spacing w:val="-2"/>
                <w:sz w:val="21"/>
                <w:szCs w:val="21"/>
              </w:rPr>
              <w:t>：</w:t>
            </w:r>
            <w:r>
              <w:rPr>
                <w:rFonts w:hint="eastAsia" w:ascii="楷体" w:hAnsi="楷体" w:eastAsia="楷体" w:cs="宋体"/>
                <w:spacing w:val="-2"/>
                <w:sz w:val="21"/>
                <w:szCs w:val="21"/>
                <w:lang w:eastAsia="zh-CN"/>
              </w:rPr>
              <w:t>个人和机构投资者。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4"/>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募集币种</w:t>
            </w:r>
          </w:p>
        </w:tc>
        <w:tc>
          <w:tcPr>
            <w:tcW w:w="6795" w:type="dxa"/>
            <w:vAlign w:val="center"/>
          </w:tcPr>
          <w:p>
            <w:pPr>
              <w:pStyle w:val="16"/>
              <w:kinsoku w:val="0"/>
              <w:overflowPunct w:val="0"/>
              <w:spacing w:before="14"/>
              <w:ind w:left="115" w:right="121" w:rightChars="55"/>
              <w:jc w:val="both"/>
              <w:rPr>
                <w:rFonts w:ascii="楷体" w:hAnsi="楷体" w:eastAsia="楷体" w:cs="宋体"/>
                <w:spacing w:val="-2"/>
                <w:sz w:val="21"/>
                <w:szCs w:val="21"/>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2"/>
              <w:ind w:left="115" w:right="121" w:rightChars="55"/>
              <w:jc w:val="both"/>
              <w:rPr>
                <w:rFonts w:hint="eastAsia" w:ascii="楷体" w:hAnsi="楷体" w:eastAsia="楷体" w:cs="宋体"/>
                <w:spacing w:val="-2"/>
                <w:sz w:val="21"/>
                <w:szCs w:val="21"/>
              </w:rPr>
            </w:pPr>
            <w:r>
              <w:rPr>
                <w:rFonts w:hint="eastAsia" w:ascii="楷体" w:hAnsi="楷体" w:eastAsia="楷体" w:cs="宋体"/>
                <w:b/>
                <w:bCs/>
                <w:spacing w:val="-2"/>
                <w:sz w:val="21"/>
                <w:szCs w:val="21"/>
              </w:rPr>
              <w:t>计划发行规模</w:t>
            </w:r>
          </w:p>
        </w:tc>
        <w:tc>
          <w:tcPr>
            <w:tcW w:w="6795" w:type="dxa"/>
            <w:vAlign w:val="center"/>
          </w:tcPr>
          <w:p>
            <w:pPr>
              <w:pStyle w:val="16"/>
              <w:kinsoku w:val="0"/>
              <w:overflowPunct w:val="0"/>
              <w:spacing w:before="12"/>
              <w:ind w:left="115" w:right="121"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初始募集规模</w:t>
            </w:r>
            <w:r>
              <w:rPr>
                <w:rFonts w:hint="eastAsia" w:ascii="楷体" w:hAnsi="楷体" w:eastAsia="楷体" w:cs="宋体"/>
                <w:spacing w:val="-2"/>
                <w:sz w:val="21"/>
                <w:szCs w:val="21"/>
                <w:lang w:val="en-US" w:eastAsia="zh-CN"/>
              </w:rPr>
              <w:t>2</w:t>
            </w:r>
            <w:r>
              <w:rPr>
                <w:rFonts w:hint="eastAsia" w:ascii="楷体" w:hAnsi="楷体" w:eastAsia="楷体" w:cs="宋体"/>
                <w:spacing w:val="-2"/>
                <w:sz w:val="21"/>
                <w:szCs w:val="21"/>
              </w:rPr>
              <w:t>亿元，存量规模上限为1</w:t>
            </w:r>
            <w:r>
              <w:rPr>
                <w:rFonts w:hint="eastAsia" w:ascii="楷体" w:hAnsi="楷体" w:eastAsia="楷体" w:cs="宋体"/>
                <w:spacing w:val="-2"/>
                <w:sz w:val="21"/>
                <w:szCs w:val="21"/>
                <w:lang w:val="en-US" w:eastAsia="zh-CN"/>
              </w:rPr>
              <w:t>600</w:t>
            </w:r>
            <w:r>
              <w:rPr>
                <w:rFonts w:hint="eastAsia" w:ascii="楷体" w:hAnsi="楷体" w:eastAsia="楷体" w:cs="宋体"/>
                <w:spacing w:val="-2"/>
                <w:sz w:val="21"/>
                <w:szCs w:val="21"/>
              </w:rPr>
              <w:t>亿元</w:t>
            </w:r>
            <w:r>
              <w:rPr>
                <w:rFonts w:hint="eastAsia" w:ascii="楷体" w:hAnsi="楷体" w:eastAsia="楷体" w:cs="宋体"/>
                <w:spacing w:val="-2"/>
                <w:sz w:val="21"/>
                <w:szCs w:val="21"/>
                <w:lang w:eastAsia="zh-CN"/>
              </w:rPr>
              <w:t>；</w:t>
            </w:r>
            <w:r>
              <w:rPr>
                <w:rFonts w:hint="eastAsia" w:ascii="楷体" w:hAnsi="楷体" w:eastAsia="楷体" w:cs="宋体"/>
                <w:spacing w:val="-2"/>
                <w:sz w:val="21"/>
                <w:szCs w:val="21"/>
              </w:rPr>
              <w:t>各份额发行规模上限如下：</w:t>
            </w:r>
          </w:p>
          <w:p>
            <w:pPr>
              <w:pStyle w:val="16"/>
              <w:kinsoku w:val="0"/>
              <w:overflowPunct w:val="0"/>
              <w:spacing w:before="12"/>
              <w:ind w:left="115" w:right="121" w:rightChars="55"/>
              <w:jc w:val="both"/>
              <w:rPr>
                <w:rFonts w:hint="eastAsia" w:ascii="楷体" w:hAnsi="楷体" w:eastAsia="楷体" w:cs="宋体"/>
                <w:spacing w:val="-2"/>
                <w:sz w:val="21"/>
                <w:szCs w:val="21"/>
                <w:lang w:eastAsia="zh-CN"/>
              </w:rPr>
            </w:pPr>
            <w:r>
              <w:rPr>
                <w:rFonts w:hint="default" w:ascii="楷体" w:hAnsi="楷体" w:eastAsia="楷体" w:cs="宋体"/>
                <w:spacing w:val="-2"/>
                <w:sz w:val="21"/>
                <w:szCs w:val="21"/>
                <w:lang w:val="en-US" w:eastAsia="zh-CN"/>
              </w:rPr>
              <w:t>苏银理财启源现金5号JS</w:t>
            </w:r>
            <w:r>
              <w:rPr>
                <w:rFonts w:hint="eastAsia" w:ascii="楷体" w:hAnsi="楷体" w:eastAsia="楷体" w:cs="宋体"/>
                <w:spacing w:val="-2"/>
                <w:sz w:val="21"/>
                <w:szCs w:val="21"/>
                <w:lang w:val="en-US" w:eastAsia="zh-CN"/>
              </w:rPr>
              <w:t>鑫福款</w:t>
            </w:r>
            <w:r>
              <w:rPr>
                <w:rFonts w:hint="eastAsia" w:ascii="楷体" w:hAnsi="楷体" w:eastAsia="楷体" w:cs="宋体"/>
                <w:spacing w:val="-2"/>
                <w:sz w:val="21"/>
                <w:szCs w:val="21"/>
              </w:rPr>
              <w:t>：发行规模上限</w:t>
            </w:r>
            <w:r>
              <w:rPr>
                <w:rFonts w:ascii="楷体" w:hAnsi="楷体" w:eastAsia="楷体" w:cs="宋体"/>
                <w:spacing w:val="-2"/>
                <w:sz w:val="21"/>
                <w:szCs w:val="21"/>
              </w:rPr>
              <w:t>100</w:t>
            </w:r>
            <w:r>
              <w:rPr>
                <w:rFonts w:hint="eastAsia" w:ascii="楷体" w:hAnsi="楷体" w:eastAsia="楷体" w:cs="宋体"/>
                <w:spacing w:val="-2"/>
                <w:sz w:val="21"/>
                <w:szCs w:val="21"/>
              </w:rPr>
              <w:t>亿元</w:t>
            </w:r>
            <w:r>
              <w:rPr>
                <w:rFonts w:hint="eastAsia" w:ascii="楷体" w:hAnsi="楷体" w:eastAsia="楷体" w:cs="宋体"/>
                <w:spacing w:val="-2"/>
                <w:sz w:val="21"/>
                <w:szCs w:val="21"/>
                <w:lang w:eastAsia="zh-CN"/>
              </w:rPr>
              <w:t>。</w:t>
            </w:r>
          </w:p>
          <w:p>
            <w:pPr>
              <w:pStyle w:val="16"/>
              <w:kinsoku w:val="0"/>
              <w:overflowPunct w:val="0"/>
              <w:spacing w:before="12"/>
              <w:ind w:left="115" w:right="121" w:rightChars="55"/>
              <w:jc w:val="both"/>
              <w:rPr>
                <w:rFonts w:hint="eastAsia" w:ascii="楷体" w:hAnsi="楷体" w:eastAsia="楷体" w:cs="宋体"/>
                <w:spacing w:val="-2"/>
                <w:sz w:val="21"/>
                <w:szCs w:val="21"/>
              </w:rPr>
            </w:pPr>
            <w:r>
              <w:rPr>
                <w:rFonts w:hint="eastAsia" w:ascii="楷体" w:hAnsi="楷体" w:eastAsia="楷体" w:cs="宋体"/>
                <w:spacing w:val="-2"/>
                <w:sz w:val="21"/>
                <w:szCs w:val="21"/>
              </w:rPr>
              <w:t>管理人有权对</w:t>
            </w:r>
            <w:r>
              <w:rPr>
                <w:rFonts w:hint="eastAsia" w:ascii="楷体" w:hAnsi="楷体" w:eastAsia="楷体" w:cs="宋体"/>
                <w:spacing w:val="-2"/>
                <w:sz w:val="21"/>
                <w:szCs w:val="21"/>
                <w:lang w:eastAsia="zh-CN"/>
              </w:rPr>
              <w:t>各份额</w:t>
            </w:r>
            <w:r>
              <w:rPr>
                <w:rFonts w:hint="eastAsia" w:ascii="楷体" w:hAnsi="楷体" w:eastAsia="楷体" w:cs="宋体"/>
                <w:spacing w:val="-2"/>
                <w:sz w:val="21"/>
                <w:szCs w:val="21"/>
              </w:rPr>
              <w:t>发行规模上限根据实际业务需求进行调整。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2"/>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lang w:val="en-US" w:eastAsia="zh-CN"/>
              </w:rPr>
              <w:t>购买</w:t>
            </w:r>
            <w:r>
              <w:rPr>
                <w:rFonts w:hint="eastAsia" w:ascii="楷体" w:hAnsi="楷体" w:eastAsia="楷体" w:cs="宋体"/>
                <w:b/>
                <w:spacing w:val="-2"/>
                <w:sz w:val="21"/>
                <w:szCs w:val="21"/>
              </w:rPr>
              <w:t>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795" w:type="dxa"/>
            <w:vAlign w:val="center"/>
          </w:tcPr>
          <w:p>
            <w:pPr>
              <w:pStyle w:val="16"/>
              <w:kinsoku w:val="0"/>
              <w:overflowPunct w:val="0"/>
              <w:spacing w:before="12"/>
              <w:ind w:left="115" w:right="121" w:rightChars="55"/>
              <w:jc w:val="both"/>
              <w:rPr>
                <w:rFonts w:hint="eastAsia" w:ascii="楷体" w:hAnsi="楷体" w:eastAsia="楷体" w:cs="宋体"/>
                <w:spacing w:val="-2"/>
                <w:sz w:val="21"/>
                <w:szCs w:val="21"/>
                <w:lang w:eastAsia="zh-CN"/>
              </w:rPr>
            </w:pPr>
            <w:r>
              <w:rPr>
                <w:rFonts w:hint="default" w:ascii="楷体" w:hAnsi="楷体" w:eastAsia="楷体" w:cs="宋体"/>
                <w:spacing w:val="-2"/>
                <w:sz w:val="21"/>
                <w:szCs w:val="21"/>
                <w:lang w:val="en-US" w:eastAsia="zh-CN"/>
              </w:rPr>
              <w:t>苏银理财启源现金5号JS</w:t>
            </w:r>
            <w:r>
              <w:rPr>
                <w:rFonts w:hint="eastAsia" w:ascii="楷体" w:hAnsi="楷体" w:eastAsia="楷体" w:cs="宋体"/>
                <w:spacing w:val="-2"/>
                <w:sz w:val="21"/>
                <w:szCs w:val="21"/>
                <w:lang w:val="en-US" w:eastAsia="zh-CN"/>
              </w:rPr>
              <w:t>鑫福款</w:t>
            </w:r>
            <w:r>
              <w:rPr>
                <w:rFonts w:hint="eastAsia" w:ascii="楷体" w:hAnsi="楷体" w:eastAsia="楷体" w:cs="宋体"/>
                <w:spacing w:val="-2"/>
                <w:sz w:val="21"/>
                <w:szCs w:val="21"/>
              </w:rPr>
              <w:t>：首次认/申购起点金额为</w:t>
            </w:r>
            <w:r>
              <w:rPr>
                <w:rFonts w:hint="eastAsia" w:ascii="楷体" w:hAnsi="楷体" w:eastAsia="楷体" w:cs="宋体"/>
                <w:spacing w:val="-2"/>
                <w:sz w:val="21"/>
                <w:szCs w:val="21"/>
                <w:lang w:val="en-US" w:eastAsia="zh-CN"/>
              </w:rPr>
              <w:t>0.01</w:t>
            </w:r>
            <w:r>
              <w:rPr>
                <w:rFonts w:hint="eastAsia" w:ascii="楷体" w:hAnsi="楷体" w:eastAsia="楷体" w:cs="宋体"/>
                <w:spacing w:val="-2"/>
                <w:sz w:val="21"/>
                <w:szCs w:val="21"/>
              </w:rPr>
              <w:t>元,追加金额为0</w:t>
            </w:r>
            <w:r>
              <w:rPr>
                <w:rFonts w:ascii="楷体" w:hAnsi="楷体" w:eastAsia="楷体" w:cs="宋体"/>
                <w:spacing w:val="-2"/>
                <w:sz w:val="21"/>
                <w:szCs w:val="21"/>
              </w:rPr>
              <w:t>.</w:t>
            </w:r>
            <w:r>
              <w:rPr>
                <w:rFonts w:hint="eastAsia" w:ascii="楷体" w:hAnsi="楷体" w:eastAsia="楷体" w:cs="宋体"/>
                <w:spacing w:val="-2"/>
                <w:sz w:val="21"/>
                <w:szCs w:val="21"/>
              </w:rPr>
              <w:t>01元的整数倍</w:t>
            </w:r>
            <w:r>
              <w:rPr>
                <w:rFonts w:hint="eastAsia" w:ascii="楷体" w:hAnsi="楷体" w:eastAsia="楷体" w:cs="宋体"/>
                <w:spacing w:val="-2"/>
                <w:sz w:val="21"/>
                <w:szCs w:val="21"/>
                <w:lang w:eastAsia="zh-CN"/>
              </w:rPr>
              <w:t>。</w:t>
            </w:r>
          </w:p>
          <w:p>
            <w:pPr>
              <w:pStyle w:val="16"/>
              <w:kinsoku w:val="0"/>
              <w:overflowPunct w:val="0"/>
              <w:spacing w:before="12"/>
              <w:ind w:left="115" w:right="121" w:rightChars="55"/>
              <w:jc w:val="both"/>
              <w:rPr>
                <w:rFonts w:ascii="楷体" w:hAnsi="楷体" w:eastAsia="楷体" w:cs="宋体"/>
                <w:spacing w:val="-2"/>
                <w:sz w:val="21"/>
                <w:szCs w:val="21"/>
              </w:rPr>
            </w:pPr>
            <w:r>
              <w:rPr>
                <w:rFonts w:hint="eastAsia" w:ascii="楷体" w:hAnsi="楷体" w:eastAsia="楷体" w:cs="宋体"/>
                <w:spacing w:val="-2"/>
                <w:sz w:val="21"/>
                <w:szCs w:val="21"/>
                <w:lang w:val="en-US" w:eastAsia="zh-CN"/>
              </w:rPr>
              <w:t>产品购买起点和追加金额具体以销售机构设置为准，</w:t>
            </w:r>
            <w:r>
              <w:rPr>
                <w:rFonts w:hint="eastAsia" w:ascii="楷体" w:hAnsi="楷体" w:eastAsia="楷体" w:cs="宋体"/>
                <w:spacing w:val="-2"/>
                <w:sz w:val="21"/>
                <w:szCs w:val="21"/>
              </w:rPr>
              <w:t>苏银理财有权对上述起点金额和递增金额进行调整，并在调整前进行公告。</w:t>
            </w:r>
          </w:p>
          <w:p>
            <w:pPr>
              <w:ind w:left="115" w:right="121" w:rightChars="55"/>
              <w:rPr>
                <w:rFonts w:ascii="楷体" w:hAnsi="楷体" w:eastAsia="楷体" w:cs="宋体"/>
                <w:spacing w:val="-2"/>
                <w:szCs w:val="21"/>
              </w:rPr>
            </w:pPr>
            <w:r>
              <w:rPr>
                <w:rFonts w:hint="eastAsia" w:ascii="楷体" w:hAnsi="楷体" w:eastAsia="楷体"/>
                <w:szCs w:val="21"/>
              </w:rPr>
              <w:t>认购资金的清算和认购份额的计算详见</w:t>
            </w:r>
            <w:r>
              <w:rPr>
                <w:rFonts w:hint="eastAsia" w:ascii="楷体" w:hAnsi="楷体" w:eastAsia="楷体"/>
                <w:szCs w:val="21"/>
                <w:lang w:eastAsia="zh-CN"/>
              </w:rPr>
              <w:t>产品说明书</w:t>
            </w:r>
            <w:r>
              <w:rPr>
                <w:rFonts w:hint="eastAsia" w:ascii="楷体" w:hAnsi="楷体" w:eastAsia="楷体"/>
                <w:szCs w:val="21"/>
              </w:rPr>
              <w:t>“八、产品认购”。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3"/>
              <w:ind w:left="83" w:leftChars="0" w:right="68"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份额面值</w:t>
            </w:r>
          </w:p>
        </w:tc>
        <w:tc>
          <w:tcPr>
            <w:tcW w:w="6795" w:type="dxa"/>
            <w:vAlign w:val="center"/>
          </w:tcPr>
          <w:p>
            <w:pPr>
              <w:pStyle w:val="16"/>
              <w:kinsoku w:val="0"/>
              <w:overflowPunct w:val="0"/>
              <w:spacing w:before="12"/>
              <w:ind w:left="115" w:leftChars="0" w:right="121" w:rightChars="55"/>
              <w:jc w:val="both"/>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2181" w:type="dxa"/>
            <w:vAlign w:val="center"/>
          </w:tcPr>
          <w:p>
            <w:pPr>
              <w:pStyle w:val="16"/>
              <w:kinsoku w:val="0"/>
              <w:overflowPunct w:val="0"/>
              <w:spacing w:before="13"/>
              <w:ind w:left="83" w:leftChars="0" w:right="68" w:rightChars="31"/>
              <w:jc w:val="both"/>
              <w:rPr>
                <w:rFonts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单一投资者认/申购上限</w:t>
            </w:r>
          </w:p>
        </w:tc>
        <w:tc>
          <w:tcPr>
            <w:tcW w:w="6795" w:type="dxa"/>
            <w:vAlign w:val="center"/>
          </w:tcPr>
          <w:p>
            <w:pPr>
              <w:pStyle w:val="16"/>
              <w:kinsoku w:val="0"/>
              <w:overflowPunct w:val="0"/>
              <w:spacing w:before="12"/>
              <w:ind w:left="115" w:leftChars="0" w:right="121" w:rightChars="55"/>
              <w:jc w:val="both"/>
              <w:rPr>
                <w:rFonts w:ascii="楷体" w:hAnsi="楷体" w:eastAsia="楷体" w:cs="宋体"/>
                <w:b/>
                <w:spacing w:val="-2"/>
                <w:kern w:val="0"/>
                <w:sz w:val="21"/>
                <w:szCs w:val="21"/>
                <w:u w:val="single"/>
                <w:lang w:val="en-US" w:eastAsia="zh-CN" w:bidi="ar-SA"/>
              </w:rPr>
            </w:pPr>
            <w:r>
              <w:rPr>
                <w:rFonts w:hint="eastAsia" w:ascii="楷体" w:hAnsi="楷体" w:eastAsia="楷体" w:cs="宋体"/>
                <w:spacing w:val="-2"/>
                <w:sz w:val="21"/>
                <w:szCs w:val="21"/>
                <w:highlight w:val="none"/>
                <w:lang w:eastAsia="zh-CN"/>
              </w:rPr>
              <w:t>各份额</w:t>
            </w:r>
            <w:r>
              <w:rPr>
                <w:rFonts w:hint="eastAsia" w:ascii="楷体" w:hAnsi="楷体" w:eastAsia="楷体" w:cs="宋体"/>
                <w:spacing w:val="-2"/>
                <w:sz w:val="21"/>
                <w:szCs w:val="21"/>
                <w:highlight w:val="none"/>
              </w:rPr>
              <w:t>单一投资者单日累计认/申购上限:暂无。超过单日累计认/申购上限时，管理人和销售机构有权拒绝投资者的认/申购申请。产品存续期内管理人和销售机构有权根据实际情况调整单日累计认/申购上限</w:t>
            </w:r>
            <w:r>
              <w:rPr>
                <w:rFonts w:ascii="楷体" w:hAnsi="楷体" w:eastAsia="楷体" w:cs="宋体"/>
                <w:spacing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3"/>
              <w:ind w:left="83" w:leftChars="0" w:right="68" w:rightChars="31"/>
              <w:jc w:val="both"/>
              <w:rPr>
                <w:rFonts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单一投资者持有</w:t>
            </w:r>
            <w:r>
              <w:rPr>
                <w:rFonts w:hint="eastAsia" w:ascii="楷体" w:hAnsi="楷体" w:eastAsia="楷体" w:cs="宋体"/>
                <w:b/>
                <w:spacing w:val="-2"/>
                <w:sz w:val="21"/>
                <w:szCs w:val="21"/>
                <w:highlight w:val="none"/>
                <w:lang w:val="en-US" w:eastAsia="zh-CN"/>
              </w:rPr>
              <w:t>比例</w:t>
            </w:r>
            <w:r>
              <w:rPr>
                <w:rFonts w:hint="eastAsia" w:ascii="楷体" w:hAnsi="楷体" w:eastAsia="楷体" w:cs="宋体"/>
                <w:b/>
                <w:spacing w:val="-2"/>
                <w:sz w:val="21"/>
                <w:szCs w:val="21"/>
                <w:highlight w:val="none"/>
              </w:rPr>
              <w:t>上限</w:t>
            </w:r>
          </w:p>
        </w:tc>
        <w:tc>
          <w:tcPr>
            <w:tcW w:w="6795" w:type="dxa"/>
            <w:vAlign w:val="center"/>
          </w:tcPr>
          <w:p>
            <w:pPr>
              <w:pStyle w:val="16"/>
              <w:kinsoku w:val="0"/>
              <w:overflowPunct w:val="0"/>
              <w:spacing w:before="12"/>
              <w:ind w:left="115" w:right="121" w:rightChars="55"/>
              <w:jc w:val="both"/>
              <w:rPr>
                <w:rFonts w:hint="eastAsia" w:ascii="楷体" w:hAnsi="楷体" w:eastAsia="楷体" w:cs="宋体"/>
                <w:spacing w:val="-2"/>
                <w:sz w:val="21"/>
                <w:szCs w:val="21"/>
                <w:highlight w:val="none"/>
              </w:rPr>
            </w:pPr>
            <w:r>
              <w:rPr>
                <w:rFonts w:hint="eastAsia" w:ascii="楷体" w:hAnsi="楷体" w:eastAsia="楷体" w:cs="宋体"/>
                <w:b/>
                <w:spacing w:val="-2"/>
                <w:sz w:val="21"/>
                <w:szCs w:val="21"/>
                <w:highlight w:val="none"/>
                <w:u w:val="single"/>
              </w:rPr>
              <w:t>本理财产品不允许单一投资者持有份额超过本理财产品总份额的</w:t>
            </w:r>
            <w:r>
              <w:rPr>
                <w:rFonts w:ascii="楷体" w:hAnsi="楷体" w:eastAsia="楷体" w:cs="宋体"/>
                <w:b/>
                <w:spacing w:val="-2"/>
                <w:sz w:val="21"/>
                <w:szCs w:val="21"/>
                <w:highlight w:val="none"/>
                <w:u w:val="single"/>
              </w:rPr>
              <w:t>50%</w:t>
            </w:r>
            <w:r>
              <w:rPr>
                <w:rFonts w:hint="eastAsia" w:ascii="楷体" w:hAnsi="楷体" w:eastAsia="楷体" w:cs="宋体"/>
                <w:spacing w:val="-2"/>
                <w:sz w:val="21"/>
                <w:szCs w:val="21"/>
                <w:highlight w:val="none"/>
              </w:rPr>
              <w:t>，对于因理财产品销售募集情况、理财产品规模变化等非因管理人主观因素导致单一投资者持有理财产品份额的比例达到或超过50%的，管理人有权采取控制措施，包括但不限于暂停接受该投资者的认/申购申请、对持有理财产品份额的比例达到或超过50%的单一投资者采取比例确认等方式进行认/申购申请限制等。</w:t>
            </w:r>
          </w:p>
          <w:p>
            <w:pPr>
              <w:pStyle w:val="16"/>
              <w:kinsoku w:val="0"/>
              <w:overflowPunct w:val="0"/>
              <w:spacing w:before="12"/>
              <w:ind w:left="115" w:leftChars="0" w:right="121" w:rightChars="55"/>
              <w:jc w:val="both"/>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highlight w:val="none"/>
              </w:rPr>
              <w:t>产品存续期内管理人和销售机构有权根据实际情况调整单一投资者持有上限</w:t>
            </w:r>
            <w:r>
              <w:rPr>
                <w:rFonts w:ascii="楷体" w:hAnsi="楷体" w:eastAsia="楷体" w:cs="宋体"/>
                <w:spacing w:val="-2"/>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3"/>
              <w:ind w:left="83" w:leftChars="0" w:right="68" w:rightChars="31"/>
              <w:jc w:val="both"/>
              <w:rPr>
                <w:rFonts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单一投资者</w:t>
            </w:r>
            <w:r>
              <w:rPr>
                <w:rFonts w:ascii="楷体" w:hAnsi="楷体" w:eastAsia="楷体" w:cs="宋体"/>
                <w:b/>
                <w:spacing w:val="-2"/>
                <w:sz w:val="21"/>
                <w:szCs w:val="21"/>
                <w:highlight w:val="none"/>
              </w:rPr>
              <w:t>赎回</w:t>
            </w:r>
            <w:r>
              <w:rPr>
                <w:rFonts w:hint="eastAsia" w:ascii="楷体" w:hAnsi="楷体" w:eastAsia="楷体" w:cs="宋体"/>
                <w:b/>
                <w:spacing w:val="-2"/>
                <w:sz w:val="21"/>
                <w:szCs w:val="21"/>
                <w:highlight w:val="none"/>
              </w:rPr>
              <w:t>上限</w:t>
            </w:r>
          </w:p>
        </w:tc>
        <w:tc>
          <w:tcPr>
            <w:tcW w:w="6795" w:type="dxa"/>
            <w:vAlign w:val="center"/>
          </w:tcPr>
          <w:p>
            <w:pPr>
              <w:pStyle w:val="16"/>
              <w:kinsoku w:val="0"/>
              <w:overflowPunct w:val="0"/>
              <w:spacing w:before="12"/>
              <w:ind w:left="44" w:leftChars="20" w:right="121" w:rightChars="55"/>
              <w:jc w:val="both"/>
              <w:rPr>
                <w:rFonts w:ascii="楷体" w:hAnsi="楷体" w:eastAsia="楷体" w:cs="宋体"/>
                <w:spacing w:val="-2"/>
                <w:kern w:val="0"/>
                <w:sz w:val="21"/>
                <w:szCs w:val="21"/>
                <w:lang w:val="en-US" w:eastAsia="zh-CN" w:bidi="ar-SA"/>
              </w:rPr>
            </w:pPr>
            <w:r>
              <w:rPr>
                <w:rFonts w:hint="eastAsia" w:ascii="楷体" w:hAnsi="楷体" w:eastAsia="楷体" w:cs="宋体"/>
                <w:b/>
                <w:bCs/>
                <w:spacing w:val="-2"/>
                <w:sz w:val="21"/>
                <w:szCs w:val="21"/>
                <w:highlight w:val="none"/>
                <w:u w:val="single"/>
              </w:rPr>
              <w:t>1亿份</w:t>
            </w:r>
            <w:r>
              <w:rPr>
                <w:rFonts w:hint="eastAsia" w:ascii="楷体" w:hAnsi="楷体" w:eastAsia="楷体" w:cs="宋体"/>
                <w:b/>
                <w:bCs/>
                <w:spacing w:val="-2"/>
                <w:sz w:val="21"/>
                <w:szCs w:val="21"/>
                <w:highlight w:val="none"/>
                <w:u w:val="single"/>
                <w:lang w:eastAsia="zh-CN"/>
              </w:rPr>
              <w:t>，</w:t>
            </w:r>
            <w:r>
              <w:rPr>
                <w:rFonts w:hint="eastAsia" w:ascii="楷体" w:hAnsi="楷体" w:eastAsia="楷体" w:cs="宋体"/>
                <w:b/>
                <w:bCs/>
                <w:spacing w:val="-2"/>
                <w:sz w:val="21"/>
                <w:szCs w:val="21"/>
                <w:highlight w:val="none"/>
                <w:u w:val="single"/>
              </w:rPr>
              <w:t>超过单个客户赎回限额时，管理人有权拒绝投资者的</w:t>
            </w:r>
            <w:r>
              <w:rPr>
                <w:rFonts w:hint="eastAsia" w:ascii="楷体" w:hAnsi="楷体" w:eastAsia="楷体" w:cs="宋体"/>
                <w:b/>
                <w:bCs/>
                <w:spacing w:val="-2"/>
                <w:sz w:val="21"/>
                <w:szCs w:val="21"/>
                <w:highlight w:val="none"/>
                <w:u w:val="single"/>
                <w:lang w:val="en-US" w:eastAsia="zh-CN"/>
              </w:rPr>
              <w:t>赎回</w:t>
            </w:r>
            <w:r>
              <w:rPr>
                <w:rFonts w:hint="eastAsia" w:ascii="楷体" w:hAnsi="楷体" w:eastAsia="楷体" w:cs="宋体"/>
                <w:b/>
                <w:bCs/>
                <w:spacing w:val="-2"/>
                <w:sz w:val="21"/>
                <w:szCs w:val="21"/>
                <w:highlight w:val="none"/>
                <w:u w:val="single"/>
              </w:rPr>
              <w:t>申请。对于单个投资者单个开放日申请赎回理财份额超过上一交易日日终理财产品总份额的10%的部分，管理人有权暂停接受其赎回申请。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3"/>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lang w:val="en-US" w:eastAsia="zh-CN"/>
              </w:rPr>
              <w:t>募集</w:t>
            </w:r>
            <w:r>
              <w:rPr>
                <w:rFonts w:hint="eastAsia" w:ascii="楷体" w:hAnsi="楷体" w:eastAsia="楷体" w:cs="宋体"/>
                <w:b/>
                <w:spacing w:val="-2"/>
                <w:sz w:val="21"/>
                <w:szCs w:val="21"/>
              </w:rPr>
              <w:t>期</w:t>
            </w:r>
          </w:p>
        </w:tc>
        <w:tc>
          <w:tcPr>
            <w:tcW w:w="6795" w:type="dxa"/>
            <w:vAlign w:val="center"/>
          </w:tcPr>
          <w:p>
            <w:pPr>
              <w:pStyle w:val="16"/>
              <w:kinsoku w:val="0"/>
              <w:overflowPunct w:val="0"/>
              <w:spacing w:before="12"/>
              <w:ind w:left="115" w:right="121" w:rightChars="55"/>
              <w:jc w:val="both"/>
              <w:rPr>
                <w:rFonts w:hint="default"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JS份额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22</w:t>
            </w:r>
            <w:r>
              <w:rPr>
                <w:rFonts w:hint="eastAsia" w:ascii="楷体" w:hAnsi="楷体" w:eastAsia="楷体" w:cs="宋体"/>
                <w:spacing w:val="-2"/>
                <w:sz w:val="21"/>
                <w:szCs w:val="21"/>
              </w:rPr>
              <w:t>日9:00至20</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22</w:t>
            </w:r>
            <w:r>
              <w:rPr>
                <w:rFonts w:hint="eastAsia" w:ascii="楷体" w:hAnsi="楷体" w:eastAsia="楷体" w:cs="宋体"/>
                <w:spacing w:val="-2"/>
                <w:sz w:val="21"/>
                <w:szCs w:val="21"/>
              </w:rPr>
              <w:t>日17:00</w:t>
            </w:r>
          </w:p>
          <w:p>
            <w:pPr>
              <w:pStyle w:val="16"/>
              <w:kinsoku w:val="0"/>
              <w:overflowPunct w:val="0"/>
              <w:spacing w:before="12"/>
              <w:ind w:left="115" w:right="121" w:rightChars="55"/>
              <w:jc w:val="both"/>
              <w:rPr>
                <w:rFonts w:ascii="楷体" w:hAnsi="楷体" w:eastAsia="楷体" w:cs="宋体"/>
                <w:spacing w:val="-2"/>
                <w:sz w:val="21"/>
                <w:szCs w:val="21"/>
              </w:rPr>
            </w:pPr>
            <w:r>
              <w:rPr>
                <w:rFonts w:hint="eastAsia" w:ascii="楷体" w:hAnsi="楷体" w:eastAsia="楷体" w:cs="宋体"/>
                <w:spacing w:val="-2"/>
                <w:sz w:val="21"/>
                <w:szCs w:val="21"/>
                <w:highlight w:val="none"/>
              </w:rPr>
              <w:t>管理人在法律允许的范围内保留延长或提前终止产品</w:t>
            </w:r>
            <w:r>
              <w:rPr>
                <w:rFonts w:hint="eastAsia" w:ascii="楷体" w:hAnsi="楷体" w:eastAsia="楷体" w:cs="宋体"/>
                <w:spacing w:val="-2"/>
                <w:sz w:val="21"/>
                <w:szCs w:val="21"/>
                <w:highlight w:val="none"/>
                <w:lang w:val="en-US" w:eastAsia="zh-CN"/>
              </w:rPr>
              <w:t>募集</w:t>
            </w:r>
            <w:r>
              <w:rPr>
                <w:rFonts w:hint="eastAsia" w:ascii="楷体" w:hAnsi="楷体" w:eastAsia="楷体" w:cs="宋体"/>
                <w:spacing w:val="-2"/>
                <w:sz w:val="21"/>
                <w:szCs w:val="21"/>
                <w:highlight w:val="none"/>
              </w:rPr>
              <w:t>期的权利。如有变动，实际产品</w:t>
            </w:r>
            <w:r>
              <w:rPr>
                <w:rFonts w:hint="eastAsia" w:ascii="楷体" w:hAnsi="楷体" w:eastAsia="楷体" w:cs="宋体"/>
                <w:spacing w:val="-2"/>
                <w:sz w:val="21"/>
                <w:szCs w:val="21"/>
                <w:highlight w:val="none"/>
                <w:lang w:val="en-US" w:eastAsia="zh-CN"/>
              </w:rPr>
              <w:t>募集</w:t>
            </w:r>
            <w:r>
              <w:rPr>
                <w:rFonts w:hint="eastAsia" w:ascii="楷体" w:hAnsi="楷体" w:eastAsia="楷体" w:cs="宋体"/>
                <w:spacing w:val="-2"/>
                <w:sz w:val="21"/>
                <w:szCs w:val="21"/>
                <w:highlight w:val="none"/>
              </w:rPr>
              <w:t>期以管理人公告或各销售机构设置的</w:t>
            </w:r>
            <w:r>
              <w:rPr>
                <w:rFonts w:hint="eastAsia" w:ascii="楷体" w:hAnsi="楷体" w:eastAsia="楷体" w:cs="宋体"/>
                <w:spacing w:val="-2"/>
                <w:sz w:val="21"/>
                <w:szCs w:val="21"/>
                <w:highlight w:val="none"/>
                <w:lang w:val="en-US" w:eastAsia="zh-CN"/>
              </w:rPr>
              <w:t>募集</w:t>
            </w:r>
            <w:r>
              <w:rPr>
                <w:rFonts w:hint="eastAsia" w:ascii="楷体" w:hAnsi="楷体" w:eastAsia="楷体" w:cs="宋体"/>
                <w:spacing w:val="-2"/>
                <w:sz w:val="21"/>
                <w:szCs w:val="21"/>
                <w:highlight w:val="none"/>
              </w:rPr>
              <w:t>时间为准</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eepNext w:val="0"/>
              <w:keepLines w:val="0"/>
              <w:pageBreakBefore w:val="0"/>
              <w:widowControl w:val="0"/>
              <w:kinsoku w:val="0"/>
              <w:wordWrap/>
              <w:overflowPunct w:val="0"/>
              <w:topLinePunct w:val="0"/>
              <w:autoSpaceDE w:val="0"/>
              <w:autoSpaceDN w:val="0"/>
              <w:bidi w:val="0"/>
              <w:adjustRightInd w:val="0"/>
              <w:snapToGrid/>
              <w:spacing w:before="12"/>
              <w:ind w:left="85" w:leftChars="0" w:right="68" w:rightChars="31"/>
              <w:textAlignment w:val="auto"/>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lang w:val="en-US" w:eastAsia="zh-CN"/>
              </w:rPr>
              <w:t>认购份额计算</w:t>
            </w:r>
          </w:p>
        </w:tc>
        <w:tc>
          <w:tcPr>
            <w:tcW w:w="6795" w:type="dxa"/>
            <w:vAlign w:val="center"/>
          </w:tcPr>
          <w:p>
            <w:pPr>
              <w:keepNext w:val="0"/>
              <w:keepLines w:val="0"/>
              <w:pageBreakBefore w:val="0"/>
              <w:widowControl w:val="0"/>
              <w:kinsoku/>
              <w:wordWrap/>
              <w:overflowPunct/>
              <w:topLinePunct w:val="0"/>
              <w:autoSpaceDE/>
              <w:autoSpaceDN/>
              <w:bidi w:val="0"/>
              <w:adjustRightInd/>
              <w:snapToGrid/>
              <w:ind w:left="44" w:leftChars="20" w:right="121" w:rightChars="55"/>
              <w:jc w:val="left"/>
              <w:textAlignment w:val="auto"/>
              <w:rPr>
                <w:rFonts w:hint="eastAsia" w:ascii="楷体" w:hAnsi="楷体" w:eastAsia="楷体" w:cs="宋体"/>
                <w:spacing w:val="-2"/>
                <w:kern w:val="2"/>
                <w:sz w:val="21"/>
                <w:szCs w:val="21"/>
                <w:highlight w:val="none"/>
                <w:lang w:val="en-US" w:eastAsia="zh-CN" w:bidi="ar-SA"/>
              </w:rPr>
            </w:pPr>
            <w:r>
              <w:rPr>
                <w:rFonts w:hint="eastAsia" w:ascii="楷体" w:hAnsi="楷体" w:eastAsia="楷体" w:cs="宋体"/>
                <w:spacing w:val="-2"/>
                <w:kern w:val="0"/>
                <w:sz w:val="21"/>
                <w:szCs w:val="21"/>
                <w:highlight w:val="none"/>
                <w:lang w:val="en-US" w:eastAsia="zh-CN" w:bidi="ar-SA"/>
              </w:rPr>
              <w:t>认购份额=认购金额/产品份额面值（1元/份）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2"/>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产品成立日</w:t>
            </w:r>
          </w:p>
        </w:tc>
        <w:tc>
          <w:tcPr>
            <w:tcW w:w="6795" w:type="dxa"/>
            <w:vAlign w:val="center"/>
          </w:tcPr>
          <w:p>
            <w:pPr>
              <w:pStyle w:val="16"/>
              <w:kinsoku w:val="0"/>
              <w:overflowPunct w:val="0"/>
              <w:spacing w:before="12"/>
              <w:ind w:right="121" w:rightChars="55"/>
              <w:jc w:val="both"/>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JS份额</w:t>
            </w: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24</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23</w:t>
            </w:r>
            <w:r>
              <w:rPr>
                <w:rFonts w:hint="eastAsia" w:ascii="楷体" w:hAnsi="楷体" w:eastAsia="楷体" w:cs="宋体"/>
                <w:spacing w:val="-2"/>
                <w:sz w:val="21"/>
                <w:szCs w:val="21"/>
              </w:rPr>
              <w:t>日</w:t>
            </w:r>
          </w:p>
          <w:p>
            <w:pPr>
              <w:pStyle w:val="16"/>
              <w:kinsoku w:val="0"/>
              <w:overflowPunct w:val="0"/>
              <w:spacing w:before="12"/>
              <w:ind w:left="115" w:right="121" w:rightChars="55"/>
              <w:jc w:val="both"/>
              <w:rPr>
                <w:rFonts w:ascii="楷体" w:hAnsi="楷体" w:eastAsia="楷体" w:cs="宋体"/>
                <w:spacing w:val="-2"/>
                <w:sz w:val="21"/>
                <w:szCs w:val="21"/>
              </w:rPr>
            </w:pPr>
            <w:r>
              <w:rPr>
                <w:rFonts w:hint="eastAsia" w:ascii="楷体" w:hAnsi="楷体" w:eastAsia="楷体" w:cs="宋体"/>
                <w:spacing w:val="-2"/>
                <w:sz w:val="21"/>
                <w:szCs w:val="21"/>
              </w:rPr>
              <w:t>若产品认购份额未达到最低发行总规模</w:t>
            </w:r>
            <w:r>
              <w:rPr>
                <w:rFonts w:hint="eastAsia" w:ascii="楷体" w:hAnsi="楷体" w:eastAsia="楷体" w:cs="宋体"/>
                <w:spacing w:val="-2"/>
                <w:sz w:val="21"/>
                <w:szCs w:val="21"/>
                <w:lang w:val="en-US" w:eastAsia="zh-CN"/>
              </w:rPr>
              <w:t>3000万</w:t>
            </w:r>
            <w:r>
              <w:rPr>
                <w:rFonts w:hint="eastAsia" w:ascii="楷体" w:hAnsi="楷体" w:eastAsia="楷体" w:cs="宋体"/>
                <w:spacing w:val="-2"/>
                <w:sz w:val="21"/>
                <w:szCs w:val="21"/>
              </w:rPr>
              <w:t>，或新的法律、法规导致本产品无法合法合规运行，或出现其他导致影响产品成立不可抗力因素，产品管理人有权利但无义务宣布产品不成立，并于产品认购期结束后5个工作日内将投资者认购资金返还至投资者资金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2"/>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产品到期日</w:t>
            </w:r>
          </w:p>
        </w:tc>
        <w:tc>
          <w:tcPr>
            <w:tcW w:w="6795" w:type="dxa"/>
            <w:vAlign w:val="center"/>
          </w:tcPr>
          <w:p>
            <w:pPr>
              <w:pStyle w:val="16"/>
              <w:kinsoku w:val="0"/>
              <w:overflowPunct w:val="0"/>
              <w:spacing w:before="12"/>
              <w:ind w:left="115" w:right="121" w:rightChars="55"/>
              <w:jc w:val="both"/>
              <w:rPr>
                <w:rFonts w:ascii="楷体" w:hAnsi="楷体" w:eastAsia="楷体" w:cs="宋体"/>
                <w:spacing w:val="-2"/>
                <w:sz w:val="21"/>
                <w:szCs w:val="21"/>
              </w:rPr>
            </w:pP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32</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12</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31</w:t>
            </w:r>
            <w:r>
              <w:rPr>
                <w:rFonts w:hint="eastAsia" w:ascii="楷体" w:hAnsi="楷体" w:eastAsia="楷体" w:cs="宋体"/>
                <w:spacing w:val="-2"/>
                <w:sz w:val="21"/>
                <w:szCs w:val="21"/>
              </w:rPr>
              <w:t>日（如遇节假日，顺延至下一工作日）</w:t>
            </w:r>
          </w:p>
          <w:p>
            <w:pPr>
              <w:pStyle w:val="16"/>
              <w:kinsoku w:val="0"/>
              <w:overflowPunct w:val="0"/>
              <w:spacing w:before="12"/>
              <w:ind w:left="115" w:right="121" w:rightChars="55"/>
              <w:jc w:val="both"/>
              <w:rPr>
                <w:rFonts w:ascii="楷体" w:hAnsi="楷体" w:eastAsia="楷体" w:cs="宋体"/>
                <w:spacing w:val="-2"/>
                <w:sz w:val="21"/>
                <w:szCs w:val="21"/>
              </w:rPr>
            </w:pPr>
            <w:r>
              <w:rPr>
                <w:rFonts w:hint="eastAsia" w:ascii="楷体" w:hAnsi="楷体" w:eastAsia="楷体" w:cs="宋体"/>
                <w:spacing w:val="-2"/>
                <w:sz w:val="21"/>
                <w:szCs w:val="21"/>
              </w:rPr>
              <w:t>在符合本理财产品说明书约定的条件下，管理人有权提前终止该产品，产品到期日受制于提前终止条款。详见</w:t>
            </w:r>
            <w:r>
              <w:rPr>
                <w:rFonts w:hint="eastAsia" w:ascii="楷体" w:hAnsi="楷体" w:eastAsia="楷体" w:cs="宋体"/>
                <w:spacing w:val="-2"/>
                <w:sz w:val="21"/>
                <w:szCs w:val="21"/>
                <w:lang w:eastAsia="zh-CN"/>
              </w:rPr>
              <w:t>产品说明书</w:t>
            </w:r>
            <w:r>
              <w:rPr>
                <w:rFonts w:hint="eastAsia" w:ascii="楷体" w:hAnsi="楷体" w:eastAsia="楷体" w:cs="宋体"/>
                <w:spacing w:val="-2"/>
                <w:sz w:val="21"/>
                <w:szCs w:val="21"/>
              </w:rPr>
              <w:t>“十三、产品的终止与清算”。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4"/>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开放日</w:t>
            </w:r>
          </w:p>
        </w:tc>
        <w:tc>
          <w:tcPr>
            <w:tcW w:w="6795" w:type="dxa"/>
            <w:vAlign w:val="center"/>
          </w:tcPr>
          <w:p>
            <w:pPr>
              <w:pStyle w:val="16"/>
              <w:kinsoku w:val="0"/>
              <w:overflowPunct w:val="0"/>
              <w:spacing w:before="12"/>
              <w:ind w:left="115" w:right="121" w:rightChars="55"/>
              <w:jc w:val="both"/>
              <w:rPr>
                <w:rFonts w:ascii="楷体" w:hAnsi="楷体" w:eastAsia="楷体" w:cs="宋体"/>
                <w:spacing w:val="-2"/>
                <w:sz w:val="21"/>
                <w:szCs w:val="21"/>
              </w:rPr>
            </w:pPr>
            <w:r>
              <w:rPr>
                <w:rFonts w:hint="eastAsia" w:ascii="楷体" w:hAnsi="楷体" w:eastAsia="楷体" w:cs="宋体"/>
                <w:spacing w:val="-2"/>
                <w:sz w:val="21"/>
                <w:szCs w:val="21"/>
              </w:rPr>
              <w:t>本理财产品存续期间，</w:t>
            </w:r>
            <w:r>
              <w:rPr>
                <w:rFonts w:hint="eastAsia" w:ascii="楷体" w:hAnsi="楷体" w:eastAsia="楷体" w:cs="宋体"/>
                <w:spacing w:val="-2"/>
                <w:sz w:val="21"/>
                <w:szCs w:val="21"/>
                <w:lang w:val="en-US" w:eastAsia="zh-CN"/>
              </w:rPr>
              <w:t>产品成立后</w:t>
            </w:r>
            <w:r>
              <w:rPr>
                <w:rFonts w:hint="eastAsia" w:ascii="楷体" w:hAnsi="楷体" w:eastAsia="楷体" w:cs="宋体"/>
                <w:spacing w:val="-2"/>
                <w:sz w:val="21"/>
                <w:szCs w:val="21"/>
              </w:rPr>
              <w:t>每个工作日为开放日（T日），管理人仅在工作日对投资者的申购、赎回申请进行确认。管理人有权根据资产运作情况、节假日安排调整开放日，并在调整前进行公告。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81" w:type="dxa"/>
            <w:vAlign w:val="center"/>
          </w:tcPr>
          <w:p>
            <w:pPr>
              <w:pStyle w:val="16"/>
              <w:kinsoku w:val="0"/>
              <w:overflowPunct w:val="0"/>
              <w:spacing w:before="18"/>
              <w:ind w:left="83" w:leftChars="0" w:right="68" w:rightChars="31"/>
              <w:jc w:val="both"/>
              <w:rPr>
                <w:rFonts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lang w:val="en-US" w:eastAsia="zh-CN"/>
              </w:rPr>
              <w:t>开放计划</w:t>
            </w:r>
          </w:p>
        </w:tc>
        <w:tc>
          <w:tcPr>
            <w:tcW w:w="6795" w:type="dxa"/>
            <w:vAlign w:val="center"/>
          </w:tcPr>
          <w:p>
            <w:pPr>
              <w:ind w:left="115" w:leftChars="0" w:right="121" w:rightChars="55"/>
              <w:rPr>
                <w:rFonts w:ascii="楷体" w:hAnsi="楷体" w:eastAsia="楷体" w:cs="宋体"/>
                <w:spacing w:val="-2"/>
                <w:kern w:val="2"/>
                <w:sz w:val="21"/>
                <w:szCs w:val="21"/>
                <w:lang w:val="en-US" w:eastAsia="zh-CN" w:bidi="ar-SA"/>
              </w:rPr>
            </w:pPr>
            <w:r>
              <w:rPr>
                <w:rFonts w:hint="eastAsia" w:ascii="楷体" w:hAnsi="楷体" w:eastAsia="楷体" w:cs="宋体"/>
                <w:b/>
                <w:bCs/>
                <w:spacing w:val="-2"/>
                <w:szCs w:val="21"/>
                <w:u w:val="single"/>
              </w:rPr>
              <w:t>每日0</w:t>
            </w:r>
            <w:r>
              <w:rPr>
                <w:rFonts w:hint="eastAsia" w:ascii="楷体" w:hAnsi="楷体" w:eastAsia="楷体" w:cs="宋体"/>
                <w:b/>
                <w:bCs/>
                <w:spacing w:val="-2"/>
                <w:szCs w:val="21"/>
                <w:u w:val="single"/>
                <w:lang w:val="en-US" w:eastAsia="zh-CN"/>
              </w:rPr>
              <w:t>:</w:t>
            </w:r>
            <w:r>
              <w:rPr>
                <w:rFonts w:hint="eastAsia" w:ascii="楷体" w:hAnsi="楷体" w:eastAsia="楷体" w:cs="宋体"/>
                <w:b/>
                <w:bCs/>
                <w:spacing w:val="-2"/>
                <w:szCs w:val="21"/>
                <w:u w:val="single"/>
              </w:rPr>
              <w:t>00-24:00投资者均可提交申购/赎回申请</w:t>
            </w:r>
            <w:r>
              <w:rPr>
                <w:rFonts w:hint="eastAsia" w:ascii="楷体" w:hAnsi="楷体" w:eastAsia="楷体" w:cs="宋体"/>
                <w:b/>
                <w:bCs/>
                <w:spacing w:val="-2"/>
                <w:szCs w:val="21"/>
                <w:u w:val="single"/>
                <w:lang w:eastAsia="zh-CN"/>
              </w:rPr>
              <w:t>（</w:t>
            </w:r>
            <w:r>
              <w:rPr>
                <w:rFonts w:hint="eastAsia" w:ascii="楷体" w:hAnsi="楷体" w:eastAsia="楷体" w:cs="宋体"/>
                <w:b/>
                <w:bCs/>
                <w:spacing w:val="-2"/>
                <w:szCs w:val="21"/>
                <w:u w:val="single"/>
              </w:rPr>
              <w:t>系统清算时间除外</w:t>
            </w:r>
            <w:r>
              <w:rPr>
                <w:rFonts w:hint="eastAsia" w:ascii="楷体" w:hAnsi="楷体" w:eastAsia="楷体" w:cs="宋体"/>
                <w:b/>
                <w:bCs/>
                <w:spacing w:val="-2"/>
                <w:szCs w:val="21"/>
                <w:u w:val="single"/>
                <w:lang w:eastAsia="zh-CN"/>
              </w:rPr>
              <w:t>），</w:t>
            </w:r>
            <w:r>
              <w:rPr>
                <w:rFonts w:hint="eastAsia" w:ascii="楷体" w:hAnsi="楷体" w:eastAsia="楷体" w:cs="宋体"/>
                <w:b/>
                <w:bCs/>
                <w:spacing w:val="-2"/>
                <w:szCs w:val="21"/>
                <w:u w:val="single"/>
              </w:rPr>
              <w:t>管理人在开放日对投资者的申购/赎回申请进行确认。</w:t>
            </w:r>
            <w:r>
              <w:rPr>
                <w:rFonts w:hint="eastAsia" w:ascii="楷体" w:hAnsi="楷体" w:eastAsia="楷体" w:cs="宋体"/>
                <w:spacing w:val="-2"/>
                <w:szCs w:val="21"/>
              </w:rPr>
              <w:t>申购</w:t>
            </w:r>
            <w:r>
              <w:rPr>
                <w:rFonts w:ascii="楷体" w:hAnsi="楷体" w:eastAsia="楷体" w:cs="宋体"/>
                <w:spacing w:val="-2"/>
                <w:szCs w:val="21"/>
              </w:rPr>
              <w:t>/赎回</w:t>
            </w:r>
            <w:r>
              <w:rPr>
                <w:rFonts w:hint="eastAsia" w:ascii="楷体" w:hAnsi="楷体" w:eastAsia="楷体" w:cs="宋体"/>
                <w:spacing w:val="-2"/>
                <w:szCs w:val="21"/>
              </w:rPr>
              <w:t>确认规则详见</w:t>
            </w:r>
            <w:r>
              <w:rPr>
                <w:rFonts w:hint="eastAsia" w:ascii="楷体" w:hAnsi="楷体" w:eastAsia="楷体" w:cs="宋体"/>
                <w:spacing w:val="-2"/>
                <w:szCs w:val="21"/>
                <w:lang w:eastAsia="zh-CN"/>
              </w:rPr>
              <w:t>产品说明书</w:t>
            </w:r>
            <w:r>
              <w:rPr>
                <w:rFonts w:hint="eastAsia" w:ascii="楷体" w:hAnsi="楷体" w:eastAsia="楷体" w:cs="宋体"/>
                <w:spacing w:val="-2"/>
                <w:szCs w:val="21"/>
              </w:rPr>
              <w:t>“九、产品申购、赎回”。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81" w:type="dxa"/>
            <w:vAlign w:val="center"/>
          </w:tcPr>
          <w:p>
            <w:pPr>
              <w:pStyle w:val="16"/>
              <w:kinsoku w:val="0"/>
              <w:overflowPunct w:val="0"/>
              <w:spacing w:before="18"/>
              <w:ind w:left="83" w:leftChars="0" w:right="68" w:rightChars="31"/>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lang w:val="en-US" w:eastAsia="zh-CN"/>
              </w:rPr>
              <w:t>工作日</w:t>
            </w:r>
          </w:p>
        </w:tc>
        <w:tc>
          <w:tcPr>
            <w:tcW w:w="6795" w:type="dxa"/>
            <w:vAlign w:val="center"/>
          </w:tcPr>
          <w:p>
            <w:pPr>
              <w:keepNext w:val="0"/>
              <w:keepLines w:val="0"/>
              <w:pageBreakBefore w:val="0"/>
              <w:widowControl w:val="0"/>
              <w:wordWrap/>
              <w:topLinePunct w:val="0"/>
              <w:bidi w:val="0"/>
              <w:snapToGrid/>
              <w:ind w:left="44" w:leftChars="20" w:right="121" w:rightChars="55"/>
              <w:textAlignment w:val="auto"/>
              <w:rPr>
                <w:rFonts w:hint="eastAsia" w:ascii="楷体" w:hAnsi="楷体" w:eastAsia="楷体" w:cs="宋体"/>
                <w:b/>
                <w:bCs/>
                <w:spacing w:val="-2"/>
                <w:kern w:val="2"/>
                <w:sz w:val="21"/>
                <w:szCs w:val="21"/>
                <w:highlight w:val="none"/>
                <w:u w:val="single"/>
                <w:lang w:val="en-US" w:eastAsia="zh-CN" w:bidi="ar-SA"/>
              </w:rPr>
            </w:pPr>
            <w:r>
              <w:rPr>
                <w:rFonts w:hint="eastAsia" w:ascii="楷体" w:hAnsi="楷体" w:eastAsia="楷体" w:cs="宋体"/>
                <w:b w:val="0"/>
                <w:bCs w:val="0"/>
                <w:spacing w:val="-2"/>
                <w:szCs w:val="21"/>
                <w:highlight w:val="none"/>
                <w:u w:val="none"/>
              </w:rPr>
              <w:t>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81" w:type="dxa"/>
            <w:vAlign w:val="center"/>
          </w:tcPr>
          <w:p>
            <w:pPr>
              <w:pStyle w:val="16"/>
              <w:kinsoku w:val="0"/>
              <w:overflowPunct w:val="0"/>
              <w:spacing w:before="18"/>
              <w:ind w:left="83" w:leftChars="0" w:right="68" w:rightChars="31"/>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lang w:val="en-US" w:eastAsia="zh-CN"/>
              </w:rPr>
              <w:t>产品申购</w:t>
            </w:r>
          </w:p>
        </w:tc>
        <w:tc>
          <w:tcPr>
            <w:tcW w:w="6795" w:type="dxa"/>
            <w:vAlign w:val="center"/>
          </w:tcPr>
          <w:p>
            <w:pPr>
              <w:keepNext w:val="0"/>
              <w:keepLines w:val="0"/>
              <w:pageBreakBefore w:val="0"/>
              <w:widowControl w:val="0"/>
              <w:wordWrap/>
              <w:topLinePunct w:val="0"/>
              <w:bidi w:val="0"/>
              <w:snapToGrid/>
              <w:ind w:left="44" w:leftChars="20" w:right="121" w:rightChars="55"/>
              <w:textAlignment w:val="auto"/>
              <w:rPr>
                <w:rFonts w:hint="eastAsia" w:ascii="楷体" w:hAnsi="楷体" w:eastAsia="楷体" w:cs="宋体"/>
                <w:b w:val="0"/>
                <w:bCs w:val="0"/>
                <w:spacing w:val="-2"/>
                <w:kern w:val="2"/>
                <w:sz w:val="21"/>
                <w:szCs w:val="21"/>
                <w:highlight w:val="none"/>
                <w:u w:val="none"/>
                <w:lang w:val="en-US" w:eastAsia="zh-CN" w:bidi="ar-SA"/>
              </w:rPr>
            </w:pPr>
            <w:r>
              <w:rPr>
                <w:rFonts w:hint="eastAsia" w:ascii="楷体" w:hAnsi="楷体" w:eastAsia="楷体" w:cs="宋体"/>
                <w:spacing w:val="-2"/>
                <w:kern w:val="0"/>
                <w:szCs w:val="21"/>
                <w:highlight w:val="none"/>
              </w:rPr>
              <w:t>申购时间为7*24小时，</w:t>
            </w:r>
            <w:r>
              <w:rPr>
                <w:rFonts w:hint="eastAsia" w:ascii="楷体" w:hAnsi="楷体" w:eastAsia="楷体" w:cs="宋体"/>
                <w:spacing w:val="-2"/>
                <w:sz w:val="21"/>
                <w:szCs w:val="21"/>
                <w:highlight w:val="none"/>
              </w:rPr>
              <w:t>A</w:t>
            </w:r>
            <w:r>
              <w:rPr>
                <w:rFonts w:hint="eastAsia" w:ascii="楷体" w:hAnsi="楷体" w:eastAsia="楷体" w:cs="宋体"/>
                <w:spacing w:val="-2"/>
                <w:sz w:val="21"/>
                <w:szCs w:val="21"/>
                <w:highlight w:val="none"/>
                <w:lang w:val="en-US" w:eastAsia="zh-CN"/>
              </w:rPr>
              <w:t>份额工作日00:00至24:00（不含）</w:t>
            </w:r>
            <w:r>
              <w:rPr>
                <w:rFonts w:hint="eastAsia" w:ascii="楷体" w:hAnsi="楷体" w:eastAsia="楷体" w:cs="宋体"/>
                <w:spacing w:val="-2"/>
                <w:kern w:val="0"/>
                <w:szCs w:val="21"/>
                <w:highlight w:val="none"/>
              </w:rPr>
              <w:t>申购T+1确认</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lang w:val="en-US" w:eastAsia="zh-CN"/>
              </w:rPr>
              <w:t>其他</w:t>
            </w:r>
            <w:r>
              <w:rPr>
                <w:rFonts w:hint="eastAsia" w:ascii="楷体" w:hAnsi="楷体" w:eastAsia="楷体" w:cs="宋体"/>
                <w:spacing w:val="-2"/>
                <w:sz w:val="21"/>
                <w:szCs w:val="21"/>
                <w:highlight w:val="none"/>
              </w:rPr>
              <w:t>份额</w:t>
            </w:r>
            <w:r>
              <w:rPr>
                <w:rFonts w:hint="eastAsia" w:ascii="楷体" w:hAnsi="楷体" w:eastAsia="楷体" w:cs="宋体"/>
                <w:spacing w:val="-2"/>
                <w:kern w:val="0"/>
                <w:szCs w:val="21"/>
                <w:highlight w:val="none"/>
              </w:rPr>
              <w:t>工作日</w:t>
            </w:r>
            <w:r>
              <w:rPr>
                <w:rFonts w:hint="eastAsia" w:ascii="楷体" w:hAnsi="楷体" w:eastAsia="楷体" w:cs="宋体"/>
                <w:spacing w:val="-2"/>
                <w:sz w:val="21"/>
                <w:szCs w:val="21"/>
                <w:highlight w:val="none"/>
                <w:lang w:val="en-US" w:eastAsia="zh-CN"/>
              </w:rPr>
              <w:t>00:00至</w:t>
            </w:r>
            <w:r>
              <w:rPr>
                <w:rFonts w:hint="eastAsia" w:ascii="楷体" w:hAnsi="楷体" w:eastAsia="楷体" w:cs="宋体"/>
                <w:spacing w:val="-2"/>
                <w:kern w:val="0"/>
                <w:szCs w:val="21"/>
                <w:highlight w:val="none"/>
              </w:rPr>
              <w:t>17</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rPr>
              <w:t>00</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lang w:val="en-US" w:eastAsia="zh-CN"/>
              </w:rPr>
              <w:t>不含</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rPr>
              <w:t>申购T+1确认，17</w:t>
            </w:r>
            <w:r>
              <w:rPr>
                <w:rFonts w:hint="eastAsia" w:ascii="楷体" w:hAnsi="楷体" w:eastAsia="楷体" w:cs="宋体"/>
                <w:spacing w:val="-2"/>
                <w:kern w:val="0"/>
                <w:szCs w:val="21"/>
                <w:highlight w:val="none"/>
                <w:lang w:eastAsia="zh-CN"/>
              </w:rPr>
              <w:t>:</w:t>
            </w:r>
            <w:r>
              <w:rPr>
                <w:rFonts w:hint="eastAsia" w:ascii="楷体" w:hAnsi="楷体" w:eastAsia="楷体" w:cs="宋体"/>
                <w:spacing w:val="-2"/>
                <w:kern w:val="0"/>
                <w:szCs w:val="21"/>
                <w:highlight w:val="none"/>
              </w:rPr>
              <w:t>00</w:t>
            </w:r>
            <w:r>
              <w:rPr>
                <w:rFonts w:hint="eastAsia" w:ascii="楷体" w:hAnsi="楷体" w:eastAsia="楷体" w:cs="宋体"/>
                <w:spacing w:val="-2"/>
                <w:sz w:val="21"/>
                <w:szCs w:val="21"/>
                <w:highlight w:val="none"/>
                <w:lang w:val="en-US" w:eastAsia="zh-CN"/>
              </w:rPr>
              <w:t>至24:00（不含）</w:t>
            </w:r>
            <w:r>
              <w:rPr>
                <w:rFonts w:hint="eastAsia" w:ascii="楷体" w:hAnsi="楷体" w:eastAsia="楷体" w:cs="宋体"/>
                <w:spacing w:val="-2"/>
                <w:kern w:val="0"/>
                <w:szCs w:val="21"/>
                <w:highlight w:val="none"/>
              </w:rPr>
              <w:t>申购为预受理，视同下一工作日申购。申购按受理日当日单位净值确认份额。</w:t>
            </w:r>
            <w:r>
              <w:rPr>
                <w:rFonts w:hint="eastAsia" w:ascii="楷体" w:hAnsi="楷体" w:eastAsia="楷体" w:cs="宋体"/>
                <w:spacing w:val="-2"/>
                <w:sz w:val="21"/>
                <w:szCs w:val="21"/>
                <w:highlight w:val="none"/>
              </w:rPr>
              <w:t>申购申请开始/截止时间以各销售机构系统设置为准</w:t>
            </w:r>
            <w:r>
              <w:rPr>
                <w:rFonts w:hint="eastAsia" w:ascii="楷体" w:hAnsi="楷体" w:eastAsia="楷体" w:cs="宋体"/>
                <w:spacing w:val="-2"/>
                <w:sz w:val="21"/>
                <w:szCs w:val="21"/>
                <w:highlight w:val="none"/>
                <w:lang w:eastAsia="zh-CN"/>
              </w:rPr>
              <w:t>。</w:t>
            </w:r>
            <w:r>
              <w:rPr>
                <w:rFonts w:ascii="楷体" w:hAnsi="楷体" w:eastAsia="楷体" w:cs="宋体"/>
                <w:spacing w:val="-2"/>
                <w:kern w:val="0"/>
                <w:szCs w:val="21"/>
                <w:highlight w:val="none"/>
              </w:rPr>
              <w:t>详见</w:t>
            </w:r>
            <w:r>
              <w:rPr>
                <w:rFonts w:hint="eastAsia" w:ascii="楷体" w:hAnsi="楷体" w:eastAsia="楷体" w:cs="宋体"/>
                <w:spacing w:val="-2"/>
                <w:kern w:val="0"/>
                <w:szCs w:val="21"/>
                <w:highlight w:val="none"/>
                <w:lang w:eastAsia="zh-CN"/>
              </w:rPr>
              <w:t>产品说明书</w:t>
            </w:r>
            <w:r>
              <w:rPr>
                <w:rFonts w:hint="eastAsia" w:ascii="楷体" w:hAnsi="楷体" w:eastAsia="楷体" w:cs="宋体"/>
                <w:spacing w:val="-2"/>
                <w:kern w:val="0"/>
                <w:szCs w:val="21"/>
                <w:highlight w:val="none"/>
              </w:rPr>
              <w:t>“九、产品申购、赎回”</w:t>
            </w:r>
            <w:r>
              <w:rPr>
                <w:rFonts w:hint="eastAsia" w:ascii="楷体" w:hAnsi="楷体" w:eastAsia="楷体" w:cs="宋体"/>
                <w:spacing w:val="-2"/>
                <w:kern w:val="0"/>
                <w:szCs w:val="21"/>
                <w:highlight w:val="none"/>
                <w:lang w:eastAsia="zh-CN"/>
              </w:rPr>
              <w:t>。（具体以销售机构设置为准）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8"/>
              <w:ind w:left="83" w:leftChars="0" w:right="68" w:rightChars="31"/>
              <w:jc w:val="both"/>
              <w:rPr>
                <w:rFonts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rPr>
              <w:t>巨额申购</w:t>
            </w:r>
          </w:p>
        </w:tc>
        <w:tc>
          <w:tcPr>
            <w:tcW w:w="6795" w:type="dxa"/>
            <w:vAlign w:val="center"/>
          </w:tcPr>
          <w:p>
            <w:pPr>
              <w:pStyle w:val="16"/>
              <w:keepNext w:val="0"/>
              <w:keepLines w:val="0"/>
              <w:pageBreakBefore w:val="0"/>
              <w:widowControl w:val="0"/>
              <w:kinsoku w:val="0"/>
              <w:wordWrap/>
              <w:overflowPunct w:val="0"/>
              <w:topLinePunct w:val="0"/>
              <w:bidi w:val="0"/>
              <w:snapToGrid/>
              <w:spacing w:before="12"/>
              <w:ind w:left="44" w:leftChars="20" w:right="121" w:rightChars="55"/>
              <w:textAlignment w:val="auto"/>
              <w:rPr>
                <w:rFonts w:ascii="楷体" w:hAnsi="楷体" w:eastAsia="楷体" w:cs="宋体"/>
                <w:bCs/>
                <w:spacing w:val="-2"/>
                <w:kern w:val="0"/>
                <w:sz w:val="24"/>
                <w:szCs w:val="21"/>
                <w:lang w:val="en-US" w:eastAsia="zh-CN" w:bidi="ar-SA"/>
              </w:rPr>
            </w:pPr>
            <w:r>
              <w:rPr>
                <w:rFonts w:hint="eastAsia" w:ascii="楷体" w:hAnsi="楷体" w:eastAsia="楷体" w:cs="宋体"/>
                <w:spacing w:val="-2"/>
                <w:sz w:val="21"/>
                <w:szCs w:val="21"/>
                <w:highlight w:val="none"/>
              </w:rPr>
              <w:t>产品单个开放日净申购申请折算产品份额超过上一日产品总份额</w:t>
            </w:r>
            <w:r>
              <w:rPr>
                <w:rFonts w:ascii="楷体" w:hAnsi="楷体" w:eastAsia="楷体" w:cs="宋体"/>
                <w:spacing w:val="-2"/>
                <w:sz w:val="21"/>
                <w:szCs w:val="21"/>
                <w:highlight w:val="none"/>
              </w:rPr>
              <w:t>20%时</w:t>
            </w:r>
            <w:r>
              <w:rPr>
                <w:rFonts w:hint="eastAsia" w:ascii="楷体" w:hAnsi="楷体" w:eastAsia="楷体" w:cs="宋体"/>
                <w:spacing w:val="-2"/>
                <w:sz w:val="21"/>
                <w:szCs w:val="21"/>
                <w:highlight w:val="none"/>
              </w:rPr>
              <w:t>，即认为发生了巨额申购。当出现巨额申购时，产品管理人有权拒绝客户的全部或部分申购申请。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8"/>
              <w:ind w:left="83" w:leftChars="0" w:right="68"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highlight w:val="none"/>
                <w:lang w:val="en-US" w:eastAsia="zh-CN"/>
              </w:rPr>
              <w:t>产品赎回</w:t>
            </w:r>
          </w:p>
        </w:tc>
        <w:tc>
          <w:tcPr>
            <w:tcW w:w="6795" w:type="dxa"/>
            <w:vAlign w:val="center"/>
          </w:tcPr>
          <w:p>
            <w:pPr>
              <w:pStyle w:val="16"/>
              <w:keepNext w:val="0"/>
              <w:keepLines w:val="0"/>
              <w:pageBreakBefore w:val="0"/>
              <w:widowControl w:val="0"/>
              <w:kinsoku w:val="0"/>
              <w:wordWrap/>
              <w:overflowPunct w:val="0"/>
              <w:topLinePunct w:val="0"/>
              <w:bidi w:val="0"/>
              <w:snapToGrid/>
              <w:spacing w:before="12"/>
              <w:ind w:left="44" w:leftChars="20" w:right="121" w:rightChars="55"/>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highlight w:val="none"/>
              </w:rPr>
              <w:t>赎回时间为7*24小时，A份额工作日00</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00至24</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00（不含）</w:t>
            </w:r>
            <w:r>
              <w:rPr>
                <w:rFonts w:hint="eastAsia" w:ascii="楷体" w:hAnsi="楷体" w:eastAsia="楷体" w:cs="宋体"/>
                <w:spacing w:val="-2"/>
                <w:sz w:val="21"/>
                <w:szCs w:val="21"/>
                <w:highlight w:val="none"/>
                <w:lang w:val="en-US" w:eastAsia="zh-CN"/>
              </w:rPr>
              <w:t>赎回</w:t>
            </w:r>
            <w:r>
              <w:rPr>
                <w:rFonts w:hint="eastAsia" w:ascii="楷体" w:hAnsi="楷体" w:eastAsia="楷体" w:cs="宋体"/>
                <w:spacing w:val="-2"/>
                <w:sz w:val="21"/>
                <w:szCs w:val="21"/>
                <w:highlight w:val="none"/>
              </w:rPr>
              <w:t>T+1确认；</w:t>
            </w:r>
            <w:r>
              <w:rPr>
                <w:rFonts w:hint="eastAsia" w:ascii="楷体" w:hAnsi="楷体" w:eastAsia="楷体" w:cs="宋体"/>
                <w:spacing w:val="-2"/>
                <w:sz w:val="21"/>
                <w:szCs w:val="21"/>
                <w:highlight w:val="none"/>
                <w:lang w:val="en-US" w:eastAsia="zh-CN"/>
              </w:rPr>
              <w:t>其他</w:t>
            </w:r>
            <w:r>
              <w:rPr>
                <w:rFonts w:hint="eastAsia" w:ascii="楷体" w:hAnsi="楷体" w:eastAsia="楷体" w:cs="宋体"/>
                <w:spacing w:val="-2"/>
                <w:sz w:val="21"/>
                <w:szCs w:val="21"/>
                <w:highlight w:val="none"/>
              </w:rPr>
              <w:t>份额工作日00</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00至17</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00（不含）赎回T+1确认，17</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00至24</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00（不含）赎回为预受理，视同下一工作日赎回。</w:t>
            </w:r>
            <w:r>
              <w:rPr>
                <w:rFonts w:hint="eastAsia" w:ascii="楷体" w:hAnsi="楷体" w:eastAsia="楷体" w:cs="宋体"/>
                <w:spacing w:val="-2"/>
                <w:sz w:val="21"/>
                <w:szCs w:val="21"/>
                <w:highlight w:val="none"/>
                <w:lang w:val="en-US" w:eastAsia="zh-CN"/>
              </w:rPr>
              <w:t>赎回</w:t>
            </w:r>
            <w:r>
              <w:rPr>
                <w:rFonts w:hint="eastAsia" w:ascii="楷体" w:hAnsi="楷体" w:eastAsia="楷体" w:cs="宋体"/>
                <w:spacing w:val="-2"/>
                <w:sz w:val="21"/>
                <w:szCs w:val="21"/>
                <w:highlight w:val="none"/>
              </w:rPr>
              <w:t>申请开始/截止时间以各销售机构系统设置为准</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lang w:val="en-US" w:eastAsia="zh-CN"/>
              </w:rPr>
              <w:t>详见产品说明书“九、产品申购、赎回”。（具体以销售机构设置为准）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8"/>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快速赎回</w:t>
            </w:r>
          </w:p>
        </w:tc>
        <w:tc>
          <w:tcPr>
            <w:tcW w:w="6795" w:type="dxa"/>
            <w:vAlign w:val="center"/>
          </w:tcPr>
          <w:p>
            <w:pPr>
              <w:ind w:left="115" w:right="121" w:rightChars="55"/>
              <w:rPr>
                <w:rFonts w:ascii="楷体" w:hAnsi="楷体" w:eastAsia="楷体" w:cs="宋体"/>
                <w:b/>
                <w:spacing w:val="-2"/>
                <w:szCs w:val="21"/>
                <w:u w:val="single"/>
              </w:rPr>
            </w:pPr>
            <w:r>
              <w:rPr>
                <w:rFonts w:hint="eastAsia" w:ascii="楷体" w:hAnsi="楷体" w:eastAsia="楷体" w:cs="宋体"/>
                <w:b/>
                <w:bCs/>
                <w:spacing w:val="-2"/>
                <w:szCs w:val="21"/>
                <w:u w:val="single"/>
              </w:rPr>
              <w:t xml:space="preserve">本产品销售机构可为投资者提供 </w:t>
            </w:r>
            <w:r>
              <w:rPr>
                <w:rFonts w:ascii="楷体" w:hAnsi="楷体" w:eastAsia="楷体" w:cs="宋体"/>
                <w:b/>
                <w:bCs/>
                <w:spacing w:val="-2"/>
                <w:szCs w:val="21"/>
                <w:u w:val="single"/>
              </w:rPr>
              <w:t>“快速赎回”增值服务，客户可通过</w:t>
            </w:r>
            <w:r>
              <w:rPr>
                <w:rFonts w:hint="eastAsia" w:ascii="楷体" w:hAnsi="楷体" w:eastAsia="楷体" w:cs="宋体"/>
                <w:b/>
                <w:bCs/>
                <w:spacing w:val="-2"/>
                <w:szCs w:val="21"/>
                <w:u w:val="single"/>
              </w:rPr>
              <w:t>销售机构</w:t>
            </w:r>
            <w:r>
              <w:rPr>
                <w:rFonts w:ascii="楷体" w:hAnsi="楷体" w:eastAsia="楷体" w:cs="宋体"/>
                <w:b/>
                <w:bCs/>
                <w:spacing w:val="-2"/>
                <w:szCs w:val="21"/>
                <w:u w:val="single"/>
              </w:rPr>
              <w:t>渠道进行快速赎回，如无特殊情况，</w:t>
            </w:r>
            <w:r>
              <w:rPr>
                <w:rFonts w:hint="eastAsia" w:ascii="楷体" w:hAnsi="楷体" w:eastAsia="楷体" w:cs="宋体"/>
                <w:b/>
                <w:bCs/>
                <w:spacing w:val="-2"/>
                <w:szCs w:val="21"/>
                <w:u w:val="single"/>
              </w:rPr>
              <w:t>快速</w:t>
            </w:r>
            <w:r>
              <w:rPr>
                <w:rFonts w:ascii="楷体" w:hAnsi="楷体" w:eastAsia="楷体" w:cs="宋体"/>
                <w:b/>
                <w:bCs/>
                <w:spacing w:val="-2"/>
                <w:szCs w:val="21"/>
                <w:u w:val="single"/>
              </w:rPr>
              <w:t>赎回资金将于赎回申请日当日到账。</w:t>
            </w:r>
            <w:r>
              <w:rPr>
                <w:rFonts w:hint="eastAsia" w:ascii="楷体" w:hAnsi="楷体" w:eastAsia="楷体" w:cs="宋体"/>
                <w:bCs/>
                <w:spacing w:val="-2"/>
                <w:szCs w:val="21"/>
              </w:rPr>
              <w:t>“快速赎回”为本理财产品的增值服务，具体业务处理原则以销售机构的快速赎回服务协议约定为准。管理人将根据快速赎回服务协议的约定，履行份额快速过户及理财份额收益划付等职责。</w:t>
            </w:r>
            <w:r>
              <w:rPr>
                <w:rFonts w:hint="eastAsia" w:ascii="楷体" w:hAnsi="楷体" w:eastAsia="楷体" w:cs="宋体"/>
                <w:b/>
                <w:bCs/>
                <w:spacing w:val="-2"/>
                <w:szCs w:val="21"/>
                <w:u w:val="single"/>
              </w:rPr>
              <w:t>每</w:t>
            </w:r>
            <w:r>
              <w:rPr>
                <w:rFonts w:hint="eastAsia" w:ascii="楷体" w:hAnsi="楷体" w:eastAsia="楷体" w:cs="宋体"/>
                <w:b/>
                <w:bCs/>
                <w:spacing w:val="-2"/>
                <w:szCs w:val="21"/>
                <w:u w:val="single"/>
                <w:lang w:val="en-US" w:eastAsia="zh-CN"/>
              </w:rPr>
              <w:t>只</w:t>
            </w:r>
            <w:r>
              <w:rPr>
                <w:rFonts w:hint="eastAsia" w:ascii="楷体" w:hAnsi="楷体" w:eastAsia="楷体" w:cs="宋体"/>
                <w:b/>
                <w:bCs/>
                <w:spacing w:val="-2"/>
                <w:szCs w:val="21"/>
                <w:u w:val="single"/>
              </w:rPr>
              <w:t>产品每个自然日</w:t>
            </w:r>
            <w:r>
              <w:rPr>
                <w:rFonts w:hint="eastAsia" w:ascii="楷体" w:hAnsi="楷体" w:eastAsia="楷体" w:cs="宋体"/>
                <w:b/>
                <w:bCs/>
                <w:spacing w:val="-2"/>
                <w:szCs w:val="21"/>
                <w:u w:val="single"/>
                <w:lang w:val="en-US" w:eastAsia="zh-CN"/>
              </w:rPr>
              <w:t>单个销售渠道</w:t>
            </w:r>
            <w:r>
              <w:rPr>
                <w:rFonts w:hint="eastAsia" w:ascii="楷体" w:hAnsi="楷体" w:eastAsia="楷体" w:cs="宋体"/>
                <w:b/>
                <w:bCs/>
                <w:spacing w:val="-2"/>
                <w:szCs w:val="21"/>
                <w:u w:val="single"/>
              </w:rPr>
              <w:t>为客户提供的</w:t>
            </w:r>
            <w:r>
              <w:rPr>
                <w:rFonts w:ascii="楷体" w:hAnsi="楷体" w:eastAsia="楷体" w:cs="宋体"/>
                <w:b/>
                <w:bCs/>
                <w:spacing w:val="-2"/>
                <w:szCs w:val="21"/>
                <w:u w:val="single"/>
              </w:rPr>
              <w:t>“快速赎回”</w:t>
            </w:r>
            <w:r>
              <w:rPr>
                <w:rFonts w:hint="eastAsia" w:ascii="楷体" w:hAnsi="楷体" w:eastAsia="楷体" w:cs="宋体"/>
                <w:b/>
                <w:bCs/>
                <w:spacing w:val="-2"/>
                <w:szCs w:val="21"/>
                <w:u w:val="single"/>
              </w:rPr>
              <w:t>限额为</w:t>
            </w:r>
            <w:r>
              <w:rPr>
                <w:rFonts w:ascii="楷体" w:hAnsi="楷体" w:eastAsia="楷体" w:cs="宋体"/>
                <w:b/>
                <w:bCs/>
                <w:spacing w:val="-2"/>
                <w:szCs w:val="21"/>
                <w:u w:val="single"/>
              </w:rPr>
              <w:t>1万元</w:t>
            </w:r>
            <w:r>
              <w:rPr>
                <w:rFonts w:hint="eastAsia" w:ascii="楷体" w:hAnsi="楷体" w:eastAsia="楷体" w:cs="宋体"/>
                <w:b/>
                <w:bCs/>
                <w:spacing w:val="-2"/>
                <w:szCs w:val="21"/>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vAlign w:val="center"/>
          </w:tcPr>
          <w:p>
            <w:pPr>
              <w:pStyle w:val="16"/>
              <w:kinsoku w:val="0"/>
              <w:overflowPunct w:val="0"/>
              <w:spacing w:before="18"/>
              <w:ind w:left="83" w:right="68" w:rightChars="31"/>
              <w:jc w:val="both"/>
              <w:rPr>
                <w:rFonts w:hint="eastAsia" w:ascii="楷体" w:hAnsi="楷体" w:eastAsia="楷体" w:cs="宋体"/>
                <w:b/>
                <w:spacing w:val="-2"/>
                <w:sz w:val="21"/>
                <w:szCs w:val="21"/>
                <w:lang w:val="en-US" w:eastAsia="zh-CN"/>
              </w:rPr>
            </w:pPr>
            <w:r>
              <w:rPr>
                <w:rFonts w:hint="eastAsia" w:ascii="楷体" w:hAnsi="楷体" w:eastAsia="楷体" w:cs="宋体"/>
                <w:b/>
                <w:spacing w:val="-2"/>
                <w:sz w:val="21"/>
                <w:szCs w:val="21"/>
                <w:lang w:val="en-US" w:eastAsia="zh-CN"/>
              </w:rPr>
              <w:t>暂缓赎回</w:t>
            </w:r>
          </w:p>
        </w:tc>
        <w:tc>
          <w:tcPr>
            <w:tcW w:w="6795" w:type="dxa"/>
            <w:vAlign w:val="center"/>
          </w:tcPr>
          <w:p>
            <w:pPr>
              <w:ind w:left="115" w:right="121" w:rightChars="55"/>
              <w:rPr>
                <w:rFonts w:hint="eastAsia" w:ascii="楷体" w:hAnsi="楷体" w:eastAsia="楷体" w:cs="宋体"/>
                <w:b/>
                <w:bCs/>
                <w:spacing w:val="-2"/>
                <w:szCs w:val="21"/>
                <w:u w:val="single"/>
                <w:lang w:eastAsia="zh-CN"/>
              </w:rPr>
            </w:pPr>
            <w:r>
              <w:rPr>
                <w:rFonts w:hint="eastAsia" w:ascii="楷体" w:hAnsi="楷体" w:eastAsia="楷体" w:cs="宋体"/>
                <w:b/>
                <w:bCs/>
                <w:spacing w:val="-2"/>
                <w:szCs w:val="21"/>
                <w:u w:val="single"/>
              </w:rPr>
              <w:t>单个产品投资者在单个开放日申请赎回份额超过本理财产品总份额10%的，管理人可以采取延期办理部分赎回申请或者延缓支付赎回款项的措施</w:t>
            </w:r>
            <w:r>
              <w:rPr>
                <w:rFonts w:hint="eastAsia" w:ascii="楷体" w:hAnsi="楷体" w:eastAsia="楷体" w:cs="宋体"/>
                <w:b/>
                <w:bCs/>
                <w:spacing w:val="-2"/>
                <w:szCs w:val="21"/>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76" w:hRule="atLeast"/>
          <w:jc w:val="center"/>
        </w:trPr>
        <w:tc>
          <w:tcPr>
            <w:tcW w:w="2181" w:type="dxa"/>
            <w:vAlign w:val="center"/>
          </w:tcPr>
          <w:p>
            <w:pPr>
              <w:pStyle w:val="16"/>
              <w:kinsoku w:val="0"/>
              <w:overflowPunct w:val="0"/>
              <w:spacing w:before="18"/>
              <w:ind w:left="83" w:leftChars="0" w:right="68" w:rightChars="31"/>
              <w:jc w:val="both"/>
              <w:rPr>
                <w:rFonts w:ascii="楷体" w:hAnsi="楷体" w:eastAsia="楷体" w:cs="宋体"/>
                <w:b/>
                <w:spacing w:val="-2"/>
                <w:sz w:val="21"/>
                <w:szCs w:val="21"/>
              </w:rPr>
            </w:pPr>
            <w:r>
              <w:rPr>
                <w:rFonts w:hint="eastAsia" w:ascii="楷体" w:hAnsi="楷体" w:eastAsia="楷体" w:cs="宋体"/>
                <w:b/>
                <w:spacing w:val="-2"/>
                <w:sz w:val="21"/>
                <w:szCs w:val="21"/>
                <w:highlight w:val="none"/>
              </w:rPr>
              <w:t>巨额赎回</w:t>
            </w:r>
          </w:p>
        </w:tc>
        <w:tc>
          <w:tcPr>
            <w:tcW w:w="6795" w:type="dxa"/>
            <w:vAlign w:val="center"/>
          </w:tcPr>
          <w:p>
            <w:pPr>
              <w:keepNext w:val="0"/>
              <w:keepLines w:val="0"/>
              <w:pageBreakBefore w:val="0"/>
              <w:widowControl w:val="0"/>
              <w:wordWrap/>
              <w:topLinePunct w:val="0"/>
              <w:bidi w:val="0"/>
              <w:snapToGrid/>
              <w:spacing w:before="12"/>
              <w:ind w:left="44" w:leftChars="20" w:right="121" w:rightChars="55"/>
              <w:textAlignment w:val="auto"/>
              <w:rPr>
                <w:rFonts w:ascii="楷体" w:hAnsi="楷体" w:eastAsia="楷体" w:cs="宋体"/>
                <w:spacing w:val="-2"/>
                <w:szCs w:val="21"/>
                <w:highlight w:val="none"/>
              </w:rPr>
            </w:pPr>
            <w:r>
              <w:rPr>
                <w:rFonts w:hint="eastAsia" w:ascii="楷体" w:hAnsi="楷体" w:eastAsia="楷体" w:cs="宋体"/>
                <w:spacing w:val="-2"/>
                <w:szCs w:val="21"/>
                <w:highlight w:val="none"/>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highlight w:val="none"/>
              </w:rPr>
              <w:t>延期</w:t>
            </w:r>
            <w:r>
              <w:rPr>
                <w:rFonts w:hint="eastAsia" w:ascii="楷体" w:hAnsi="楷体" w:eastAsia="楷体" w:cs="宋体"/>
                <w:spacing w:val="-2"/>
                <w:szCs w:val="21"/>
                <w:highlight w:val="none"/>
              </w:rPr>
              <w:t>办理</w:t>
            </w:r>
            <w:r>
              <w:rPr>
                <w:rFonts w:ascii="楷体" w:hAnsi="楷体" w:eastAsia="楷体" w:cs="宋体"/>
                <w:spacing w:val="-2"/>
                <w:szCs w:val="21"/>
                <w:highlight w:val="none"/>
              </w:rPr>
              <w:t>巨额赎回</w:t>
            </w:r>
            <w:r>
              <w:rPr>
                <w:rFonts w:hint="eastAsia" w:ascii="楷体" w:hAnsi="楷体" w:eastAsia="楷体" w:cs="宋体"/>
                <w:spacing w:val="-2"/>
                <w:szCs w:val="21"/>
                <w:highlight w:val="none"/>
              </w:rPr>
              <w:t>等</w:t>
            </w:r>
            <w:r>
              <w:rPr>
                <w:rFonts w:ascii="楷体" w:hAnsi="楷体" w:eastAsia="楷体" w:cs="宋体"/>
                <w:spacing w:val="-2"/>
                <w:szCs w:val="21"/>
                <w:highlight w:val="none"/>
              </w:rPr>
              <w:t>措施</w:t>
            </w:r>
            <w:r>
              <w:rPr>
                <w:rFonts w:hint="eastAsia" w:ascii="楷体" w:hAnsi="楷体" w:eastAsia="楷体" w:cs="宋体"/>
                <w:spacing w:val="-2"/>
                <w:szCs w:val="21"/>
                <w:highlight w:val="none"/>
              </w:rPr>
              <w:t>，产品管理人将在采取</w:t>
            </w:r>
            <w:r>
              <w:rPr>
                <w:rFonts w:ascii="楷体" w:hAnsi="楷体" w:eastAsia="楷体" w:cs="宋体"/>
                <w:spacing w:val="-2"/>
                <w:szCs w:val="21"/>
                <w:highlight w:val="none"/>
              </w:rPr>
              <w:t>相关</w:t>
            </w:r>
            <w:r>
              <w:rPr>
                <w:rFonts w:hint="eastAsia" w:ascii="楷体" w:hAnsi="楷体" w:eastAsia="楷体" w:cs="宋体"/>
                <w:spacing w:val="-2"/>
                <w:szCs w:val="21"/>
                <w:highlight w:val="none"/>
              </w:rPr>
              <w:t>措施后3个工作日内进行信息披露。</w:t>
            </w:r>
          </w:p>
          <w:p>
            <w:pPr>
              <w:keepNext w:val="0"/>
              <w:keepLines w:val="0"/>
              <w:pageBreakBefore w:val="0"/>
              <w:widowControl w:val="0"/>
              <w:wordWrap/>
              <w:topLinePunct w:val="0"/>
              <w:bidi w:val="0"/>
              <w:snapToGrid/>
              <w:spacing w:before="12"/>
              <w:ind w:left="44" w:leftChars="20" w:right="121" w:rightChars="55"/>
              <w:textAlignment w:val="auto"/>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1.全额赎回：当产品管理人有能力兑付投资者的全部赎回申请时，将在申请确认日按投资者申请赎回份额执行正常赎回程序。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spacing w:before="12"/>
              <w:ind w:left="44" w:leftChars="20" w:right="121" w:rightChars="55"/>
              <w:textAlignment w:val="auto"/>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若管理人对该部分赎回申请选择延期办理，则管理人有权按照赎回开放日内投资者递交赎回申请的顺序，依照时间优先（即先申请、先赎回）的原则确认当日受理的赎回申请；或者对赎回开放日内所有投资者的赎回申请，按照单个投资者当日申请赎回份额占当日申请赎回总份额的比例，确定该份额持有人当日办理的赎回份额（示例：客户当日申请赎回份额5万份，当日全部赎回申请1亿份，假设前一日存续份额5亿份，发生巨额赎回，管理人当日办理的赎回份额5000万份，则客户当日确认办理的份额为5/10000*5000=2.5万份）。</w:t>
            </w:r>
          </w:p>
          <w:p>
            <w:pPr>
              <w:keepNext w:val="0"/>
              <w:keepLines w:val="0"/>
              <w:pageBreakBefore w:val="0"/>
              <w:widowControl w:val="0"/>
              <w:wordWrap/>
              <w:topLinePunct w:val="0"/>
              <w:bidi w:val="0"/>
              <w:snapToGrid/>
              <w:spacing w:before="12"/>
              <w:ind w:left="44" w:leftChars="20" w:right="121" w:rightChars="55"/>
              <w:textAlignment w:val="auto"/>
              <w:rPr>
                <w:rFonts w:hint="eastAsia"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3.对于该开放日内净赎回额超过本产品上一工作日日终份额10%时，管理</w:t>
            </w:r>
          </w:p>
          <w:p>
            <w:pPr>
              <w:keepNext w:val="0"/>
              <w:keepLines w:val="0"/>
              <w:pageBreakBefore w:val="0"/>
              <w:widowControl w:val="0"/>
              <w:wordWrap/>
              <w:topLinePunct w:val="0"/>
              <w:bidi w:val="0"/>
              <w:snapToGrid/>
              <w:spacing w:before="12"/>
              <w:ind w:left="44" w:leftChars="20" w:right="121" w:rightChars="55"/>
              <w:textAlignment w:val="auto"/>
              <w:rPr>
                <w:rFonts w:ascii="楷体" w:hAnsi="楷体" w:eastAsia="楷体" w:cs="宋体"/>
                <w:b/>
                <w:spacing w:val="-2"/>
                <w:szCs w:val="21"/>
                <w:u w:val="single"/>
              </w:rPr>
            </w:pPr>
            <w:r>
              <w:rPr>
                <w:rFonts w:hint="eastAsia" w:ascii="楷体" w:hAnsi="楷体" w:eastAsia="楷体" w:cs="宋体"/>
                <w:b/>
                <w:spacing w:val="-2"/>
                <w:szCs w:val="21"/>
                <w:highlight w:val="none"/>
                <w:u w:val="single"/>
              </w:rPr>
              <w:t>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r>
              <w:rPr>
                <w:rFonts w:hint="eastAsia" w:ascii="楷体" w:hAnsi="楷体" w:eastAsia="楷体" w:cs="宋体"/>
                <w:b/>
                <w:spacing w:val="-2"/>
                <w:szCs w:val="21"/>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8" w:hRule="atLeast"/>
          <w:jc w:val="center"/>
        </w:trPr>
        <w:tc>
          <w:tcPr>
            <w:tcW w:w="2181" w:type="dxa"/>
            <w:vAlign w:val="center"/>
          </w:tcPr>
          <w:p>
            <w:pPr>
              <w:pStyle w:val="16"/>
              <w:kinsoku w:val="0"/>
              <w:overflowPunct w:val="0"/>
              <w:spacing w:before="18"/>
              <w:ind w:left="55"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连续巨额赎回</w:t>
            </w:r>
          </w:p>
        </w:tc>
        <w:tc>
          <w:tcPr>
            <w:tcW w:w="6795" w:type="dxa"/>
            <w:vAlign w:val="center"/>
          </w:tcPr>
          <w:p>
            <w:pPr>
              <w:keepNext w:val="0"/>
              <w:keepLines w:val="0"/>
              <w:pageBreakBefore w:val="0"/>
              <w:widowControl w:val="0"/>
              <w:kinsoku/>
              <w:wordWrap/>
              <w:overflowPunct/>
              <w:topLinePunct w:val="0"/>
              <w:autoSpaceDE/>
              <w:autoSpaceDN/>
              <w:bidi w:val="0"/>
              <w:adjustRightInd/>
              <w:snapToGrid/>
              <w:spacing w:before="12" w:line="240" w:lineRule="auto"/>
              <w:ind w:left="44" w:leftChars="20" w:right="121" w:rightChars="55"/>
              <w:textAlignment w:val="auto"/>
              <w:outlineLvl w:val="9"/>
              <w:rPr>
                <w:rFonts w:hint="eastAsia" w:ascii="楷体" w:hAnsi="楷体" w:eastAsia="楷体" w:cs="宋体"/>
                <w:b/>
                <w:spacing w:val="-2"/>
                <w:szCs w:val="21"/>
                <w:u w:val="single"/>
              </w:rPr>
            </w:pPr>
            <w:r>
              <w:rPr>
                <w:rFonts w:hint="eastAsia" w:ascii="楷体" w:hAnsi="楷体" w:eastAsia="楷体" w:cs="宋体"/>
                <w:spacing w:val="-2"/>
                <w:kern w:val="0"/>
                <w:sz w:val="21"/>
                <w:szCs w:val="21"/>
                <w:highlight w:val="none"/>
                <w:lang w:val="en-US" w:eastAsia="zh-CN" w:bidi="ar-SA"/>
              </w:rPr>
              <w:t>连续2个以上开放日发生巨额赎回的，对于已经接受的赎回申请，可以延缓支付赎回款项，但延缓期限不得超过20个工作日。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8" w:hRule="atLeast"/>
          <w:jc w:val="center"/>
        </w:trPr>
        <w:tc>
          <w:tcPr>
            <w:tcW w:w="2181" w:type="dxa"/>
            <w:vAlign w:val="center"/>
          </w:tcPr>
          <w:p>
            <w:pPr>
              <w:pStyle w:val="16"/>
              <w:keepNext w:val="0"/>
              <w:keepLines w:val="0"/>
              <w:pageBreakBefore w:val="0"/>
              <w:widowControl w:val="0"/>
              <w:kinsoku w:val="0"/>
              <w:wordWrap/>
              <w:overflowPunct w:val="0"/>
              <w:topLinePunct w:val="0"/>
              <w:autoSpaceDE w:val="0"/>
              <w:autoSpaceDN w:val="0"/>
              <w:bidi w:val="0"/>
              <w:adjustRightInd w:val="0"/>
              <w:snapToGrid/>
              <w:spacing w:before="12"/>
              <w:ind w:left="85" w:leftChars="0" w:right="68" w:rightChars="31"/>
              <w:textAlignment w:val="auto"/>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赎回资金的清算</w:t>
            </w:r>
          </w:p>
        </w:tc>
        <w:tc>
          <w:tcPr>
            <w:tcW w:w="6795" w:type="dxa"/>
            <w:vAlign w:val="center"/>
          </w:tcPr>
          <w:p>
            <w:pPr>
              <w:keepNext w:val="0"/>
              <w:keepLines w:val="0"/>
              <w:pageBreakBefore w:val="0"/>
              <w:widowControl w:val="0"/>
              <w:wordWrap/>
              <w:topLinePunct w:val="0"/>
              <w:bidi w:val="0"/>
              <w:snapToGrid/>
              <w:ind w:left="44" w:leftChars="20" w:right="121" w:rightChars="55"/>
              <w:jc w:val="left"/>
              <w:textAlignment w:val="auto"/>
              <w:rPr>
                <w:rFonts w:hint="eastAsia" w:ascii="楷体" w:hAnsi="楷体" w:eastAsia="楷体" w:cs="宋体"/>
                <w:b/>
                <w:spacing w:val="-2"/>
                <w:szCs w:val="21"/>
                <w:u w:val="single"/>
              </w:rPr>
            </w:pPr>
            <w:r>
              <w:rPr>
                <w:rFonts w:hint="eastAsia" w:ascii="楷体" w:hAnsi="楷体" w:eastAsia="楷体" w:cs="宋体"/>
                <w:spacing w:val="-2"/>
                <w:szCs w:val="21"/>
                <w:highlight w:val="none"/>
              </w:rPr>
              <w:t>未触发巨额赎回条款情形下，投资者赎回资金将在赎回申请确认日后</w:t>
            </w:r>
            <w:r>
              <w:rPr>
                <w:rFonts w:ascii="楷体" w:hAnsi="楷体" w:eastAsia="楷体" w:cs="宋体"/>
                <w:spacing w:val="-2"/>
                <w:szCs w:val="21"/>
                <w:highlight w:val="none"/>
              </w:rPr>
              <w:t>4</w:t>
            </w:r>
            <w:r>
              <w:rPr>
                <w:rFonts w:hint="eastAsia" w:ascii="楷体" w:hAnsi="楷体" w:eastAsia="楷体" w:cs="宋体"/>
                <w:spacing w:val="-2"/>
                <w:szCs w:val="21"/>
                <w:highlight w:val="none"/>
              </w:rPr>
              <w:t>个工作日内到达投资者资金账户。</w:t>
            </w:r>
            <w:r>
              <w:rPr>
                <w:rFonts w:hint="eastAsia" w:ascii="楷体" w:hAnsi="楷体" w:eastAsia="楷体" w:cs="宋体"/>
                <w:color w:val="auto"/>
                <w:spacing w:val="-2"/>
                <w:sz w:val="21"/>
                <w:szCs w:val="21"/>
                <w:highlight w:val="none"/>
              </w:rPr>
              <w:t>在途期间投资者</w:t>
            </w:r>
            <w:r>
              <w:rPr>
                <w:rFonts w:hint="eastAsia" w:ascii="楷体" w:hAnsi="楷体" w:eastAsia="楷体" w:cs="宋体"/>
                <w:color w:val="auto"/>
                <w:spacing w:val="-2"/>
                <w:sz w:val="21"/>
                <w:szCs w:val="21"/>
                <w:highlight w:val="none"/>
                <w:lang w:val="en-US" w:eastAsia="zh-CN"/>
              </w:rPr>
              <w:t>赎回资金</w:t>
            </w:r>
            <w:r>
              <w:rPr>
                <w:rFonts w:hint="eastAsia" w:ascii="楷体" w:hAnsi="楷体" w:eastAsia="楷体" w:cs="宋体"/>
                <w:color w:val="auto"/>
                <w:spacing w:val="-2"/>
                <w:sz w:val="21"/>
                <w:szCs w:val="21"/>
                <w:highlight w:val="none"/>
              </w:rPr>
              <w:t>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8" w:hRule="atLeast"/>
          <w:jc w:val="center"/>
        </w:trPr>
        <w:tc>
          <w:tcPr>
            <w:tcW w:w="2181" w:type="dxa"/>
            <w:vAlign w:val="center"/>
          </w:tcPr>
          <w:p>
            <w:pPr>
              <w:pStyle w:val="16"/>
              <w:kinsoku w:val="0"/>
              <w:overflowPunct w:val="0"/>
              <w:spacing w:before="12"/>
              <w:ind w:left="83" w:leftChars="0" w:right="68" w:rightChars="31"/>
              <w:jc w:val="both"/>
              <w:rPr>
                <w:rFonts w:hint="eastAsia" w:ascii="楷体" w:hAnsi="楷体" w:eastAsia="楷体" w:cs="宋体"/>
                <w:b/>
                <w:spacing w:val="-2"/>
                <w:sz w:val="21"/>
                <w:szCs w:val="21"/>
              </w:rPr>
            </w:pPr>
            <w:r>
              <w:rPr>
                <w:rFonts w:hint="eastAsia" w:ascii="楷体" w:hAnsi="楷体" w:eastAsia="楷体" w:cs="宋体"/>
                <w:b/>
                <w:spacing w:val="-2"/>
                <w:sz w:val="21"/>
                <w:szCs w:val="21"/>
              </w:rPr>
              <w:t>业绩比较基准（年化）</w:t>
            </w:r>
          </w:p>
        </w:tc>
        <w:tc>
          <w:tcPr>
            <w:tcW w:w="6795" w:type="dxa"/>
            <w:vAlign w:val="center"/>
          </w:tcPr>
          <w:p>
            <w:pPr>
              <w:pStyle w:val="16"/>
              <w:spacing w:before="37" w:line="273" w:lineRule="auto"/>
              <w:ind w:left="103" w:right="103"/>
              <w:rPr>
                <w:rFonts w:ascii="楷体" w:hAnsi="楷体" w:eastAsia="楷体" w:cs="宋体"/>
                <w:spacing w:val="-2"/>
                <w:sz w:val="21"/>
                <w:szCs w:val="21"/>
              </w:rPr>
            </w:pPr>
            <w:r>
              <w:rPr>
                <w:rFonts w:hint="eastAsia" w:ascii="楷体" w:hAnsi="楷体" w:eastAsia="楷体" w:cs="宋体"/>
                <w:spacing w:val="-2"/>
                <w:sz w:val="21"/>
                <w:szCs w:val="21"/>
                <w:highlight w:val="none"/>
                <w:lang w:val="en-US" w:eastAsia="zh-CN"/>
              </w:rPr>
              <w:t>中国人民银行公布的</w:t>
            </w:r>
            <w:r>
              <w:rPr>
                <w:rFonts w:hint="eastAsia" w:ascii="楷体" w:hAnsi="楷体" w:eastAsia="楷体" w:cs="宋体"/>
                <w:spacing w:val="-2"/>
                <w:sz w:val="21"/>
                <w:szCs w:val="21"/>
                <w:highlight w:val="none"/>
              </w:rPr>
              <w:t>7天通知存款利率</w:t>
            </w:r>
            <w:r>
              <w:rPr>
                <w:rFonts w:hint="eastAsia" w:ascii="楷体" w:hAnsi="楷体" w:eastAsia="楷体" w:cs="宋体"/>
                <w:spacing w:val="-2"/>
                <w:sz w:val="21"/>
                <w:szCs w:val="21"/>
              </w:rPr>
              <w:t>（管理人</w:t>
            </w:r>
            <w:r>
              <w:rPr>
                <w:rFonts w:ascii="楷体" w:hAnsi="楷体" w:eastAsia="楷体" w:cs="宋体"/>
                <w:spacing w:val="-2"/>
                <w:sz w:val="21"/>
                <w:szCs w:val="21"/>
              </w:rPr>
              <w:t>参考过往投资经验，依据近期货币市场工具、债券等资产</w:t>
            </w:r>
            <w:r>
              <w:rPr>
                <w:rFonts w:hint="eastAsia" w:ascii="楷体" w:hAnsi="楷体" w:eastAsia="楷体" w:cs="宋体"/>
                <w:spacing w:val="-2"/>
                <w:sz w:val="21"/>
                <w:szCs w:val="21"/>
              </w:rPr>
              <w:t>投资</w:t>
            </w:r>
            <w:r>
              <w:rPr>
                <w:rFonts w:ascii="楷体" w:hAnsi="楷体" w:eastAsia="楷体" w:cs="宋体"/>
                <w:spacing w:val="-2"/>
                <w:sz w:val="21"/>
                <w:szCs w:val="21"/>
              </w:rPr>
              <w:t>收益水平，在产品说明书约定的投资范围和投资比例内模拟测算得出</w:t>
            </w:r>
            <w:r>
              <w:rPr>
                <w:rFonts w:hint="eastAsia" w:ascii="楷体" w:hAnsi="楷体" w:eastAsia="楷体" w:cs="宋体"/>
                <w:spacing w:val="-2"/>
                <w:sz w:val="21"/>
                <w:szCs w:val="21"/>
              </w:rPr>
              <w:t>）。</w:t>
            </w:r>
          </w:p>
          <w:p>
            <w:pPr>
              <w:ind w:left="115" w:leftChars="0" w:right="121" w:rightChars="55"/>
              <w:rPr>
                <w:rFonts w:hint="eastAsia" w:ascii="楷体" w:hAnsi="楷体" w:eastAsia="楷体" w:cs="宋体"/>
                <w:b/>
                <w:spacing w:val="-2"/>
                <w:szCs w:val="21"/>
                <w:u w:val="single"/>
              </w:rPr>
            </w:pPr>
            <w:r>
              <w:rPr>
                <w:rFonts w:hint="eastAsia" w:ascii="楷体" w:hAnsi="楷体" w:eastAsia="楷体" w:cs="宋体"/>
                <w:b/>
                <w:spacing w:val="-2"/>
                <w:szCs w:val="21"/>
                <w:u w:val="single"/>
              </w:rPr>
              <w:t>本产品为净值型产品，业绩表现将随市场波动，具有不确定性。业绩比较基准</w:t>
            </w:r>
            <w:r>
              <w:rPr>
                <w:rFonts w:hint="eastAsia" w:ascii="楷体" w:hAnsi="楷体" w:eastAsia="楷体" w:cs="宋体"/>
                <w:b/>
                <w:spacing w:val="-2"/>
                <w:sz w:val="21"/>
                <w:szCs w:val="21"/>
                <w:u w:val="single"/>
                <w:lang w:val="en-US" w:eastAsia="zh-CN"/>
              </w:rPr>
              <w:t>为管理人</w:t>
            </w:r>
            <w:r>
              <w:rPr>
                <w:rFonts w:hint="eastAsia" w:ascii="楷体" w:hAnsi="楷体" w:eastAsia="楷体" w:cs="宋体"/>
                <w:b/>
                <w:spacing w:val="-2"/>
                <w:sz w:val="21"/>
                <w:szCs w:val="21"/>
                <w:u w:val="single"/>
              </w:rPr>
              <w:t>对本产品所设定的投资目标</w:t>
            </w:r>
            <w:r>
              <w:rPr>
                <w:rFonts w:hint="eastAsia" w:ascii="楷体" w:hAnsi="楷体" w:eastAsia="楷体" w:cs="宋体"/>
                <w:b/>
                <w:spacing w:val="-2"/>
                <w:szCs w:val="21"/>
                <w:u w:val="single"/>
              </w:rPr>
              <w:t>，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bottom w:val="single" w:color="auto" w:sz="4" w:space="0"/>
            </w:tcBorders>
            <w:vAlign w:val="center"/>
          </w:tcPr>
          <w:p>
            <w:pPr>
              <w:pStyle w:val="16"/>
              <w:kinsoku w:val="0"/>
              <w:overflowPunct w:val="0"/>
              <w:spacing w:before="18"/>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估值日</w:t>
            </w:r>
          </w:p>
        </w:tc>
        <w:tc>
          <w:tcPr>
            <w:tcW w:w="6795" w:type="dxa"/>
            <w:tcBorders>
              <w:bottom w:val="single" w:color="auto" w:sz="4" w:space="0"/>
            </w:tcBorders>
            <w:vAlign w:val="center"/>
          </w:tcPr>
          <w:p>
            <w:pPr>
              <w:ind w:left="115" w:right="121" w:rightChars="55"/>
              <w:rPr>
                <w:rFonts w:ascii="楷体" w:hAnsi="楷体" w:eastAsia="楷体" w:cs="宋体"/>
                <w:spacing w:val="-2"/>
                <w:szCs w:val="21"/>
              </w:rPr>
            </w:pPr>
            <w:r>
              <w:rPr>
                <w:rFonts w:hint="eastAsia" w:ascii="楷体" w:hAnsi="楷体" w:eastAsia="楷体" w:cs="宋体"/>
                <w:spacing w:val="-2"/>
                <w:szCs w:val="21"/>
              </w:rPr>
              <w:t>本理财产品存续期内，每个工作日为估值日。管理人于估值日后第一个工作日公布理财产品份额收益率。详见</w:t>
            </w:r>
            <w:r>
              <w:rPr>
                <w:rFonts w:hint="eastAsia" w:ascii="楷体" w:hAnsi="楷体" w:eastAsia="楷体" w:cs="宋体"/>
                <w:spacing w:val="-2"/>
                <w:szCs w:val="21"/>
                <w:lang w:eastAsia="zh-CN"/>
              </w:rPr>
              <w:t>产品说明书</w:t>
            </w:r>
            <w:r>
              <w:rPr>
                <w:rFonts w:hint="eastAsia" w:ascii="楷体" w:hAnsi="楷体" w:eastAsia="楷体" w:cs="宋体"/>
                <w:spacing w:val="-2"/>
                <w:szCs w:val="21"/>
              </w:rPr>
              <w:t>“十二、产品估值”。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bottom w:val="single" w:color="auto" w:sz="4" w:space="0"/>
            </w:tcBorders>
            <w:vAlign w:val="center"/>
          </w:tcPr>
          <w:p>
            <w:pPr>
              <w:pStyle w:val="16"/>
              <w:kinsoku w:val="0"/>
              <w:overflowPunct w:val="0"/>
              <w:spacing w:before="18"/>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收益分配</w:t>
            </w:r>
          </w:p>
        </w:tc>
        <w:tc>
          <w:tcPr>
            <w:tcW w:w="6795" w:type="dxa"/>
            <w:tcBorders>
              <w:bottom w:val="single" w:color="auto" w:sz="4" w:space="0"/>
            </w:tcBorders>
            <w:vAlign w:val="center"/>
          </w:tcPr>
          <w:p>
            <w:pPr>
              <w:ind w:left="115" w:right="121" w:rightChars="55"/>
              <w:rPr>
                <w:rFonts w:ascii="楷体" w:hAnsi="楷体" w:eastAsia="楷体" w:cs="宋体"/>
                <w:spacing w:val="-2"/>
                <w:szCs w:val="21"/>
              </w:rPr>
            </w:pPr>
            <w:r>
              <w:rPr>
                <w:rFonts w:hint="eastAsia" w:ascii="楷体" w:hAnsi="楷体" w:eastAsia="楷体" w:cs="宋体"/>
                <w:spacing w:val="-2"/>
                <w:szCs w:val="21"/>
              </w:rPr>
              <w:t>本理财产品根据每日收益情况，以理财计划实际收益（如有）为基准，每日为投资者计提当日理财收益，每日结转份额，投资者继续持有的红利份额可参与后续理财产品投资收益分配。</w:t>
            </w:r>
          </w:p>
          <w:p>
            <w:pPr>
              <w:ind w:left="115" w:right="121" w:rightChars="55"/>
              <w:rPr>
                <w:rFonts w:ascii="楷体" w:hAnsi="楷体" w:eastAsia="楷体" w:cs="宋体"/>
                <w:spacing w:val="-2"/>
                <w:szCs w:val="21"/>
              </w:rPr>
            </w:pPr>
            <w:r>
              <w:rPr>
                <w:rFonts w:ascii="楷体" w:hAnsi="楷体" w:eastAsia="楷体" w:cs="宋体"/>
                <w:spacing w:val="-2"/>
                <w:szCs w:val="21"/>
              </w:rPr>
              <w:t>详见</w:t>
            </w:r>
            <w:r>
              <w:rPr>
                <w:rFonts w:hint="eastAsia" w:ascii="楷体" w:hAnsi="楷体" w:eastAsia="楷体" w:cs="宋体"/>
                <w:spacing w:val="-2"/>
                <w:szCs w:val="21"/>
                <w:lang w:eastAsia="zh-CN"/>
              </w:rPr>
              <w:t>产品说明书</w:t>
            </w:r>
            <w:r>
              <w:rPr>
                <w:rFonts w:hint="eastAsia" w:ascii="楷体" w:hAnsi="楷体" w:eastAsia="楷体" w:cs="宋体"/>
                <w:spacing w:val="-2"/>
                <w:szCs w:val="21"/>
              </w:rPr>
              <w:t>“十、收益分配”。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top w:val="single" w:color="auto" w:sz="4" w:space="0"/>
              <w:left w:val="single" w:color="auto" w:sz="4" w:space="0"/>
              <w:bottom w:val="single" w:color="auto" w:sz="4" w:space="0"/>
              <w:right w:val="single" w:color="auto" w:sz="4" w:space="0"/>
            </w:tcBorders>
            <w:vAlign w:val="center"/>
          </w:tcPr>
          <w:p>
            <w:pPr>
              <w:pStyle w:val="16"/>
              <w:kinsoku w:val="0"/>
              <w:overflowPunct w:val="0"/>
              <w:spacing w:before="18"/>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信息披露</w:t>
            </w:r>
          </w:p>
        </w:tc>
        <w:tc>
          <w:tcPr>
            <w:tcW w:w="6795" w:type="dxa"/>
            <w:tcBorders>
              <w:top w:val="single" w:color="auto" w:sz="4" w:space="0"/>
              <w:left w:val="single" w:color="auto" w:sz="4" w:space="0"/>
              <w:bottom w:val="single" w:color="auto" w:sz="4" w:space="0"/>
              <w:right w:val="single" w:color="auto" w:sz="4" w:space="0"/>
            </w:tcBorders>
            <w:vAlign w:val="center"/>
          </w:tcPr>
          <w:p>
            <w:pPr>
              <w:ind w:left="115" w:right="121" w:rightChars="55"/>
              <w:rPr>
                <w:rFonts w:ascii="楷体" w:hAnsi="楷体" w:eastAsia="楷体" w:cs="宋体"/>
                <w:spacing w:val="-2"/>
                <w:szCs w:val="21"/>
              </w:rPr>
            </w:pPr>
            <w:r>
              <w:rPr>
                <w:rFonts w:hint="eastAsia" w:ascii="楷体" w:hAnsi="楷体" w:eastAsia="楷体" w:cs="宋体"/>
                <w:spacing w:val="-2"/>
                <w:szCs w:val="21"/>
              </w:rPr>
              <w:t>管理人将按照《理财产品说明书》中约定的方式进行信息披露，详见</w:t>
            </w:r>
            <w:r>
              <w:rPr>
                <w:rFonts w:hint="eastAsia" w:ascii="楷体" w:hAnsi="楷体" w:eastAsia="楷体" w:cs="宋体"/>
                <w:spacing w:val="-2"/>
                <w:szCs w:val="21"/>
                <w:lang w:eastAsia="zh-CN"/>
              </w:rPr>
              <w:t>产品说明书</w:t>
            </w:r>
            <w:r>
              <w:rPr>
                <w:rFonts w:hint="eastAsia" w:ascii="楷体" w:hAnsi="楷体" w:eastAsia="楷体" w:cs="宋体"/>
                <w:spacing w:val="-2"/>
                <w:szCs w:val="21"/>
              </w:rPr>
              <w:t>“十六、信息披露”。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81" w:type="dxa"/>
            <w:tcBorders>
              <w:top w:val="single" w:color="auto" w:sz="4" w:space="0"/>
              <w:left w:val="single" w:color="auto" w:sz="4" w:space="0"/>
              <w:bottom w:val="single" w:color="auto" w:sz="4" w:space="0"/>
              <w:right w:val="single" w:color="auto" w:sz="4" w:space="0"/>
            </w:tcBorders>
            <w:vAlign w:val="center"/>
          </w:tcPr>
          <w:p>
            <w:pPr>
              <w:pStyle w:val="16"/>
              <w:kinsoku w:val="0"/>
              <w:overflowPunct w:val="0"/>
              <w:spacing w:before="18"/>
              <w:ind w:left="83" w:right="68" w:rightChars="31"/>
              <w:jc w:val="both"/>
              <w:rPr>
                <w:rFonts w:ascii="楷体" w:hAnsi="楷体" w:eastAsia="楷体" w:cs="宋体"/>
                <w:b/>
                <w:spacing w:val="-2"/>
                <w:sz w:val="21"/>
                <w:szCs w:val="21"/>
              </w:rPr>
            </w:pPr>
            <w:r>
              <w:rPr>
                <w:rFonts w:hint="eastAsia" w:ascii="楷体" w:hAnsi="楷体" w:eastAsia="楷体" w:cs="宋体"/>
                <w:b/>
                <w:spacing w:val="-2"/>
                <w:sz w:val="21"/>
                <w:szCs w:val="21"/>
              </w:rPr>
              <w:t>税款</w:t>
            </w:r>
          </w:p>
        </w:tc>
        <w:tc>
          <w:tcPr>
            <w:tcW w:w="6795" w:type="dxa"/>
            <w:tcBorders>
              <w:top w:val="single" w:color="auto" w:sz="4" w:space="0"/>
              <w:left w:val="single" w:color="auto" w:sz="4" w:space="0"/>
              <w:bottom w:val="single" w:color="auto" w:sz="4" w:space="0"/>
              <w:right w:val="single" w:color="auto" w:sz="4" w:space="0"/>
            </w:tcBorders>
            <w:vAlign w:val="center"/>
          </w:tcPr>
          <w:p>
            <w:pPr>
              <w:ind w:left="115" w:right="121" w:rightChars="55"/>
              <w:rPr>
                <w:rFonts w:ascii="楷体" w:hAnsi="楷体" w:eastAsia="楷体" w:cs="宋体"/>
                <w:spacing w:val="-2"/>
                <w:szCs w:val="21"/>
              </w:rPr>
            </w:pPr>
            <w:r>
              <w:rPr>
                <w:rFonts w:hint="eastAsia" w:ascii="楷体" w:hAnsi="楷体" w:eastAsia="楷体" w:cs="宋体"/>
                <w:spacing w:val="-2"/>
                <w:szCs w:val="21"/>
              </w:rPr>
              <w:t>本产品运作过程中涉及的各纳税主体，其纳税义务按国家税收法律、法规执行。详见</w:t>
            </w:r>
            <w:r>
              <w:rPr>
                <w:rFonts w:hint="eastAsia" w:ascii="楷体" w:hAnsi="楷体" w:eastAsia="楷体" w:cs="宋体"/>
                <w:spacing w:val="-2"/>
                <w:szCs w:val="21"/>
                <w:lang w:eastAsia="zh-CN"/>
              </w:rPr>
              <w:t>产品说明书</w:t>
            </w:r>
            <w:r>
              <w:rPr>
                <w:rFonts w:hint="eastAsia" w:ascii="楷体" w:hAnsi="楷体" w:eastAsia="楷体" w:cs="宋体"/>
                <w:spacing w:val="-2"/>
                <w:szCs w:val="21"/>
              </w:rPr>
              <w:t>“十四、税收规定”。</w:t>
            </w:r>
          </w:p>
        </w:tc>
      </w:tr>
    </w:tbl>
    <w:p>
      <w:pPr>
        <w:adjustRightInd/>
        <w:snapToGrid/>
        <w:spacing w:after="0"/>
        <w:ind w:firstLine="630"/>
        <w:jc w:val="center"/>
        <w:rPr>
          <w:rFonts w:ascii="仿宋_GB2312" w:hAnsi="微软雅黑" w:eastAsia="仿宋_GB2312" w:cs="宋体"/>
          <w:color w:val="FF0000"/>
          <w:sz w:val="32"/>
          <w:szCs w:val="32"/>
        </w:rPr>
      </w:pPr>
      <w:r>
        <w:rPr>
          <w:rFonts w:hint="eastAsia" w:ascii="仿宋_GB2312" w:hAnsi="微软雅黑" w:eastAsia="仿宋_GB2312" w:cs="宋体"/>
          <w:color w:val="FF0000"/>
          <w:sz w:val="32"/>
          <w:szCs w:val="32"/>
        </w:rPr>
        <w:t>（更多具体要素请详阅产品说明书）</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注意事项：</w:t>
      </w:r>
    </w:p>
    <w:p>
      <w:pPr>
        <w:adjustRightInd/>
        <w:snapToGrid/>
        <w:spacing w:after="0"/>
        <w:ind w:firstLine="640" w:firstLineChars="200"/>
        <w:rPr>
          <w:rFonts w:ascii="微软雅黑" w:hAnsi="微软雅黑" w:cs="宋体"/>
          <w:color w:val="000000"/>
          <w:sz w:val="30"/>
          <w:szCs w:val="30"/>
        </w:rPr>
      </w:pPr>
      <w:r>
        <w:rPr>
          <w:rFonts w:hint="eastAsia" w:ascii="仿宋_GB2312" w:hAnsi="微软雅黑" w:eastAsia="仿宋_GB2312" w:cs="宋体"/>
          <w:color w:val="000000"/>
          <w:sz w:val="32"/>
          <w:szCs w:val="32"/>
        </w:rPr>
        <w:t>1.该产品销售要求参照我行自营理财销售相关规定执行。</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2.相关产品销售文件见附件。</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3.如有其他未尽事宜以私人银行部解释为准。</w:t>
      </w:r>
    </w:p>
    <w:p>
      <w:pPr>
        <w:adjustRightInd/>
        <w:snapToGrid/>
        <w:spacing w:after="0"/>
        <w:rPr>
          <w:rFonts w:ascii="微软雅黑" w:hAnsi="微软雅黑" w:cs="宋体"/>
          <w:color w:val="000000"/>
          <w:sz w:val="30"/>
          <w:szCs w:val="30"/>
        </w:rPr>
      </w:pP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附件：1.“苏银理财启源融汇现金</w:t>
      </w:r>
      <w:r>
        <w:rPr>
          <w:rFonts w:hint="eastAsia" w:ascii="仿宋_GB2312" w:hAnsi="微软雅黑" w:eastAsia="仿宋_GB2312" w:cs="宋体"/>
          <w:color w:val="000000"/>
          <w:sz w:val="32"/>
          <w:szCs w:val="32"/>
          <w:lang w:eastAsia="zh-CN"/>
        </w:rPr>
        <w:t>5号</w:t>
      </w:r>
      <w:r>
        <w:rPr>
          <w:rFonts w:hint="eastAsia" w:ascii="仿宋_GB2312" w:hAnsi="微软雅黑" w:eastAsia="仿宋_GB2312" w:cs="宋体"/>
          <w:color w:val="000000"/>
          <w:sz w:val="32"/>
          <w:szCs w:val="32"/>
        </w:rPr>
        <w:t>”理财产品说明书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 理财产品代理销售协议书、苏银理财有限责任公司理财产品投资协议书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3.“苏银理财启源融汇现金</w:t>
      </w:r>
      <w:r>
        <w:rPr>
          <w:rFonts w:hint="eastAsia" w:ascii="仿宋_GB2312" w:hAnsi="微软雅黑" w:eastAsia="仿宋_GB2312" w:cs="宋体"/>
          <w:color w:val="000000"/>
          <w:sz w:val="32"/>
          <w:szCs w:val="32"/>
          <w:lang w:eastAsia="zh-CN"/>
        </w:rPr>
        <w:t>5号</w:t>
      </w:r>
      <w:r>
        <w:rPr>
          <w:rFonts w:hint="eastAsia" w:ascii="仿宋_GB2312" w:hAnsi="微软雅黑" w:eastAsia="仿宋_GB2312" w:cs="宋体"/>
          <w:color w:val="000000"/>
          <w:sz w:val="32"/>
          <w:szCs w:val="32"/>
        </w:rPr>
        <w:t>”理财产品风险揭示书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4.苏银理财有限责任公司投资者权益须知</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5. 风险承受能力评估表</w:t>
      </w:r>
    </w:p>
    <w:p>
      <w:pPr>
        <w:adjustRightInd/>
        <w:snapToGrid/>
        <w:spacing w:after="0"/>
        <w:ind w:firstLine="645"/>
        <w:rPr>
          <w:rFonts w:ascii="微软雅黑" w:hAnsi="微软雅黑" w:cs="宋体"/>
          <w:color w:val="000000"/>
          <w:sz w:val="30"/>
          <w:szCs w:val="30"/>
        </w:rPr>
      </w:pPr>
    </w:p>
    <w:p>
      <w:pPr>
        <w:adjustRightInd/>
        <w:snapToGrid/>
        <w:spacing w:after="0"/>
        <w:ind w:firstLine="645"/>
        <w:rPr>
          <w:rFonts w:ascii="微软雅黑" w:hAnsi="微软雅黑" w:cs="宋体"/>
          <w:color w:val="000000"/>
          <w:sz w:val="30"/>
          <w:szCs w:val="30"/>
        </w:rPr>
      </w:pPr>
    </w:p>
    <w:p>
      <w:pPr>
        <w:adjustRightInd/>
        <w:snapToGrid/>
        <w:spacing w:after="0"/>
        <w:ind w:firstLine="645"/>
        <w:rPr>
          <w:rFonts w:ascii="微软雅黑" w:hAnsi="微软雅黑" w:cs="宋体"/>
          <w:color w:val="000000"/>
          <w:sz w:val="30"/>
          <w:szCs w:val="30"/>
        </w:rPr>
      </w:pPr>
    </w:p>
    <w:p>
      <w:pPr>
        <w:adjustRightInd/>
        <w:snapToGrid/>
        <w:spacing w:after="0"/>
        <w:ind w:firstLine="5760"/>
        <w:rPr>
          <w:rFonts w:ascii="微软雅黑" w:hAnsi="微软雅黑" w:cs="宋体"/>
          <w:color w:val="000000"/>
          <w:sz w:val="30"/>
          <w:szCs w:val="30"/>
        </w:rPr>
      </w:pPr>
      <w:r>
        <w:rPr>
          <w:rFonts w:hint="eastAsia" w:ascii="仿宋_GB2312" w:hAnsi="微软雅黑" w:eastAsia="仿宋_GB2312" w:cs="宋体"/>
          <w:color w:val="000000"/>
          <w:sz w:val="32"/>
          <w:szCs w:val="32"/>
        </w:rPr>
        <w:t>私人银行部</w:t>
      </w:r>
    </w:p>
    <w:p>
      <w:pPr>
        <w:adjustRightInd/>
        <w:snapToGrid/>
        <w:spacing w:after="0"/>
        <w:ind w:firstLine="5445"/>
      </w:pPr>
      <w:r>
        <w:rPr>
          <w:rFonts w:hint="eastAsia" w:ascii="仿宋_GB2312" w:hAnsi="微软雅黑" w:eastAsia="仿宋_GB2312" w:cs="宋体"/>
          <w:color w:val="000000"/>
          <w:sz w:val="32"/>
          <w:szCs w:val="32"/>
        </w:rPr>
        <w:t>202</w:t>
      </w:r>
      <w:r>
        <w:rPr>
          <w:rFonts w:hint="eastAsia" w:ascii="仿宋_GB2312" w:hAnsi="微软雅黑" w:eastAsia="仿宋_GB2312" w:cs="宋体"/>
          <w:color w:val="000000"/>
          <w:sz w:val="32"/>
          <w:szCs w:val="32"/>
          <w:lang w:val="en-US" w:eastAsia="zh-CN"/>
        </w:rPr>
        <w:t>4</w:t>
      </w:r>
      <w:r>
        <w:rPr>
          <w:rFonts w:hint="eastAsia" w:ascii="仿宋_GB2312" w:hAnsi="微软雅黑" w:eastAsia="仿宋_GB2312" w:cs="宋体"/>
          <w:color w:val="000000"/>
          <w:sz w:val="32"/>
          <w:szCs w:val="32"/>
        </w:rPr>
        <w:t>年</w:t>
      </w:r>
      <w:r>
        <w:rPr>
          <w:rFonts w:hint="eastAsia" w:ascii="仿宋_GB2312" w:hAnsi="微软雅黑" w:eastAsia="仿宋_GB2312" w:cs="宋体"/>
          <w:color w:val="000000"/>
          <w:sz w:val="32"/>
          <w:szCs w:val="32"/>
          <w:lang w:val="en-US" w:eastAsia="zh-CN"/>
        </w:rPr>
        <w:t>10</w:t>
      </w:r>
      <w:r>
        <w:rPr>
          <w:rFonts w:hint="eastAsia" w:ascii="仿宋_GB2312" w:hAnsi="微软雅黑" w:eastAsia="仿宋_GB2312" w:cs="宋体"/>
          <w:color w:val="000000"/>
          <w:sz w:val="32"/>
          <w:szCs w:val="32"/>
        </w:rPr>
        <w:t>月</w:t>
      </w:r>
      <w:r>
        <w:rPr>
          <w:rFonts w:hint="eastAsia" w:ascii="仿宋_GB2312" w:hAnsi="微软雅黑" w:eastAsia="仿宋_GB2312" w:cs="宋体"/>
          <w:color w:val="000000"/>
          <w:sz w:val="32"/>
          <w:szCs w:val="32"/>
          <w:lang w:val="en-US" w:eastAsia="zh-CN"/>
        </w:rPr>
        <w:t>31</w:t>
      </w:r>
      <w:r>
        <w:rPr>
          <w:rFonts w:hint="eastAsia" w:ascii="仿宋_GB2312" w:hAnsi="微软雅黑" w:eastAsia="仿宋_GB2312" w:cs="宋体"/>
          <w:color w:val="000000"/>
          <w:sz w:val="32"/>
          <w:szCs w:val="32"/>
        </w:rPr>
        <w:t>日</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rsids>
    <w:rsidRoot w:val="00D31D50"/>
    <w:rsid w:val="00002A13"/>
    <w:rsid w:val="00012365"/>
    <w:rsid w:val="00014D89"/>
    <w:rsid w:val="0002233E"/>
    <w:rsid w:val="00025736"/>
    <w:rsid w:val="000430CA"/>
    <w:rsid w:val="00045358"/>
    <w:rsid w:val="00050465"/>
    <w:rsid w:val="000547BB"/>
    <w:rsid w:val="0006322B"/>
    <w:rsid w:val="000729EB"/>
    <w:rsid w:val="000812F4"/>
    <w:rsid w:val="000936F7"/>
    <w:rsid w:val="000957AC"/>
    <w:rsid w:val="000A5028"/>
    <w:rsid w:val="000D4E77"/>
    <w:rsid w:val="000E18A2"/>
    <w:rsid w:val="000E1FA9"/>
    <w:rsid w:val="000E7543"/>
    <w:rsid w:val="0010440D"/>
    <w:rsid w:val="00110B5C"/>
    <w:rsid w:val="001225F8"/>
    <w:rsid w:val="00141F36"/>
    <w:rsid w:val="00157799"/>
    <w:rsid w:val="00160908"/>
    <w:rsid w:val="00174CF3"/>
    <w:rsid w:val="00174FC8"/>
    <w:rsid w:val="00182785"/>
    <w:rsid w:val="001930D1"/>
    <w:rsid w:val="001A556D"/>
    <w:rsid w:val="001B2273"/>
    <w:rsid w:val="001D40A6"/>
    <w:rsid w:val="001F72B5"/>
    <w:rsid w:val="00201E20"/>
    <w:rsid w:val="00206F8F"/>
    <w:rsid w:val="00207F97"/>
    <w:rsid w:val="00214CF7"/>
    <w:rsid w:val="00216E71"/>
    <w:rsid w:val="002235BC"/>
    <w:rsid w:val="00233CED"/>
    <w:rsid w:val="00236FDA"/>
    <w:rsid w:val="002513BD"/>
    <w:rsid w:val="00257856"/>
    <w:rsid w:val="00266F77"/>
    <w:rsid w:val="00277323"/>
    <w:rsid w:val="002777A1"/>
    <w:rsid w:val="00283408"/>
    <w:rsid w:val="002866F6"/>
    <w:rsid w:val="0029028F"/>
    <w:rsid w:val="002B1948"/>
    <w:rsid w:val="002C248B"/>
    <w:rsid w:val="002C2685"/>
    <w:rsid w:val="002D757D"/>
    <w:rsid w:val="002D7671"/>
    <w:rsid w:val="002E2039"/>
    <w:rsid w:val="002E3ECB"/>
    <w:rsid w:val="002E7145"/>
    <w:rsid w:val="002F07C0"/>
    <w:rsid w:val="003059D5"/>
    <w:rsid w:val="003105D1"/>
    <w:rsid w:val="00320D56"/>
    <w:rsid w:val="00322F4C"/>
    <w:rsid w:val="00323B43"/>
    <w:rsid w:val="00347193"/>
    <w:rsid w:val="00353BA9"/>
    <w:rsid w:val="00355E21"/>
    <w:rsid w:val="00357EB7"/>
    <w:rsid w:val="00361A72"/>
    <w:rsid w:val="00393219"/>
    <w:rsid w:val="003A6833"/>
    <w:rsid w:val="003C0D6B"/>
    <w:rsid w:val="003C1D41"/>
    <w:rsid w:val="003D37D8"/>
    <w:rsid w:val="003D4715"/>
    <w:rsid w:val="003E2BFC"/>
    <w:rsid w:val="003F70AB"/>
    <w:rsid w:val="00410A33"/>
    <w:rsid w:val="00422AD1"/>
    <w:rsid w:val="00426133"/>
    <w:rsid w:val="00431C9E"/>
    <w:rsid w:val="004349C0"/>
    <w:rsid w:val="004358AB"/>
    <w:rsid w:val="00443E90"/>
    <w:rsid w:val="00450005"/>
    <w:rsid w:val="00450C77"/>
    <w:rsid w:val="0045680A"/>
    <w:rsid w:val="00471A3B"/>
    <w:rsid w:val="004749F0"/>
    <w:rsid w:val="00476C3B"/>
    <w:rsid w:val="0049140E"/>
    <w:rsid w:val="004950F4"/>
    <w:rsid w:val="00496E4F"/>
    <w:rsid w:val="004C175A"/>
    <w:rsid w:val="004F3F6B"/>
    <w:rsid w:val="00510995"/>
    <w:rsid w:val="005168C5"/>
    <w:rsid w:val="005218F6"/>
    <w:rsid w:val="00523BDD"/>
    <w:rsid w:val="0052515C"/>
    <w:rsid w:val="00530F2D"/>
    <w:rsid w:val="00536DF2"/>
    <w:rsid w:val="00543584"/>
    <w:rsid w:val="00543782"/>
    <w:rsid w:val="0055369F"/>
    <w:rsid w:val="0056630E"/>
    <w:rsid w:val="00566FD9"/>
    <w:rsid w:val="00567122"/>
    <w:rsid w:val="00577BF0"/>
    <w:rsid w:val="005902E6"/>
    <w:rsid w:val="005B1774"/>
    <w:rsid w:val="005B38B5"/>
    <w:rsid w:val="005B45CF"/>
    <w:rsid w:val="005C155D"/>
    <w:rsid w:val="005C31E9"/>
    <w:rsid w:val="005D072F"/>
    <w:rsid w:val="005E27BB"/>
    <w:rsid w:val="005F2B78"/>
    <w:rsid w:val="00606205"/>
    <w:rsid w:val="00607EC0"/>
    <w:rsid w:val="00610019"/>
    <w:rsid w:val="006110FC"/>
    <w:rsid w:val="00611544"/>
    <w:rsid w:val="006128D5"/>
    <w:rsid w:val="006148C9"/>
    <w:rsid w:val="0061606F"/>
    <w:rsid w:val="006170B5"/>
    <w:rsid w:val="006214F4"/>
    <w:rsid w:val="00642C20"/>
    <w:rsid w:val="00677D5A"/>
    <w:rsid w:val="0068015B"/>
    <w:rsid w:val="006A4477"/>
    <w:rsid w:val="006C44CC"/>
    <w:rsid w:val="006C68D5"/>
    <w:rsid w:val="006F7856"/>
    <w:rsid w:val="00701C74"/>
    <w:rsid w:val="0070239F"/>
    <w:rsid w:val="00710B34"/>
    <w:rsid w:val="00714309"/>
    <w:rsid w:val="00714B02"/>
    <w:rsid w:val="007248B8"/>
    <w:rsid w:val="0073205A"/>
    <w:rsid w:val="0074046E"/>
    <w:rsid w:val="00740E8C"/>
    <w:rsid w:val="00741563"/>
    <w:rsid w:val="00747E0A"/>
    <w:rsid w:val="00766E00"/>
    <w:rsid w:val="007675CD"/>
    <w:rsid w:val="007745AB"/>
    <w:rsid w:val="00783419"/>
    <w:rsid w:val="007865C9"/>
    <w:rsid w:val="00790B80"/>
    <w:rsid w:val="00793A91"/>
    <w:rsid w:val="00796629"/>
    <w:rsid w:val="007A6260"/>
    <w:rsid w:val="007C44C4"/>
    <w:rsid w:val="007D35F2"/>
    <w:rsid w:val="008201C5"/>
    <w:rsid w:val="00827FB9"/>
    <w:rsid w:val="008445DB"/>
    <w:rsid w:val="008450A8"/>
    <w:rsid w:val="00846546"/>
    <w:rsid w:val="008507C0"/>
    <w:rsid w:val="0085497C"/>
    <w:rsid w:val="00854BCB"/>
    <w:rsid w:val="00867E9B"/>
    <w:rsid w:val="00884835"/>
    <w:rsid w:val="008930CD"/>
    <w:rsid w:val="00893277"/>
    <w:rsid w:val="00895EEF"/>
    <w:rsid w:val="00896839"/>
    <w:rsid w:val="00896D1C"/>
    <w:rsid w:val="00897920"/>
    <w:rsid w:val="008A6AC1"/>
    <w:rsid w:val="008B008A"/>
    <w:rsid w:val="008B4334"/>
    <w:rsid w:val="008B450C"/>
    <w:rsid w:val="008B4E39"/>
    <w:rsid w:val="008B6523"/>
    <w:rsid w:val="008B7726"/>
    <w:rsid w:val="008F2B7A"/>
    <w:rsid w:val="008F5738"/>
    <w:rsid w:val="008F7CA5"/>
    <w:rsid w:val="009039D4"/>
    <w:rsid w:val="00903E35"/>
    <w:rsid w:val="00911DE1"/>
    <w:rsid w:val="00916AFD"/>
    <w:rsid w:val="00946A62"/>
    <w:rsid w:val="00951BFC"/>
    <w:rsid w:val="00953E58"/>
    <w:rsid w:val="0096633A"/>
    <w:rsid w:val="0096677C"/>
    <w:rsid w:val="00971266"/>
    <w:rsid w:val="00985586"/>
    <w:rsid w:val="00986A17"/>
    <w:rsid w:val="00996AC4"/>
    <w:rsid w:val="009A5FF7"/>
    <w:rsid w:val="009A6871"/>
    <w:rsid w:val="009B21F1"/>
    <w:rsid w:val="009B2786"/>
    <w:rsid w:val="009B3C8E"/>
    <w:rsid w:val="009D1D85"/>
    <w:rsid w:val="009E16F2"/>
    <w:rsid w:val="009F6193"/>
    <w:rsid w:val="00A01DF4"/>
    <w:rsid w:val="00A215C9"/>
    <w:rsid w:val="00A30CF8"/>
    <w:rsid w:val="00A34D57"/>
    <w:rsid w:val="00A4169B"/>
    <w:rsid w:val="00A54155"/>
    <w:rsid w:val="00A65280"/>
    <w:rsid w:val="00A6775F"/>
    <w:rsid w:val="00A838DC"/>
    <w:rsid w:val="00A84AE0"/>
    <w:rsid w:val="00A9135E"/>
    <w:rsid w:val="00A9294C"/>
    <w:rsid w:val="00AA23FA"/>
    <w:rsid w:val="00AB6BA4"/>
    <w:rsid w:val="00AC2AB1"/>
    <w:rsid w:val="00AC33B2"/>
    <w:rsid w:val="00AC51A3"/>
    <w:rsid w:val="00AC6774"/>
    <w:rsid w:val="00AD4C9C"/>
    <w:rsid w:val="00AE6487"/>
    <w:rsid w:val="00AF3E9A"/>
    <w:rsid w:val="00B01B88"/>
    <w:rsid w:val="00B02F94"/>
    <w:rsid w:val="00B126A7"/>
    <w:rsid w:val="00B21220"/>
    <w:rsid w:val="00B22801"/>
    <w:rsid w:val="00B24A4C"/>
    <w:rsid w:val="00B27E33"/>
    <w:rsid w:val="00B31B3A"/>
    <w:rsid w:val="00B4326E"/>
    <w:rsid w:val="00B64881"/>
    <w:rsid w:val="00B73241"/>
    <w:rsid w:val="00B73A10"/>
    <w:rsid w:val="00B941A3"/>
    <w:rsid w:val="00B941AB"/>
    <w:rsid w:val="00BA2412"/>
    <w:rsid w:val="00BA4BCB"/>
    <w:rsid w:val="00BC7E2B"/>
    <w:rsid w:val="00BC7E3B"/>
    <w:rsid w:val="00BE351A"/>
    <w:rsid w:val="00C00041"/>
    <w:rsid w:val="00C15704"/>
    <w:rsid w:val="00C17395"/>
    <w:rsid w:val="00C23A87"/>
    <w:rsid w:val="00C468C3"/>
    <w:rsid w:val="00C50B0B"/>
    <w:rsid w:val="00C66A8C"/>
    <w:rsid w:val="00C71423"/>
    <w:rsid w:val="00C73288"/>
    <w:rsid w:val="00C77D66"/>
    <w:rsid w:val="00C934C7"/>
    <w:rsid w:val="00CA70DD"/>
    <w:rsid w:val="00CB16FF"/>
    <w:rsid w:val="00CB29BA"/>
    <w:rsid w:val="00CB2A01"/>
    <w:rsid w:val="00CD21BA"/>
    <w:rsid w:val="00CD328F"/>
    <w:rsid w:val="00CD4295"/>
    <w:rsid w:val="00CD4F0F"/>
    <w:rsid w:val="00CD74BD"/>
    <w:rsid w:val="00CE0BFB"/>
    <w:rsid w:val="00CE0C36"/>
    <w:rsid w:val="00CE411C"/>
    <w:rsid w:val="00CF39DD"/>
    <w:rsid w:val="00CF5224"/>
    <w:rsid w:val="00D0319E"/>
    <w:rsid w:val="00D10241"/>
    <w:rsid w:val="00D20F22"/>
    <w:rsid w:val="00D3062D"/>
    <w:rsid w:val="00D31D50"/>
    <w:rsid w:val="00D42DFD"/>
    <w:rsid w:val="00D476F9"/>
    <w:rsid w:val="00D51249"/>
    <w:rsid w:val="00D5491D"/>
    <w:rsid w:val="00D57726"/>
    <w:rsid w:val="00D67754"/>
    <w:rsid w:val="00D763B7"/>
    <w:rsid w:val="00D80BDE"/>
    <w:rsid w:val="00D871F8"/>
    <w:rsid w:val="00DA521E"/>
    <w:rsid w:val="00DB1998"/>
    <w:rsid w:val="00DB267C"/>
    <w:rsid w:val="00DC08E6"/>
    <w:rsid w:val="00DD1E41"/>
    <w:rsid w:val="00DD52AA"/>
    <w:rsid w:val="00DE145A"/>
    <w:rsid w:val="00DF18D2"/>
    <w:rsid w:val="00E00192"/>
    <w:rsid w:val="00E05633"/>
    <w:rsid w:val="00E210A0"/>
    <w:rsid w:val="00E328E5"/>
    <w:rsid w:val="00E342C9"/>
    <w:rsid w:val="00E4613A"/>
    <w:rsid w:val="00E51943"/>
    <w:rsid w:val="00E65FB9"/>
    <w:rsid w:val="00E773E2"/>
    <w:rsid w:val="00E774C6"/>
    <w:rsid w:val="00E807D3"/>
    <w:rsid w:val="00E86AD3"/>
    <w:rsid w:val="00E92031"/>
    <w:rsid w:val="00EA1489"/>
    <w:rsid w:val="00EB3586"/>
    <w:rsid w:val="00EC780B"/>
    <w:rsid w:val="00EE0CF8"/>
    <w:rsid w:val="00EE50F7"/>
    <w:rsid w:val="00EF21FB"/>
    <w:rsid w:val="00EF297D"/>
    <w:rsid w:val="00EF3251"/>
    <w:rsid w:val="00EF76FE"/>
    <w:rsid w:val="00F04234"/>
    <w:rsid w:val="00F21AAA"/>
    <w:rsid w:val="00F234C6"/>
    <w:rsid w:val="00F24E77"/>
    <w:rsid w:val="00F634A7"/>
    <w:rsid w:val="00F7443F"/>
    <w:rsid w:val="00F805F0"/>
    <w:rsid w:val="00F94858"/>
    <w:rsid w:val="00F94E57"/>
    <w:rsid w:val="00F957A8"/>
    <w:rsid w:val="00F96EC9"/>
    <w:rsid w:val="00FA233C"/>
    <w:rsid w:val="00FA792A"/>
    <w:rsid w:val="00FB39AB"/>
    <w:rsid w:val="00FC1CBF"/>
    <w:rsid w:val="00FC73A4"/>
    <w:rsid w:val="00FD35EB"/>
    <w:rsid w:val="00FE0475"/>
    <w:rsid w:val="00FE20C6"/>
    <w:rsid w:val="00FF0EB4"/>
    <w:rsid w:val="00FF24E9"/>
    <w:rsid w:val="00FF62DB"/>
    <w:rsid w:val="09FF56E8"/>
    <w:rsid w:val="11E470A0"/>
    <w:rsid w:val="1BFE5F7A"/>
    <w:rsid w:val="1C4E296B"/>
    <w:rsid w:val="2098669A"/>
    <w:rsid w:val="262E24B2"/>
    <w:rsid w:val="2751350E"/>
    <w:rsid w:val="2C680FE8"/>
    <w:rsid w:val="2FA80071"/>
    <w:rsid w:val="305D7175"/>
    <w:rsid w:val="37D92952"/>
    <w:rsid w:val="383D39DE"/>
    <w:rsid w:val="437A0EFD"/>
    <w:rsid w:val="47CB0A40"/>
    <w:rsid w:val="52C1180B"/>
    <w:rsid w:val="569A1942"/>
    <w:rsid w:val="573E6F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7"/>
    <w:qFormat/>
    <w:uiPriority w:val="1"/>
    <w:pPr>
      <w:widowControl w:val="0"/>
      <w:autoSpaceDE w:val="0"/>
      <w:autoSpaceDN w:val="0"/>
      <w:snapToGrid/>
      <w:spacing w:before="162" w:after="0"/>
      <w:ind w:left="120"/>
    </w:pPr>
    <w:rPr>
      <w:rFonts w:ascii="宋体" w:hAnsi="Times New Roman" w:eastAsia="宋体" w:cs="Times New Roman"/>
      <w:sz w:val="20"/>
      <w:szCs w:val="21"/>
    </w:rPr>
  </w:style>
  <w:style w:type="paragraph" w:styleId="3">
    <w:name w:val="Balloon Text"/>
    <w:basedOn w:val="1"/>
    <w:link w:val="15"/>
    <w:semiHidden/>
    <w:unhideWhenUsed/>
    <w:qFormat/>
    <w:uiPriority w:val="99"/>
    <w:pPr>
      <w:spacing w:after="0"/>
    </w:pPr>
    <w:rPr>
      <w:sz w:val="18"/>
      <w:szCs w:val="18"/>
    </w:rPr>
  </w:style>
  <w:style w:type="paragraph" w:styleId="4">
    <w:name w:val="footer"/>
    <w:basedOn w:val="1"/>
    <w:link w:val="13"/>
    <w:unhideWhenUsed/>
    <w:uiPriority w:val="99"/>
    <w:pPr>
      <w:tabs>
        <w:tab w:val="center" w:pos="4153"/>
        <w:tab w:val="right" w:pos="8306"/>
      </w:tabs>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table" w:styleId="8">
    <w:name w:val="Table Grid"/>
    <w:basedOn w:val="7"/>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semiHidden/>
    <w:unhideWhenUsed/>
    <w:qFormat/>
    <w:uiPriority w:val="99"/>
    <w:rPr>
      <w:color w:val="0000FF"/>
      <w:u w:val="single"/>
    </w:rPr>
  </w:style>
  <w:style w:type="character" w:customStyle="1" w:styleId="12">
    <w:name w:val="页眉 Char"/>
    <w:basedOn w:val="9"/>
    <w:link w:val="5"/>
    <w:qFormat/>
    <w:uiPriority w:val="99"/>
    <w:rPr>
      <w:rFonts w:ascii="Tahoma" w:hAnsi="Tahoma"/>
      <w:sz w:val="18"/>
      <w:szCs w:val="18"/>
    </w:rPr>
  </w:style>
  <w:style w:type="character" w:customStyle="1" w:styleId="13">
    <w:name w:val="页脚 Char"/>
    <w:basedOn w:val="9"/>
    <w:link w:val="4"/>
    <w:qFormat/>
    <w:uiPriority w:val="99"/>
    <w:rPr>
      <w:rFonts w:ascii="Tahoma" w:hAnsi="Tahoma"/>
      <w:sz w:val="18"/>
      <w:szCs w:val="18"/>
    </w:rPr>
  </w:style>
  <w:style w:type="character" w:customStyle="1" w:styleId="14">
    <w:name w:val="apple-converted-space"/>
    <w:basedOn w:val="9"/>
    <w:qFormat/>
    <w:uiPriority w:val="0"/>
  </w:style>
  <w:style w:type="character" w:customStyle="1" w:styleId="15">
    <w:name w:val="批注框文本 Char"/>
    <w:basedOn w:val="9"/>
    <w:link w:val="3"/>
    <w:semiHidden/>
    <w:qFormat/>
    <w:uiPriority w:val="99"/>
    <w:rPr>
      <w:rFonts w:ascii="Tahoma" w:hAnsi="Tahoma"/>
      <w:sz w:val="18"/>
      <w:szCs w:val="18"/>
    </w:rPr>
  </w:style>
  <w:style w:type="paragraph" w:customStyle="1" w:styleId="16">
    <w:name w:val="Table Paragraph"/>
    <w:basedOn w:val="1"/>
    <w:qFormat/>
    <w:uiPriority w:val="1"/>
    <w:pPr>
      <w:widowControl w:val="0"/>
      <w:autoSpaceDE w:val="0"/>
      <w:autoSpaceDN w:val="0"/>
      <w:snapToGrid/>
      <w:spacing w:after="0"/>
    </w:pPr>
    <w:rPr>
      <w:rFonts w:ascii="Times New Roman" w:hAnsi="Times New Roman" w:eastAsia="宋体" w:cs="Times New Roman"/>
      <w:sz w:val="24"/>
      <w:szCs w:val="24"/>
    </w:rPr>
  </w:style>
  <w:style w:type="character" w:customStyle="1" w:styleId="17">
    <w:name w:val="正文文本 Char"/>
    <w:basedOn w:val="9"/>
    <w:link w:val="2"/>
    <w:qFormat/>
    <w:uiPriority w:val="1"/>
    <w:rPr>
      <w:rFonts w:ascii="宋体" w:hAnsi="Times New Roman" w:eastAsia="宋体" w:cs="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517</Words>
  <Characters>2947</Characters>
  <Lines>24</Lines>
  <Paragraphs>6</Paragraphs>
  <TotalTime>5</TotalTime>
  <ScaleCrop>false</ScaleCrop>
  <LinksUpToDate>false</LinksUpToDate>
  <CharactersWithSpaces>3458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2021-06-03T04:20:00Z</cp:lastPrinted>
  <dcterms:modified xsi:type="dcterms:W3CDTF">2024-10-31T10:03:15Z</dcterms:modified>
  <cp:revision>313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AF78CD740B7146D9857457DBDC519D48</vt:lpwstr>
  </property>
</Properties>
</file>