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南银理财珠联璧合鑫逸稳三个月57期封闭式公募人民币理财产品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Z7003224000237(投资者可依据该编码在中国理财网www.chinawealth.com.cn查询理财产品相关信息）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A份额：Y80057</w:t>
            </w:r>
          </w:p>
          <w:p>
            <w:pPr>
              <w:spacing w:line="200" w:lineRule="exact"/>
              <w:rPr>
                <w:rFonts w:hint="eastAsia" w:ascii="宋体" w:hAnsi="宋体" w:eastAsia="宋体" w:cs="宋体"/>
                <w:sz w:val="18"/>
              </w:rPr>
            </w:pPr>
            <w:r>
              <w:rPr>
                <w:rFonts w:hint="eastAsia" w:ascii="宋体" w:hAnsi="宋体" w:eastAsia="宋体" w:cs="宋体"/>
                <w:sz w:val="18"/>
                <w:szCs w:val="18"/>
              </w:rPr>
              <w:t>B份额：Y81057</w:t>
            </w:r>
          </w:p>
          <w:p>
            <w:pPr>
              <w:spacing w:line="200" w:lineRule="exact"/>
              <w:rPr>
                <w:rFonts w:hint="eastAsia" w:ascii="宋体" w:hAnsi="宋体" w:eastAsia="宋体" w:cs="宋体"/>
                <w:sz w:val="18"/>
              </w:rPr>
            </w:pPr>
            <w:r>
              <w:rPr>
                <w:rFonts w:hint="eastAsia" w:ascii="宋体" w:hAnsi="宋体" w:eastAsia="宋体" w:cs="宋体"/>
                <w:sz w:val="18"/>
                <w:szCs w:val="18"/>
              </w:rPr>
              <w:t>C份额：Y82057</w:t>
            </w:r>
          </w:p>
          <w:p>
            <w:pPr>
              <w:spacing w:line="200" w:lineRule="exact"/>
              <w:rPr>
                <w:rFonts w:hint="eastAsia" w:ascii="宋体" w:hAnsi="宋体" w:eastAsia="宋体" w:cs="宋体"/>
                <w:sz w:val="18"/>
              </w:rPr>
            </w:pPr>
            <w:r>
              <w:rPr>
                <w:rFonts w:hint="eastAsia" w:ascii="宋体" w:hAnsi="宋体" w:eastAsia="宋体" w:cs="宋体"/>
                <w:sz w:val="18"/>
                <w:szCs w:val="18"/>
              </w:rPr>
              <w:t>D份额：Y83057</w:t>
            </w:r>
          </w:p>
          <w:p>
            <w:pPr>
              <w:spacing w:line="200" w:lineRule="exact"/>
              <w:rPr>
                <w:rFonts w:hint="eastAsia" w:ascii="宋体" w:hAnsi="宋体" w:eastAsia="宋体" w:cs="宋体"/>
                <w:sz w:val="18"/>
              </w:rPr>
            </w:pPr>
            <w:r>
              <w:rPr>
                <w:rFonts w:hint="eastAsia" w:ascii="宋体" w:hAnsi="宋体" w:eastAsia="宋体" w:cs="宋体"/>
                <w:sz w:val="18"/>
                <w:szCs w:val="18"/>
              </w:rPr>
              <w:t>E份额：Y84057</w:t>
            </w:r>
          </w:p>
          <w:p>
            <w:pPr>
              <w:spacing w:line="200" w:lineRule="exact"/>
              <w:rPr>
                <w:rFonts w:hint="eastAsia" w:ascii="宋体" w:hAnsi="宋体" w:eastAsia="宋体" w:cs="宋体"/>
                <w:sz w:val="18"/>
              </w:rPr>
            </w:pPr>
            <w:r>
              <w:rPr>
                <w:rFonts w:hint="eastAsia" w:ascii="宋体" w:hAnsi="宋体" w:eastAsia="宋体" w:cs="宋体"/>
                <w:sz w:val="18"/>
                <w:szCs w:val="18"/>
              </w:rPr>
              <w:t>F份额：Y85057</w:t>
            </w:r>
          </w:p>
          <w:p>
            <w:pPr>
              <w:spacing w:line="200" w:lineRule="exact"/>
              <w:rPr>
                <w:rFonts w:hint="eastAsia" w:ascii="宋体" w:hAnsi="宋体" w:eastAsia="宋体" w:cs="宋体"/>
                <w:sz w:val="18"/>
              </w:rPr>
            </w:pPr>
            <w:r>
              <w:rPr>
                <w:rFonts w:hint="eastAsia" w:ascii="宋体" w:hAnsi="宋体" w:eastAsia="宋体" w:cs="宋体"/>
                <w:sz w:val="18"/>
                <w:szCs w:val="18"/>
              </w:rPr>
              <w:t>G份额：Y86057</w:t>
            </w:r>
          </w:p>
          <w:p>
            <w:pPr>
              <w:spacing w:line="200" w:lineRule="exact"/>
              <w:rPr>
                <w:rFonts w:hint="eastAsia" w:ascii="宋体" w:hAnsi="宋体" w:eastAsia="宋体" w:cs="宋体"/>
                <w:sz w:val="18"/>
              </w:rPr>
            </w:pPr>
            <w:r>
              <w:rPr>
                <w:rFonts w:hint="eastAsia" w:ascii="宋体" w:hAnsi="宋体" w:eastAsia="宋体" w:cs="宋体"/>
                <w:sz w:val="18"/>
                <w:szCs w:val="18"/>
              </w:rPr>
              <w:t>H份额：Y87057</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A份额：除B、C、D、E、F、G、H份额以外的所有客户（详见“销售机构”条款）。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大众客群）、温州银行股份有限公司、汉口银行股份有限公司（20万元起购）、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天津农村商业银行股份有限公司（社保卡专项客户）、云南红塔银行股份有限公司（普客）、兴业银行股份有限公司、江苏如皋农村商业银行股份有限公司（代发客户）。</w:t>
            </w:r>
          </w:p>
          <w:p>
            <w:pPr>
              <w:spacing w:line="200" w:lineRule="exact"/>
              <w:rPr>
                <w:rFonts w:hint="eastAsia" w:ascii="宋体" w:hAnsi="宋体" w:eastAsia="宋体" w:cs="宋体"/>
                <w:sz w:val="18"/>
              </w:rPr>
            </w:pPr>
            <w:r>
              <w:rPr>
                <w:rFonts w:hint="eastAsia" w:ascii="宋体" w:hAnsi="宋体" w:eastAsia="宋体" w:cs="宋体"/>
                <w:sz w:val="18"/>
                <w:szCs w:val="18"/>
              </w:rPr>
              <w:t>C份额：南京银行股份有限公司（新客户、新资金（5万）客户）、青岛银行股份有限公司、江苏张家港农村商业银行股份有限公司、烟台银行股份有限公司、河北银行股份有限公司（10万以上客户）、郑州银行股份有限公司、苏州银行股份有限公司（零售专项客群）、日照银行股份有限公司（特邀客户）、天津农村商业银行股份有限公司（社保卡专项客户）、云南红塔银行股份有限公司（新客）、兰州银行股份有限公司、甘肃银行股份有限公司、桂林银行股份有限公司（普通客户）、宁波通商银行股份有限公司（对公专项客户）、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D份额：南京银行股份有限公司（金卡（不含）以下级别客户）、苏州银行股份有限公司（对公客群）、宁波通商股份有限公司（专项客户）、江苏扬州农村商业银行股份有限公司（新客）。</w:t>
            </w:r>
          </w:p>
          <w:p>
            <w:pPr>
              <w:spacing w:line="200" w:lineRule="exact"/>
              <w:rPr>
                <w:rFonts w:hint="eastAsia" w:ascii="宋体" w:hAnsi="宋体" w:eastAsia="宋体" w:cs="宋体"/>
                <w:sz w:val="18"/>
              </w:rPr>
            </w:pPr>
            <w:r>
              <w:rPr>
                <w:rFonts w:hint="eastAsia" w:ascii="宋体" w:hAnsi="宋体" w:eastAsia="宋体" w:cs="宋体"/>
                <w:sz w:val="18"/>
                <w:szCs w:val="18"/>
              </w:rPr>
              <w:t>E份额：南京银行股份有限公司特邀客户。</w:t>
            </w:r>
          </w:p>
          <w:p>
            <w:pPr>
              <w:spacing w:line="200" w:lineRule="exact"/>
              <w:rPr>
                <w:rFonts w:hint="eastAsia" w:ascii="宋体" w:hAnsi="宋体" w:eastAsia="宋体" w:cs="宋体"/>
                <w:sz w:val="18"/>
              </w:rPr>
            </w:pPr>
            <w:r>
              <w:rPr>
                <w:rFonts w:hint="eastAsia" w:ascii="宋体" w:hAnsi="宋体" w:eastAsia="宋体" w:cs="宋体"/>
                <w:sz w:val="18"/>
                <w:szCs w:val="18"/>
              </w:rPr>
              <w:t>F份额：桂林银行股份有限公司（社保卡专项客户）。</w:t>
            </w:r>
          </w:p>
          <w:p>
            <w:pPr>
              <w:spacing w:line="200" w:lineRule="exact"/>
              <w:rPr>
                <w:rFonts w:hint="eastAsia" w:ascii="宋体" w:hAnsi="宋体" w:eastAsia="宋体" w:cs="宋体"/>
                <w:sz w:val="18"/>
              </w:rPr>
            </w:pPr>
            <w:r>
              <w:rPr>
                <w:rFonts w:hint="eastAsia" w:ascii="宋体" w:hAnsi="宋体" w:eastAsia="宋体" w:cs="宋体"/>
                <w:sz w:val="18"/>
                <w:szCs w:val="18"/>
              </w:rPr>
              <w:t>G份额：河北银行股份有限公司（分行专供）。</w:t>
            </w:r>
          </w:p>
          <w:p>
            <w:pPr>
              <w:spacing w:line="200" w:lineRule="exact"/>
              <w:rPr>
                <w:rFonts w:hint="eastAsia" w:ascii="宋体" w:hAnsi="宋体" w:eastAsia="宋体" w:cs="宋体"/>
                <w:sz w:val="18"/>
              </w:rPr>
            </w:pPr>
            <w:r>
              <w:rPr>
                <w:rFonts w:hint="eastAsia" w:ascii="宋体" w:hAnsi="宋体" w:eastAsia="宋体" w:cs="宋体"/>
                <w:sz w:val="18"/>
                <w:szCs w:val="18"/>
              </w:rPr>
              <w:t>H份额：交通银行股份有限公司。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南京银行股份有限公司特邀客户：</w:t>
            </w:r>
            <w:r>
              <w:rPr>
                <w:rFonts w:hint="eastAsia" w:ascii="宋体" w:hAnsi="宋体" w:eastAsia="宋体" w:cs="宋体"/>
                <w:sz w:val="18"/>
                <w:szCs w:val="18"/>
              </w:rPr>
              <w:t>是指单笔金额1000万起的特邀公司类客户。</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南京银行股份有限公司新客</w:t>
            </w:r>
            <w:r>
              <w:rPr>
                <w:rFonts w:hint="eastAsia" w:ascii="宋体" w:hAnsi="宋体" w:eastAsia="宋体" w:cs="宋体"/>
                <w:sz w:val="18"/>
                <w:szCs w:val="18"/>
              </w:rPr>
              <w:t>是指2024年理财年日均余额为0的客户。</w:t>
            </w:r>
            <w:r>
              <w:rPr>
                <w:rFonts w:hint="eastAsia" w:ascii="宋体" w:hAnsi="宋体" w:eastAsia="宋体" w:cs="宋体"/>
                <w:b/>
                <w:sz w:val="18"/>
                <w:szCs w:val="18"/>
              </w:rPr>
              <w:t>新资金（5万）</w:t>
            </w:r>
            <w:r>
              <w:rPr>
                <w:rFonts w:hint="eastAsia" w:ascii="宋体" w:hAnsi="宋体" w:eastAsia="宋体" w:cs="宋体"/>
                <w:sz w:val="18"/>
                <w:szCs w:val="18"/>
              </w:rPr>
              <w:t>是指金融资产余额较上月月日均增长5万元及以上的客户。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A份额/B份额/C份额/D份额/F份额/G份额/H份额：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E份额：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机构投资者投资起点金额100万元人民币，以1元的整数倍递增；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A份额/B份额/C份额/D份额/F份额/G份额/H份额：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rPr>
                <w:rFonts w:hint="eastAsia" w:ascii="宋体" w:hAnsi="宋体" w:eastAsia="宋体" w:cs="宋体"/>
                <w:sz w:val="18"/>
              </w:rPr>
            </w:pPr>
            <w:r>
              <w:rPr>
                <w:rFonts w:hint="eastAsia" w:ascii="宋体" w:hAnsi="宋体" w:eastAsia="宋体" w:cs="宋体"/>
                <w:sz w:val="18"/>
                <w:szCs w:val="18"/>
              </w:rPr>
              <w:t>E份额：</w:t>
            </w:r>
          </w:p>
          <w:p>
            <w:pPr>
              <w:spacing w:line="200" w:lineRule="exact"/>
              <w:rPr>
                <w:rFonts w:hint="eastAsia" w:ascii="宋体" w:hAnsi="宋体" w:eastAsia="宋体" w:cs="宋体"/>
                <w:sz w:val="18"/>
              </w:rPr>
            </w:pPr>
            <w:r>
              <w:rPr>
                <w:rFonts w:hint="eastAsia" w:ascii="宋体" w:hAnsi="宋体" w:eastAsia="宋体" w:cs="宋体"/>
                <w:sz w:val="18"/>
                <w:szCs w:val="18"/>
              </w:rPr>
              <w:t>机构投资者：单个投资者持有金额上限3亿；</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2024年11月06日 09:00—2024年11月12日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2024年11月13日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2024年11月13日—实际到期日（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2025年02月20日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B份额：业绩比较基准为2.7%(年化)。</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C份额：业绩比较基准为2.8%(年化)。</w:t>
            </w:r>
          </w:p>
          <w:p>
            <w:pPr>
              <w:spacing w:line="200" w:lineRule="exact"/>
              <w:rPr>
                <w:rFonts w:hint="eastAsia" w:ascii="宋体" w:hAnsi="宋体" w:eastAsia="宋体" w:cs="宋体"/>
                <w:sz w:val="18"/>
              </w:rPr>
            </w:pPr>
            <w:r>
              <w:rPr>
                <w:rFonts w:hint="eastAsia" w:ascii="宋体" w:hAnsi="宋体" w:eastAsia="宋体" w:cs="宋体"/>
                <w:sz w:val="18"/>
                <w:szCs w:val="18"/>
              </w:rPr>
              <w:t>D份额：业绩比较基准为2.9%(年化)。</w:t>
            </w:r>
          </w:p>
          <w:p>
            <w:pPr>
              <w:spacing w:line="200" w:lineRule="exact"/>
              <w:rPr>
                <w:rFonts w:hint="eastAsia" w:ascii="宋体" w:hAnsi="宋体" w:eastAsia="宋体" w:cs="宋体"/>
                <w:sz w:val="18"/>
              </w:rPr>
            </w:pPr>
            <w:r>
              <w:rPr>
                <w:rFonts w:hint="eastAsia" w:ascii="宋体" w:hAnsi="宋体" w:eastAsia="宋体" w:cs="宋体"/>
                <w:sz w:val="18"/>
                <w:szCs w:val="18"/>
              </w:rPr>
              <w:t>E份额：业绩比较基准为2.8%(年化)。</w:t>
            </w:r>
          </w:p>
          <w:p>
            <w:pPr>
              <w:spacing w:line="200" w:lineRule="exact"/>
              <w:rPr>
                <w:rFonts w:hint="eastAsia" w:ascii="宋体" w:hAnsi="宋体" w:eastAsia="宋体" w:cs="宋体"/>
                <w:sz w:val="18"/>
              </w:rPr>
            </w:pPr>
            <w:r>
              <w:rPr>
                <w:rFonts w:hint="eastAsia" w:ascii="宋体" w:hAnsi="宋体" w:eastAsia="宋体" w:cs="宋体"/>
                <w:sz w:val="18"/>
                <w:szCs w:val="18"/>
              </w:rPr>
              <w:t>F份额：业绩比较基准为2.75%(年化)。</w:t>
            </w:r>
          </w:p>
          <w:p>
            <w:pPr>
              <w:spacing w:line="200" w:lineRule="exact"/>
              <w:rPr>
                <w:rFonts w:hint="eastAsia" w:ascii="宋体" w:hAnsi="宋体" w:eastAsia="宋体" w:cs="宋体"/>
                <w:sz w:val="18"/>
              </w:rPr>
            </w:pPr>
            <w:r>
              <w:rPr>
                <w:rFonts w:hint="eastAsia" w:ascii="宋体" w:hAnsi="宋体" w:eastAsia="宋体" w:cs="宋体"/>
                <w:sz w:val="18"/>
                <w:szCs w:val="18"/>
              </w:rPr>
              <w:t>G份额：业绩比较基准为2.75%(年化)。</w:t>
            </w:r>
          </w:p>
          <w:p>
            <w:pPr>
              <w:spacing w:line="200" w:lineRule="exact"/>
              <w:rPr>
                <w:rFonts w:hint="eastAsia" w:ascii="宋体" w:hAnsi="宋体" w:eastAsia="宋体" w:cs="宋体"/>
                <w:sz w:val="18"/>
              </w:rPr>
            </w:pPr>
            <w:r>
              <w:rPr>
                <w:rFonts w:hint="eastAsia" w:ascii="宋体" w:hAnsi="宋体" w:eastAsia="宋体" w:cs="宋体"/>
                <w:sz w:val="18"/>
                <w:szCs w:val="18"/>
              </w:rPr>
              <w:t>H份额：业绩比较基准为2.6%(年化)。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C份额：销售费年化0.1%</w:t>
            </w:r>
          </w:p>
          <w:p>
            <w:pPr>
              <w:spacing w:line="200" w:lineRule="exact"/>
              <w:rPr>
                <w:rFonts w:hint="eastAsia" w:ascii="宋体" w:hAnsi="宋体" w:eastAsia="宋体" w:cs="宋体"/>
                <w:sz w:val="18"/>
              </w:rPr>
            </w:pPr>
            <w:r>
              <w:rPr>
                <w:rFonts w:hint="eastAsia" w:ascii="宋体" w:hAnsi="宋体" w:eastAsia="宋体" w:cs="宋体"/>
                <w:b/>
                <w:sz w:val="18"/>
                <w:szCs w:val="18"/>
              </w:rPr>
              <w:t>D份额：销售费年化0%</w:t>
            </w:r>
          </w:p>
          <w:p>
            <w:pPr>
              <w:spacing w:line="200" w:lineRule="exact"/>
              <w:rPr>
                <w:rFonts w:hint="eastAsia" w:ascii="宋体" w:hAnsi="宋体" w:eastAsia="宋体" w:cs="宋体"/>
                <w:sz w:val="18"/>
              </w:rPr>
            </w:pPr>
            <w:r>
              <w:rPr>
                <w:rFonts w:hint="eastAsia" w:ascii="宋体" w:hAnsi="宋体" w:eastAsia="宋体" w:cs="宋体"/>
                <w:b/>
                <w:sz w:val="18"/>
                <w:szCs w:val="18"/>
              </w:rPr>
              <w:t>E份额：销售费年化0.1%</w:t>
            </w:r>
          </w:p>
          <w:p>
            <w:pPr>
              <w:spacing w:line="200" w:lineRule="exact"/>
              <w:rPr>
                <w:rFonts w:hint="eastAsia" w:ascii="宋体" w:hAnsi="宋体" w:eastAsia="宋体" w:cs="宋体"/>
                <w:sz w:val="18"/>
              </w:rPr>
            </w:pPr>
            <w:r>
              <w:rPr>
                <w:rFonts w:hint="eastAsia" w:ascii="宋体" w:hAnsi="宋体" w:eastAsia="宋体" w:cs="宋体"/>
                <w:b/>
                <w:sz w:val="18"/>
                <w:szCs w:val="18"/>
              </w:rPr>
              <w:t>F份额：销售费年化0.15%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G份额：销售费年化0.15%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H份额：销售费年化0.3%</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D份额：固定管理费年化0.1%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E份额：固定管理费年化0.1%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F份额：固定管理费年化0.1%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G份额：固定管理费年化0.1%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H份额：固定管理费年化0.01%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B份额：到期兑付时，当期产品投资的实际资产组合收益（扣除销售费、固定管理费、托管费等相关费用）超过2.7%（年化，即产品该份额对应的业绩报酬计提基准）时，超过部分管理人将按60%收取业绩报酬。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C份额：到期兑付时，当期产品投资的实际资产组合收益（扣除销售费、固定管理费、托管费等相关费用）超过2.8%（年化，即产品该份额对应的业绩报酬计提基准）时，超过部分管理人将按60%收取业绩报酬。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D份额：到期兑付时，当期产品投资的实际资产组合收益（扣除销售费、固定管理费、托管费等相关费用）超过2.9%（年化，即产品该份额对应的业绩报酬计提基准）时，超过部分管理人将按60%收取业绩报酬。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E份额：到期兑付时，当期产品投资的实际资产组合收益（扣除销售费、固定管理费、托管费等相关费用）超过2.8%（年化，即产品该份额对应的业绩报酬计提基准）时，超过部分管理人将按60%收取业绩报酬。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F份额：到期兑付时，当期产品投资的实际资产组合收益（扣除销售费、固定管理费、托管费等相关费用）超过2.75%（年化，即产品该份额对应的业绩报酬计提基准）时，超过部分管理人将按60%收取业绩报酬。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G份额：到期兑付时，当期产品投资的实际资产组合收益（扣除销售费、固定管理费、托管费等相关费用）超过2.75%（年化，即产品该份额对应的业绩报酬计提基准）时，超过部分管理人将按60%收取业绩报酬。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H份额：到期兑付时，当期产品投资的实际资产组合收益（扣除销售费、固定管理费、托管费等相关费用）超过2.6%（年化，即产品该份额对应的业绩报酬计提基准）时，超过部分管理人将按60%收取业绩报酬。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长沙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中粮信托有限责任公司成立于2009年07月27日，注册资本金28.3亿元。</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南银理财珠联璧合鑫逸稳三个月57期封闭式公募人民币理财产品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2D90168"/>
    <w:rsid w:val="29E450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qFormat/>
    <w:uiPriority w:val="0"/>
    <w:rPr>
      <w:b/>
    </w:rPr>
  </w:style>
  <w:style w:type="paragraph" w:customStyle="1" w:styleId="15">
    <w:name w:val="Normalff46c2f4"/>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8fd9f46"/>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368ddfdd"/>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0b05f7f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f771c28"/>
    <w:qFormat/>
    <w:uiPriority w:val="0"/>
  </w:style>
  <w:style w:type="paragraph" w:customStyle="1" w:styleId="20">
    <w:name w:val="toc 16dcccddb"/>
    <w:basedOn w:val="15"/>
    <w:next w:val="1"/>
    <w:qFormat/>
    <w:uiPriority w:val="0"/>
  </w:style>
  <w:style w:type="paragraph" w:customStyle="1" w:styleId="21">
    <w:name w:val="toc 2fef60297"/>
    <w:basedOn w:val="15"/>
    <w:next w:val="1"/>
    <w:qFormat/>
    <w:uiPriority w:val="0"/>
    <w:pPr>
      <w:ind w:left="420"/>
    </w:pPr>
  </w:style>
  <w:style w:type="paragraph" w:customStyle="1" w:styleId="22">
    <w:name w:val="toc 3c7761436"/>
    <w:basedOn w:val="15"/>
    <w:next w:val="1"/>
    <w:uiPriority w:val="0"/>
    <w:pPr>
      <w:ind w:left="840"/>
    </w:pPr>
  </w:style>
  <w:style w:type="paragraph" w:customStyle="1" w:styleId="23">
    <w:name w:val="toc 48fa058b1"/>
    <w:basedOn w:val="15"/>
    <w:next w:val="1"/>
    <w:uiPriority w:val="0"/>
    <w:pPr>
      <w:ind w:left="1260"/>
    </w:pPr>
  </w:style>
  <w:style w:type="paragraph" w:customStyle="1" w:styleId="24">
    <w:name w:val="toc 53082e10e"/>
    <w:basedOn w:val="15"/>
    <w:next w:val="1"/>
    <w:uiPriority w:val="0"/>
    <w:pPr>
      <w:ind w:left="1680"/>
    </w:pPr>
  </w:style>
  <w:style w:type="paragraph" w:customStyle="1" w:styleId="25">
    <w:name w:val="header80122b94"/>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aca19668"/>
    <w:basedOn w:val="15"/>
    <w:uiPriority w:val="0"/>
    <w:pPr>
      <w:tabs>
        <w:tab w:val="center" w:pos="4153"/>
        <w:tab w:val="right" w:pos="8307"/>
      </w:tabs>
      <w:adjustRightInd/>
      <w:snapToGrid w:val="0"/>
      <w:contextualSpacing w:val="0"/>
      <w:jc w:val="left"/>
    </w:pPr>
    <w:rPr>
      <w:sz w:val="18"/>
    </w:rPr>
  </w:style>
  <w:style w:type="character" w:customStyle="1" w:styleId="27">
    <w:name w:val="Strongc73203c4"/>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c70973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8105baaf"/>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58095201"/>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c75df6d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03097c0e"/>
    <w:qFormat/>
    <w:uiPriority w:val="0"/>
  </w:style>
  <w:style w:type="paragraph" w:customStyle="1" w:styleId="34">
    <w:name w:val="Normal Indentb8d05395"/>
    <w:basedOn w:val="29"/>
    <w:uiPriority w:val="0"/>
    <w:pPr>
      <w:ind w:firstLine="200" w:firstLineChars="200"/>
    </w:pPr>
  </w:style>
  <w:style w:type="paragraph" w:customStyle="1" w:styleId="35">
    <w:name w:val="toc 50705ed59"/>
    <w:basedOn w:val="29"/>
    <w:next w:val="1"/>
    <w:uiPriority w:val="0"/>
    <w:pPr>
      <w:ind w:left="1680"/>
    </w:pPr>
  </w:style>
  <w:style w:type="paragraph" w:customStyle="1" w:styleId="36">
    <w:name w:val="toc 340eb5169"/>
    <w:basedOn w:val="29"/>
    <w:next w:val="1"/>
    <w:uiPriority w:val="0"/>
    <w:pPr>
      <w:ind w:left="840"/>
    </w:pPr>
  </w:style>
  <w:style w:type="paragraph" w:customStyle="1" w:styleId="37">
    <w:name w:val="footerd04da769"/>
    <w:basedOn w:val="29"/>
    <w:uiPriority w:val="0"/>
    <w:pPr>
      <w:tabs>
        <w:tab w:val="center" w:pos="4153"/>
        <w:tab w:val="right" w:pos="8307"/>
      </w:tabs>
      <w:adjustRightInd/>
      <w:snapToGrid w:val="0"/>
      <w:contextualSpacing w:val="0"/>
      <w:jc w:val="left"/>
    </w:pPr>
    <w:rPr>
      <w:sz w:val="18"/>
    </w:rPr>
  </w:style>
  <w:style w:type="paragraph" w:customStyle="1" w:styleId="38">
    <w:name w:val="header6aa8bf7b"/>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41915ea"/>
    <w:basedOn w:val="29"/>
    <w:next w:val="1"/>
    <w:uiPriority w:val="0"/>
  </w:style>
  <w:style w:type="paragraph" w:customStyle="1" w:styleId="40">
    <w:name w:val="toc 4be8c5232"/>
    <w:basedOn w:val="29"/>
    <w:next w:val="1"/>
    <w:qFormat/>
    <w:uiPriority w:val="0"/>
    <w:pPr>
      <w:ind w:left="1260"/>
    </w:pPr>
  </w:style>
  <w:style w:type="paragraph" w:customStyle="1" w:styleId="41">
    <w:name w:val="toc 2a2765a59"/>
    <w:basedOn w:val="29"/>
    <w:next w:val="1"/>
    <w:uiPriority w:val="0"/>
    <w:pPr>
      <w:ind w:left="420"/>
    </w:pPr>
  </w:style>
  <w:style w:type="paragraph" w:customStyle="1" w:styleId="42">
    <w:name w:val="Normal (Web)e4e2920a"/>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8b86d8b78b86d8b7"/>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aabc9eb4aabc9eb4"/>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f2464fcbf2464fcb"/>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7350b1167350b116"/>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866ae55b866ae55"/>
    <w:uiPriority w:val="0"/>
  </w:style>
  <w:style w:type="paragraph" w:customStyle="1" w:styleId="49">
    <w:name w:val="引文目录16f54c3f76f54c3f7"/>
    <w:basedOn w:val="44"/>
    <w:next w:val="1"/>
    <w:uiPriority w:val="0"/>
    <w:pPr>
      <w:ind w:left="200" w:leftChars="200"/>
    </w:pPr>
  </w:style>
  <w:style w:type="paragraph" w:customStyle="1" w:styleId="50">
    <w:name w:val="toc 5982c3023982c3023"/>
    <w:basedOn w:val="44"/>
    <w:next w:val="1"/>
    <w:uiPriority w:val="0"/>
    <w:pPr>
      <w:ind w:left="1680"/>
    </w:pPr>
  </w:style>
  <w:style w:type="paragraph" w:customStyle="1" w:styleId="51">
    <w:name w:val="toc 3de94e548de94e548"/>
    <w:basedOn w:val="44"/>
    <w:next w:val="1"/>
    <w:uiPriority w:val="0"/>
    <w:pPr>
      <w:ind w:left="840"/>
    </w:pPr>
  </w:style>
  <w:style w:type="paragraph" w:customStyle="1" w:styleId="52">
    <w:name w:val="footer93f7d16693f7d166"/>
    <w:basedOn w:val="44"/>
    <w:uiPriority w:val="0"/>
    <w:pPr>
      <w:tabs>
        <w:tab w:val="center" w:pos="4153"/>
        <w:tab w:val="right" w:pos="8307"/>
      </w:tabs>
      <w:adjustRightInd/>
      <w:snapToGrid w:val="0"/>
      <w:contextualSpacing w:val="0"/>
      <w:jc w:val="left"/>
    </w:pPr>
    <w:rPr>
      <w:sz w:val="18"/>
    </w:rPr>
  </w:style>
  <w:style w:type="paragraph" w:customStyle="1" w:styleId="53">
    <w:name w:val="headera62333a5a62333a5"/>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95fb6b3595fb6b3"/>
    <w:basedOn w:val="44"/>
    <w:next w:val="1"/>
    <w:uiPriority w:val="0"/>
  </w:style>
  <w:style w:type="paragraph" w:customStyle="1" w:styleId="55">
    <w:name w:val="toc 4e85f3a3ae85f3a3a"/>
    <w:basedOn w:val="44"/>
    <w:next w:val="1"/>
    <w:uiPriority w:val="0"/>
    <w:pPr>
      <w:ind w:left="1260"/>
    </w:pPr>
  </w:style>
  <w:style w:type="paragraph" w:customStyle="1" w:styleId="56">
    <w:name w:val="toc 2699522b4699522b4"/>
    <w:basedOn w:val="44"/>
    <w:next w:val="1"/>
    <w:uiPriority w:val="0"/>
    <w:pPr>
      <w:ind w:left="420"/>
    </w:pPr>
  </w:style>
  <w:style w:type="paragraph" w:customStyle="1" w:styleId="57">
    <w:name w:val="列出段落107115abc07115ab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24210</Words>
  <Characters>24847</Characters>
  <Lines>77</Lines>
  <Paragraphs>27</Paragraphs>
  <TotalTime>9</TotalTime>
  <ScaleCrop>false</ScaleCrop>
  <LinksUpToDate>false</LinksUpToDate>
  <CharactersWithSpaces>25012</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2024-11-04T07:16:49Z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E0C0C9D9B5624CB0929DA9FA49489EDE_13</vt:lpwstr>
  </property>
</Properties>
</file>