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b/>
          <w:bCs/>
          <w:vanish w:val="0"/>
          <w:kern w:val="0"/>
          <w:sz w:val="24"/>
          <w:szCs w:val="24"/>
        </w:rPr>
      </w:pPr>
      <w:r>
        <w:rPr>
          <w:rFonts w:hint="eastAsia" w:ascii="方正黑体_GBK" w:hAnsi="方正黑体_GBK" w:eastAsia="方正黑体_GBK"/>
          <w:b/>
          <w:bCs/>
          <w:vanish w:val="0"/>
          <w:kern w:val="0"/>
          <w:sz w:val="24"/>
          <w:szCs w:val="24"/>
        </w:rPr>
        <w:t>理财产品风险揭示书</w:t>
      </w:r>
    </w:p>
    <w:p>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vanish w:val="0"/>
          <w:color w:val="3D3D3D"/>
          <w:kern w:val="0"/>
          <w:sz w:val="18"/>
          <w:szCs w:val="18"/>
        </w:rPr>
      </w:pP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cs="Times New Roman"/>
          <w:b/>
          <w:bCs/>
          <w:i/>
          <w:iCs/>
          <w:vanish w:val="0"/>
          <w:kern w:val="0"/>
          <w:sz w:val="24"/>
          <w:szCs w:val="24"/>
          <w:u w:val="single"/>
        </w:rPr>
        <w:t>理财非存款、产品有风险、投资须谨慎</w:t>
      </w: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b/>
          <w:bCs/>
          <w:i/>
          <w:iCs/>
          <w:vanish w:val="0"/>
          <w:kern w:val="0"/>
          <w:sz w:val="24"/>
          <w:szCs w:val="24"/>
          <w:u w:val="single"/>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hint="eastAsia" w:ascii="方正黑体_GBK" w:hAnsi="方正黑体_GBK" w:eastAsia="方正黑体_GBK" w:cs="Times New Roman"/>
          <w:b/>
          <w:bCs w:val="0"/>
          <w:vanish w:val="0"/>
          <w:color w:val="3D3D3D"/>
          <w:kern w:val="0"/>
          <w:sz w:val="13"/>
          <w:szCs w:val="13"/>
        </w:rPr>
      </w:pPr>
      <w:r>
        <w:rPr>
          <w:rFonts w:hint="eastAsia" w:ascii="方正黑体_GBK" w:hAnsi="方正黑体_GBK" w:eastAsia="方正黑体_GBK"/>
          <w:b/>
          <w:bCs w:val="0"/>
          <w:vanish w:val="0"/>
          <w:color w:val="3D3D3D"/>
          <w:kern w:val="0"/>
          <w:sz w:val="13"/>
          <w:szCs w:val="13"/>
        </w:rPr>
        <w:t>本理财产品是</w:t>
      </w:r>
      <w:r>
        <w:rPr>
          <w:rFonts w:hint="eastAsia" w:ascii="方正黑体_GBK" w:hAnsi="方正黑体_GBK" w:eastAsia="方正黑体_GBK"/>
          <w:b/>
          <w:bCs w:val="0"/>
          <w:i/>
          <w:iCs/>
          <w:vanish w:val="0"/>
          <w:color w:val="3D3D3D"/>
          <w:kern w:val="0"/>
          <w:sz w:val="20"/>
          <w:szCs w:val="20"/>
          <w:u w:val="single"/>
        </w:rPr>
        <w:t>封闭式、固定收益类、公募、净值型</w:t>
      </w:r>
      <w:r>
        <w:rPr>
          <w:rFonts w:hint="eastAsia" w:ascii="方正黑体_GBK" w:hAnsi="方正黑体_GBK" w:eastAsia="方正黑体_GBK"/>
          <w:b/>
          <w:bCs w:val="0"/>
          <w:vanish w:val="0"/>
          <w:color w:val="3D3D3D"/>
          <w:kern w:val="0"/>
          <w:sz w:val="13"/>
          <w:szCs w:val="13"/>
        </w:rPr>
        <w:t>理财产品，</w:t>
      </w:r>
      <w:r>
        <w:rPr>
          <w:rFonts w:hint="eastAsia" w:ascii="方正黑体_GBK" w:hAnsi="方正黑体_GBK" w:eastAsia="方正黑体_GBK" w:cs="Times New Roman"/>
          <w:b/>
          <w:bCs w:val="0"/>
          <w:i/>
          <w:iCs/>
          <w:vanish w:val="0"/>
          <w:color w:val="3D3D3D"/>
          <w:kern w:val="0"/>
          <w:sz w:val="20"/>
          <w:szCs w:val="20"/>
          <w:u w:val="single"/>
        </w:rPr>
        <w:t>不保证本金和收益</w:t>
      </w:r>
      <w:r>
        <w:rPr>
          <w:rFonts w:hint="eastAsia" w:ascii="方正黑体_GBK" w:hAnsi="方正黑体_GBK" w:eastAsia="方正黑体_GBK"/>
          <w:b/>
          <w:bCs w:val="0"/>
          <w:vanish w:val="0"/>
          <w:color w:val="3D3D3D"/>
          <w:kern w:val="0"/>
          <w:sz w:val="13"/>
          <w:szCs w:val="13"/>
        </w:rPr>
        <w:t>，您（以下或称为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投资者</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）的本金与收益可能会蒙受</w:t>
      </w:r>
      <w:r>
        <w:rPr>
          <w:rFonts w:hint="eastAsia" w:ascii="方正黑体_GBK" w:hAnsi="方正黑体_GBK" w:eastAsia="方正黑体_GBK" w:cs="Times New Roman"/>
          <w:b/>
          <w:bCs w:val="0"/>
          <w:vanish w:val="0"/>
          <w:color w:val="3D3D3D"/>
          <w:kern w:val="0"/>
          <w:sz w:val="13"/>
          <w:szCs w:val="13"/>
        </w:rPr>
        <w:t>全部或部分</w:t>
      </w:r>
      <w:r>
        <w:rPr>
          <w:rFonts w:hint="eastAsia" w:ascii="方正黑体_GBK" w:hAnsi="方正黑体_GBK" w:eastAsia="方正黑体_GBK"/>
          <w:b/>
          <w:bCs w:val="0"/>
          <w:vanish w:val="0"/>
          <w:color w:val="3D3D3D"/>
          <w:kern w:val="0"/>
          <w:sz w:val="13"/>
          <w:szCs w:val="13"/>
        </w:rPr>
        <w:t>损失，</w:t>
      </w:r>
      <w:r>
        <w:rPr>
          <w:rFonts w:hint="eastAsia" w:ascii="方正黑体_GBK" w:hAnsi="方正黑体_GBK" w:eastAsia="方正黑体_GBK" w:cs="Times New Roman"/>
          <w:b/>
          <w:bCs w:val="0"/>
          <w:vanish w:val="0"/>
          <w:color w:val="3D3D3D"/>
          <w:kern w:val="0"/>
          <w:sz w:val="13"/>
          <w:szCs w:val="13"/>
        </w:rPr>
        <w:t>在您选择购买本理财产品前，您应仔细阅读</w:t>
      </w:r>
      <w:r>
        <w:rPr>
          <w:rFonts w:hint="eastAsia" w:ascii="方正黑体_GBK" w:hAnsi="方正黑体_GBK" w:eastAsia="方正黑体_GBK"/>
          <w:b/>
          <w:bCs w:val="0"/>
          <w:vanish w:val="0"/>
          <w:color w:val="3D3D3D"/>
          <w:kern w:val="0"/>
          <w:sz w:val="13"/>
          <w:szCs w:val="13"/>
        </w:rPr>
        <w:t>对应期次的《理财产品风险揭示书》《理财产品说明书》《投资者权益须知》《理财产品销售协议书》</w:t>
      </w:r>
      <w:r>
        <w:rPr>
          <w:rFonts w:hint="eastAsia" w:ascii="方正黑体_GBK" w:hAnsi="方正黑体_GBK" w:eastAsia="方正黑体_GBK" w:cs="Times New Roman"/>
          <w:b/>
          <w:bCs w:val="0"/>
          <w:vanish w:val="0"/>
          <w:color w:val="3D3D3D"/>
          <w:kern w:val="0"/>
          <w:sz w:val="13"/>
          <w:szCs w:val="13"/>
        </w:rPr>
        <w:t>和《理财产品投资协议书》</w:t>
      </w:r>
      <w:r>
        <w:rPr>
          <w:rFonts w:hint="eastAsia" w:ascii="方正黑体_GBK" w:hAnsi="方正黑体_GBK" w:eastAsia="方正黑体_GBK"/>
          <w:b/>
          <w:bCs w:val="0"/>
          <w:vanish w:val="0"/>
          <w:color w:val="3D3D3D"/>
          <w:kern w:val="0"/>
          <w:sz w:val="13"/>
          <w:szCs w:val="13"/>
        </w:rPr>
        <w:t>（以下合称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理财产品销售文件</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，了解本理财产品信息及详细</w:t>
      </w:r>
      <w:r>
        <w:rPr>
          <w:rFonts w:hint="eastAsia" w:ascii="方正黑体_GBK" w:hAnsi="方正黑体_GBK" w:eastAsia="方正黑体_GBK"/>
          <w:b/>
          <w:bCs w:val="0"/>
          <w:vanish w:val="0"/>
          <w:color w:val="3D3D3D"/>
          <w:kern w:val="0"/>
          <w:sz w:val="13"/>
          <w:szCs w:val="13"/>
        </w:rPr>
        <w:t>条款</w:t>
      </w:r>
      <w:r>
        <w:rPr>
          <w:rFonts w:hint="eastAsia" w:ascii="方正黑体_GBK" w:hAnsi="方正黑体_GBK" w:eastAsia="方正黑体_GBK" w:cs="Times New Roman"/>
          <w:b/>
          <w:bCs w:val="0"/>
          <w:vanish w:val="0"/>
          <w:color w:val="3D3D3D"/>
          <w:kern w:val="0"/>
          <w:sz w:val="13"/>
          <w:szCs w:val="13"/>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b/>
          <w:bCs w:val="0"/>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重要提示：</w:t>
      </w:r>
      <w:r>
        <w:rPr>
          <w:rFonts w:hint="eastAsia" w:ascii="方正黑体_GBK" w:hAnsi="方正黑体_GBK" w:eastAsia="方正黑体_GBK"/>
          <w:b/>
          <w:bCs w:val="0"/>
          <w:vanish w:val="0"/>
          <w:color w:val="3D3D3D"/>
          <w:kern w:val="0"/>
          <w:sz w:val="13"/>
          <w:szCs w:val="13"/>
        </w:rPr>
        <w:t>南银理财有限责任公司（以下简称为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南银理财</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、“理财产品管理人”、“产品管理人”或“管理人”</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hint="eastAsia" w:ascii="方正黑体_GBK" w:hAnsi="方正黑体_GBK" w:eastAsia="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hint="eastAsia" w:ascii="方正黑体_GBK" w:hAnsi="方正黑体_GBK" w:eastAsia="方正黑体_GBK" w:cs="Times New Roman"/>
          <w:b/>
          <w:bCs w:val="0"/>
          <w:vanish w:val="0"/>
          <w:color w:val="3D3D3D"/>
          <w:kern w:val="0"/>
          <w:sz w:val="13"/>
          <w:szCs w:val="13"/>
        </w:rPr>
        <w:t>您应该充分认识本理财产品的投资风险，本着</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充分了解风险，自主选择购买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的原则，谨慎决策</w:t>
      </w:r>
      <w:r>
        <w:rPr>
          <w:rFonts w:hint="eastAsia" w:ascii="方正黑体_GBK" w:hAnsi="方正黑体_GBK" w:eastAsia="方正黑体_GBK"/>
          <w:b/>
          <w:bCs w:val="0"/>
          <w:vanish w:val="0"/>
          <w:color w:val="3D3D3D"/>
          <w:kern w:val="0"/>
          <w:sz w:val="13"/>
          <w:szCs w:val="13"/>
        </w:rPr>
        <w:t>，自主决定将合法所有的自有资金用于购买本理财产品。理财产品过往业绩不代表其未来表现，不等于理财产品实际收益，</w:t>
      </w:r>
      <w:r>
        <w:rPr>
          <w:rFonts w:hint="eastAsia" w:ascii="方正黑体_GBK" w:hAnsi="方正黑体_GBK" w:eastAsia="方正黑体_GBK" w:cs="Times New Roman"/>
          <w:b/>
          <w:bCs w:val="0"/>
          <w:vanish w:val="0"/>
          <w:color w:val="3D3D3D"/>
          <w:kern w:val="0"/>
          <w:sz w:val="13"/>
          <w:szCs w:val="13"/>
        </w:rPr>
        <w:t>不构成管理人对理财产品业绩表现的保证，</w:t>
      </w:r>
      <w:r>
        <w:rPr>
          <w:rFonts w:hint="eastAsia" w:ascii="方正黑体_GBK" w:hAnsi="方正黑体_GBK" w:eastAsia="方正黑体_GBK"/>
          <w:b/>
          <w:bCs w:val="0"/>
          <w:vanish w:val="0"/>
          <w:color w:val="3D3D3D"/>
          <w:kern w:val="0"/>
          <w:sz w:val="13"/>
          <w:szCs w:val="13"/>
        </w:rPr>
        <w:t>投资须谨慎</w:t>
      </w:r>
      <w:r>
        <w:rPr>
          <w:rFonts w:hint="eastAsia" w:ascii="方正黑体_GBK" w:hAnsi="方正黑体_GBK" w:eastAsia="方正黑体_GBK" w:cs="Times New Roman"/>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在购买本理财产品后，您应随时关注产品的信息披露情况，及时获取相关信息。</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l="0"/>
          <w:vanish w:val="0"/>
          <w:color w:val="3D3D3D"/>
          <w:kern w:val="0"/>
          <w:sz w:val="13"/>
          <w:szCs w:val="13"/>
        </w:rPr>
        <w:t>本风险揭示书列示的风险指理财产品项下可能涉及的风险，包括但不限于：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第一条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理财产品共性风险提示和管控措施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（一）政策风险：</w:t>
      </w:r>
      <w:r>
        <w:rPr>
          <w:rFonts w:hint="eastAsia" w:ascii="方正黑体_GBK" w:hAnsi="方正黑体_GBK" w:eastAsia="方正黑体_GBK" w:cs="Times New Roman"/>
          <w:vanish w:val="0"/>
          <w:color w:val="3D3D3D"/>
          <w:kern w:val="0"/>
          <w:sz w:val="13"/>
          <w:szCs w:val="13"/>
        </w:rPr>
        <w:t>本</w:t>
      </w:r>
      <w:r>
        <w:rPr>
          <w:rFonts w:hint="eastAsia" w:ascii="方正黑体_GBK" w:hAnsi="方正黑体_GBK" w:eastAsia="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hint="eastAsia" w:ascii="方正黑体_GBK" w:hAnsi="方正黑体_GBK" w:eastAsia="方正黑体_GBK" w:cs="Times New Roman"/>
          <w:vanish w:val="0"/>
          <w:color w:val="3D3D3D"/>
          <w:kern w:val="0"/>
          <w:sz w:val="13"/>
          <w:szCs w:val="13"/>
        </w:rPr>
        <w:t>导致</w:t>
      </w:r>
      <w:r>
        <w:rPr>
          <w:rFonts w:hint="eastAsia" w:ascii="方正黑体_GBK" w:hAnsi="方正黑体_GBK" w:eastAsia="方正黑体_GBK"/>
          <w:vanish w:val="0"/>
          <w:color w:val="3D3D3D"/>
          <w:kern w:val="0"/>
          <w:sz w:val="13"/>
          <w:szCs w:val="13"/>
        </w:rPr>
        <w:t>理财产品的收益降低</w:t>
      </w:r>
      <w:r>
        <w:rPr>
          <w:rFonts w:hint="eastAsia" w:ascii="方正黑体_GBK" w:hAnsi="方正黑体_GBK" w:eastAsia="方正黑体_GBK" w:cs="Times New Roman"/>
          <w:vanish w:val="0"/>
          <w:color w:val="3D3D3D"/>
          <w:kern w:val="0"/>
          <w:sz w:val="13"/>
          <w:szCs w:val="13"/>
        </w:rPr>
        <w:t>或无法取得任何收益</w:t>
      </w:r>
      <w:r>
        <w:rPr>
          <w:rFonts w:hint="eastAsia" w:ascii="方正黑体_GBK" w:hAnsi="方正黑体_GBK" w:eastAsia="方正黑体_GBK"/>
          <w:vanish w:val="0"/>
          <w:color w:val="3D3D3D"/>
          <w:kern w:val="0"/>
          <w:sz w:val="13"/>
          <w:szCs w:val="13"/>
        </w:rPr>
        <w:t>甚至本理财产品的本金遭受</w:t>
      </w:r>
      <w:r>
        <w:rPr>
          <w:rFonts w:hint="eastAsia" w:ascii="方正黑体_GBK" w:hAnsi="方正黑体_GBK" w:eastAsia="方正黑体_GBK" w:cs="Times New Roman"/>
          <w:vanish w:val="0"/>
          <w:color w:val="3D3D3D"/>
          <w:kern w:val="0"/>
          <w:sz w:val="13"/>
          <w:szCs w:val="13"/>
        </w:rPr>
        <w:t>部分或全部</w:t>
      </w:r>
      <w:r>
        <w:rPr>
          <w:rFonts w:hint="eastAsia" w:ascii="方正黑体_GBK" w:hAnsi="方正黑体_GBK" w:eastAsia="方正黑体_GBK"/>
          <w:vanish w:val="0"/>
          <w:color w:val="3D3D3D"/>
          <w:kern w:val="0"/>
          <w:sz w:val="13"/>
          <w:szCs w:val="13"/>
        </w:rPr>
        <w:t>损失，也可能导致本理财产品违反国家法律、法规或者其他合同的有关规定，进而导致本理财产品被宣告无效、撤销、解除或提前终止等。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（二）信用风险：</w:t>
      </w:r>
      <w:r>
        <w:rPr>
          <w:rFonts w:hint="eastAsia" w:ascii="方正黑体_GBK" w:hAnsi="方正黑体_GBK" w:eastAsia="方正黑体_GBK" w:cs="Times New Roman"/>
          <w:vanish w:val="0"/>
          <w:color w:val="3D3D3D"/>
          <w:kern w:val="0"/>
          <w:sz w:val="13"/>
          <w:szCs w:val="13"/>
        </w:rPr>
        <w:t>本理财产品收益来源于理财产品项下投资对象的回报。</w:t>
      </w:r>
      <w:r>
        <w:rPr>
          <w:rFonts w:hint="eastAsia" w:ascii="方正黑体_GBK" w:hAnsi="方正黑体_GBK" w:eastAsia="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hint="eastAsia" w:ascii="方正黑体_GBK" w:hAnsi="方正黑体_GBK" w:eastAsia="方正黑体_GBK" w:cs="Times New Roman"/>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理财产品投资不同类型的资产可能面临的市场风险包括但不限于：</w:t>
      </w:r>
      <w:r>
        <w:rPr>
          <w:rFonts w:ascii="方正黑体_GBK" w:hAnsi="方正黑体_GBK" w:eastAsia="方正黑体_GBK"/>
          <w:vanish w:val="0"/>
          <w:color w:val="3D3D3D"/>
          <w:kern w:val="0"/>
          <w:sz w:val="13"/>
          <w:szCs w:val="13"/>
        </w:rPr>
        <w:t>1.</w:t>
      </w:r>
      <w:r>
        <w:rPr>
          <w:rFonts w:hint="eastAsia" w:ascii="方正黑体_GBK" w:hAnsi="方正黑体_GBK" w:eastAsia="方正黑体_GBK"/>
          <w:vanish w:val="0"/>
          <w:color w:val="3D3D3D"/>
          <w:kern w:val="0"/>
          <w:sz w:val="13"/>
          <w:szCs w:val="13"/>
        </w:rPr>
        <w:t>理财产品投资债券等固定收益率资产将面临利率、汇率变化等市场风险以及债券价格波动风险；</w:t>
      </w:r>
      <w:r>
        <w:rPr>
          <w:rFonts w:ascii="方正黑体_GBK" w:hAnsi="方正黑体_GBK" w:eastAsia="方正黑体_GBK"/>
          <w:vanish w:val="0"/>
          <w:color w:val="3D3D3D"/>
          <w:kern w:val="0"/>
          <w:sz w:val="13"/>
          <w:szCs w:val="13"/>
        </w:rPr>
        <w:t>2.</w:t>
      </w:r>
      <w:r>
        <w:rPr>
          <w:rFonts w:hint="eastAsia" w:ascii="方正黑体_GBK" w:hAnsi="方正黑体_GBK" w:eastAsia="方正黑体_GBK"/>
          <w:vanish w:val="0"/>
          <w:color w:val="3D3D3D"/>
          <w:kern w:val="0"/>
          <w:sz w:val="13"/>
          <w:szCs w:val="13"/>
        </w:rPr>
        <w:t>理财产品投资股票等权益类资产将面临股票价格波动风险和股票发行人的经营风险、管理风险等风险；</w:t>
      </w:r>
      <w:r>
        <w:rPr>
          <w:rFonts w:ascii="方正黑体_GBK" w:hAnsi="方正黑体_GBK" w:eastAsia="方正黑体_GBK"/>
          <w:vanish w:val="0"/>
          <w:color w:val="3D3D3D"/>
          <w:kern w:val="0"/>
          <w:sz w:val="13"/>
          <w:szCs w:val="13"/>
        </w:rPr>
        <w:t>3.</w:t>
      </w:r>
      <w:r>
        <w:rPr>
          <w:rFonts w:hint="eastAsia" w:ascii="方正黑体_GBK" w:hAnsi="方正黑体_GBK" w:eastAsia="方正黑体_GBK"/>
          <w:vanish w:val="0"/>
          <w:color w:val="3D3D3D"/>
          <w:kern w:val="0"/>
          <w:sz w:val="13"/>
          <w:szCs w:val="13"/>
        </w:rPr>
        <w:t>理财产品投资商品及金融衍生品类产品可能面临衍生品公允价值变化风险</w:t>
      </w:r>
      <w:r>
        <w:rPr>
          <w:rFonts w:hint="eastAsia" w:ascii="方正黑体_GBK" w:hAnsi="方正黑体_GBK" w:eastAsia="方正黑体_GBK" w:cs="Times New Roman"/>
          <w:vanish w:val="0"/>
          <w:color w:val="3D3D3D"/>
          <w:kern w:val="0"/>
          <w:sz w:val="13"/>
          <w:szCs w:val="13"/>
        </w:rPr>
        <w:t>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hint="eastAsia" w:ascii="方正黑体_GBK" w:hAnsi="方正黑体_GBK" w:eastAsia="方正黑体_GBK" w:cs="Times New Roman"/>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hint="eastAsia" w:ascii="方正黑体_GBK" w:hAnsi="方正黑体_GBK" w:eastAsia="方正黑体_GBK"/>
          <w:vanish w:val="0"/>
          <w:color w:val="3D3D3D"/>
          <w:kern w:val="0"/>
          <w:sz w:val="13"/>
          <w:szCs w:val="13"/>
        </w:rPr>
        <w:t>当市场上出现更高收益的产品时，将有可能</w:t>
      </w:r>
      <w:r>
        <w:rPr>
          <w:rFonts w:hint="eastAsia" w:ascii="方正黑体_GBK" w:hAnsi="方正黑体_GBK" w:eastAsia="方正黑体_GBK" w:cs="Times New Roman"/>
          <w:vanish w:val="0"/>
          <w:color w:val="3D3D3D"/>
          <w:kern w:val="0"/>
          <w:sz w:val="13"/>
          <w:szCs w:val="13"/>
        </w:rPr>
        <w:t>导致投资者</w:t>
      </w:r>
      <w:r>
        <w:rPr>
          <w:rFonts w:hint="eastAsia" w:ascii="方正黑体_GBK" w:hAnsi="方正黑体_GBK" w:eastAsia="方正黑体_GBK"/>
          <w:vanish w:val="0"/>
          <w:color w:val="3D3D3D"/>
          <w:kern w:val="0"/>
          <w:sz w:val="13"/>
          <w:szCs w:val="13"/>
        </w:rPr>
        <w:t>因此丧失其他投资机会。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（八）</w:t>
      </w:r>
      <w:r>
        <w:rPr>
          <w:rFonts w:hint="eastAsia" w:ascii="方正黑体_GBK" w:hAnsi="方正黑体_GBK" w:eastAsia="方正黑体_GBK" w:cs="Times New Roman"/>
          <w:vanish w:val="0"/>
          <w:color w:val="3D3D3D"/>
          <w:kern w:val="0"/>
          <w:sz w:val="13"/>
          <w:szCs w:val="13"/>
        </w:rPr>
        <w:t>理财</w:t>
      </w:r>
      <w:r>
        <w:rPr>
          <w:rFonts w:hint="eastAsia" w:ascii="方正黑体_GBK" w:hAnsi="方正黑体_GBK" w:eastAsia="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hint="eastAsia" w:ascii="方正黑体_GBK" w:hAnsi="方正黑体_GBK" w:eastAsia="方正黑体_GBK" w:cs="Times New Roman"/>
          <w:vanish w:val="0"/>
          <w:color w:val="3D3D3D"/>
          <w:kern w:val="0"/>
          <w:sz w:val="13"/>
          <w:szCs w:val="13"/>
        </w:rPr>
        <w:t>（或通过销售机构通知）</w:t>
      </w:r>
      <w:r>
        <w:rPr>
          <w:rFonts w:hint="eastAsia" w:ascii="方正黑体_GBK" w:hAnsi="方正黑体_GBK" w:eastAsia="方正黑体_GBK"/>
          <w:vanish w:val="0"/>
          <w:color w:val="3D3D3D"/>
          <w:kern w:val="0"/>
          <w:sz w:val="13"/>
          <w:szCs w:val="13"/>
        </w:rPr>
        <w:t>理财产品不成立且不承担任何违约责任，投资者将面临再投资风险。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（九）延期分配风险：如因理财产品投资的资产</w:t>
      </w:r>
      <w:r>
        <w:rPr>
          <w:rFonts w:hint="eastAsia" w:ascii="方正黑体_GBK" w:hAnsi="方正黑体_GBK" w:eastAsia="方正黑体_GBK" w:cs="Times New Roman"/>
          <w:vanish w:val="0"/>
          <w:color w:val="3D3D3D"/>
          <w:kern w:val="0"/>
          <w:sz w:val="13"/>
          <w:szCs w:val="13"/>
        </w:rPr>
        <w:t>市场流动性不足或受限导致未能正常买卖结算，或投资资产正常到期，投资资产相关发行人或融资主体未能及时偿付本息，所投资工具</w:t>
      </w:r>
      <w:r>
        <w:rPr>
          <w:rFonts w:hint="eastAsia" w:ascii="方正黑体_GBK" w:hAnsi="方正黑体_GBK" w:eastAsia="方正黑体_GBK"/>
          <w:vanish w:val="0"/>
          <w:color w:val="3D3D3D"/>
          <w:kern w:val="0"/>
          <w:sz w:val="13"/>
          <w:szCs w:val="13"/>
        </w:rPr>
        <w:t>无法及时变现等原因造成不能按时支付理财产品本金和收益，则投资者面临理财产品期限延期、调整等风险。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hint="eastAsia" w:ascii="方正黑体_GBK" w:hAnsi="方正黑体_GBK" w:eastAsia="方正黑体_GBK" w:cs="Times New Roman"/>
          <w:b/>
          <w:bCs/>
          <w:vanish w:val="0"/>
          <w:color w:val="3D3D3D"/>
          <w:kern w:val="0"/>
          <w:sz w:val="13"/>
          <w:szCs w:val="13"/>
        </w:rPr>
        <w:t>者</w:t>
      </w:r>
      <w:r>
        <w:rPr>
          <w:rFonts w:hint="eastAsia" w:ascii="方正黑体_GBK" w:hAnsi="方正黑体_GBK" w:eastAsia="方正黑体_GBK"/>
          <w:b/>
          <w:bCs/>
          <w:vanish w:val="0"/>
          <w:color w:val="3D3D3D"/>
          <w:kern w:val="0"/>
          <w:sz w:val="13"/>
          <w:szCs w:val="13"/>
        </w:rPr>
        <w:t>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南银理财按照对应期次《理财产品说明书》有关条款的约定，发布当期理财产品的运作、到期清算或提前终止等信息公告</w:t>
      </w:r>
      <w:r>
        <w:rPr>
          <w:rFonts w:hint="eastAsia" w:ascii="方正黑体_GBK" w:hAnsi="方正黑体_GBK" w:eastAsia="方正黑体_GBK" w:cs="Times New Roman"/>
          <w:b/>
          <w:bCs/>
          <w:vanish w:val="0"/>
          <w:color w:val="3D3D3D"/>
          <w:kern w:val="0"/>
          <w:sz w:val="13"/>
          <w:szCs w:val="13"/>
        </w:rPr>
        <w:t>或报告</w:t>
      </w:r>
      <w:r>
        <w:rPr>
          <w:rFonts w:hint="eastAsia" w:ascii="方正黑体_GBK" w:hAnsi="方正黑体_GBK" w:eastAsia="方正黑体_GBK"/>
          <w:b/>
          <w:bCs/>
          <w:vanish w:val="0"/>
          <w:color w:val="3D3D3D"/>
          <w:kern w:val="0"/>
          <w:sz w:val="13"/>
          <w:szCs w:val="13"/>
        </w:rPr>
        <w:t>。投资者应根据《理财产品说明书》中约定的</w:t>
      </w:r>
      <w:r>
        <w:rPr>
          <w:rFonts w:hint="eastAsia" w:ascii="方正黑体_GBK" w:hAnsi="方正黑体_GBK" w:eastAsia="方正黑体_GBK" w:cs="Times New Roman"/>
          <w:b/>
          <w:bCs/>
          <w:vanish w:val="0"/>
          <w:color w:val="3D3D3D"/>
          <w:kern w:val="0"/>
          <w:sz w:val="13"/>
          <w:szCs w:val="13"/>
        </w:rPr>
        <w:t>信息披露</w:t>
      </w:r>
      <w:r>
        <w:rPr>
          <w:rFonts w:hint="eastAsia" w:ascii="方正黑体_GBK" w:hAnsi="方正黑体_GBK" w:eastAsia="方正黑体_GBK"/>
          <w:b/>
          <w:bCs/>
          <w:vanish w:val="0"/>
          <w:color w:val="3D3D3D"/>
          <w:kern w:val="0"/>
          <w:sz w:val="13"/>
          <w:szCs w:val="13"/>
        </w:rPr>
        <w:t>渠道及时查询相关信息</w:t>
      </w:r>
      <w:r>
        <w:rPr>
          <w:rFonts w:hint="eastAsia" w:ascii="方正黑体_GBK" w:hAnsi="方正黑体_GBK" w:eastAsia="方正黑体_GBK" w:cs="Times New Roman"/>
          <w:b/>
          <w:bCs/>
          <w:vanish w:val="0"/>
          <w:color w:val="3D3D3D"/>
          <w:kern w:val="0"/>
          <w:sz w:val="13"/>
          <w:szCs w:val="13"/>
        </w:rPr>
        <w:t>，</w:t>
      </w:r>
      <w:r>
        <w:rPr>
          <w:rFonts w:hint="eastAsia" w:ascii="方正黑体_GBK" w:hAnsi="方正黑体_GBK" w:eastAsia="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hint="eastAsia" w:ascii="方正黑体_GBK" w:hAnsi="方正黑体_GBK" w:eastAsia="方正黑体_GBK" w:cs="Times New Roman"/>
          <w:b/>
          <w:bCs/>
          <w:vanish w:val="0"/>
          <w:color w:val="3D3D3D"/>
          <w:kern w:val="0"/>
          <w:sz w:val="13"/>
          <w:szCs w:val="13"/>
        </w:rPr>
        <w:t>投资者承担</w:t>
      </w:r>
      <w:r>
        <w:rPr>
          <w:rFonts w:hint="eastAsia" w:ascii="方正黑体_GBK" w:hAnsi="方正黑体_GBK" w:eastAsia="方正黑体_GBK"/>
          <w:b/>
          <w:bCs/>
          <w:vanish w:val="0"/>
          <w:color w:val="3D3D3D"/>
          <w:kern w:val="0"/>
          <w:sz w:val="13"/>
          <w:szCs w:val="13"/>
        </w:rPr>
        <w:t>因此而产生的责任和风险。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（十二）不可抗力及意外事件风险：理财产品面临的不可抗力及意外事件风险是指</w:t>
      </w:r>
      <w:r>
        <w:rPr>
          <w:rFonts w:hint="eastAsia" w:ascii="方正黑体_GBK" w:hAnsi="方正黑体_GBK" w:eastAsia="方正黑体_GBK" w:cs="Times New Roman"/>
          <w:vanish w:val="0"/>
          <w:color w:val="3D3D3D"/>
          <w:kern w:val="0"/>
          <w:sz w:val="13"/>
          <w:szCs w:val="13"/>
        </w:rPr>
        <w:t>《理财产品说明书》规定的不可抗力或</w:t>
      </w:r>
      <w:r>
        <w:rPr>
          <w:rFonts w:hint="eastAsia" w:ascii="方正黑体_GBK" w:hAnsi="方正黑体_GBK" w:eastAsia="方正黑体_GBK"/>
          <w:vanish w:val="0"/>
          <w:color w:val="3D3D3D"/>
          <w:kern w:val="0"/>
          <w:sz w:val="13"/>
          <w:szCs w:val="13"/>
        </w:rPr>
        <w:t>南银理财、</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、托管机构系统故障、通讯故障、投资市场停止交易等意外事件的出现，严重影响金融市场的正常运行，从而</w:t>
      </w:r>
      <w:r>
        <w:rPr>
          <w:rFonts w:hint="eastAsia" w:ascii="方正黑体_GBK" w:hAnsi="方正黑体_GBK" w:eastAsia="方正黑体_GBK" w:cs="Times New Roman"/>
          <w:vanish w:val="0"/>
          <w:color w:val="3D3D3D"/>
          <w:kern w:val="0"/>
          <w:sz w:val="13"/>
          <w:szCs w:val="13"/>
        </w:rPr>
        <w:t>对</w:t>
      </w:r>
      <w:r>
        <w:rPr>
          <w:rFonts w:hint="eastAsia" w:ascii="方正黑体_GBK" w:hAnsi="方正黑体_GBK" w:eastAsia="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hint="eastAsia" w:ascii="方正黑体_GBK" w:hAnsi="方正黑体_GBK" w:eastAsia="方正黑体_GBK" w:cs="Times New Roman"/>
          <w:vanish w:val="0"/>
          <w:color w:val="3D3D3D"/>
          <w:kern w:val="0"/>
          <w:sz w:val="13"/>
          <w:szCs w:val="13"/>
        </w:rPr>
        <w:t>本金和收益遭受</w:t>
      </w:r>
      <w:r>
        <w:rPr>
          <w:rFonts w:hint="eastAsia" w:ascii="方正黑体_GBK" w:hAnsi="方正黑体_GBK" w:eastAsia="方正黑体_GBK"/>
          <w:vanish w:val="0"/>
          <w:color w:val="3D3D3D"/>
          <w:kern w:val="0"/>
          <w:sz w:val="13"/>
          <w:szCs w:val="13"/>
        </w:rPr>
        <w:t>损失的风险。</w:t>
      </w:r>
      <w:r>
        <w:rPr>
          <w:rFonts w:hint="eastAsia" w:ascii="方正黑体_GBK" w:hAnsi="方正黑体_GBK" w:eastAsia="方正黑体_GBK" w:cs="Times New Roman"/>
          <w:vanish w:val="0"/>
          <w:color w:val="3D3D3D"/>
          <w:kern w:val="0"/>
          <w:sz w:val="13"/>
          <w:szCs w:val="13"/>
        </w:rPr>
        <w:t>因不可抗力及意外事件风险导致的任何损失，</w:t>
      </w:r>
      <w:r>
        <w:rPr>
          <w:rFonts w:hint="eastAsia" w:ascii="方正黑体_GBK" w:hAnsi="方正黑体_GBK" w:eastAsia="方正黑体_GBK"/>
          <w:vanish w:val="0"/>
          <w:color w:val="3D3D3D"/>
          <w:kern w:val="0"/>
          <w:sz w:val="13"/>
          <w:szCs w:val="13"/>
        </w:rPr>
        <w:t>由投资者</w:t>
      </w:r>
      <w:r>
        <w:rPr>
          <w:rFonts w:hint="eastAsia" w:ascii="方正黑体_GBK" w:hAnsi="方正黑体_GBK" w:eastAsia="方正黑体_GBK" w:cs="Times New Roman"/>
          <w:vanish w:val="0"/>
          <w:color w:val="3D3D3D"/>
          <w:kern w:val="0"/>
          <w:sz w:val="13"/>
          <w:szCs w:val="13"/>
        </w:rPr>
        <w:t>自行</w:t>
      </w:r>
      <w:r>
        <w:rPr>
          <w:rFonts w:hint="eastAsia" w:ascii="方正黑体_GBK" w:hAnsi="方正黑体_GBK" w:eastAsia="方正黑体_GBK"/>
          <w:vanish w:val="0"/>
          <w:color w:val="3D3D3D"/>
          <w:kern w:val="0"/>
          <w:sz w:val="13"/>
          <w:szCs w:val="13"/>
        </w:rPr>
        <w:t>承担。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（十三）税收风险：南银理财暂不负责代扣代缴投资者购买本理财产品所得收益应缴纳的各项税款。若相关税</w:t>
      </w:r>
      <w:r>
        <w:rPr>
          <w:rFonts w:hint="eastAsia" w:ascii="方正黑体_GBK" w:hAnsi="方正黑体_GBK" w:eastAsia="方正黑体_GBK" w:cs="Times New Roman"/>
          <w:vanish w:val="0"/>
          <w:color w:val="3D3D3D"/>
          <w:kern w:val="0"/>
          <w:sz w:val="13"/>
          <w:szCs w:val="13"/>
        </w:rPr>
        <w:t>收</w:t>
      </w:r>
      <w:r>
        <w:rPr>
          <w:rFonts w:hint="eastAsia" w:ascii="方正黑体_GBK" w:hAnsi="方正黑体_GBK" w:eastAsia="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（十五）操作风险：若管理人、</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、托管机构由于内部作业、人员管理及系统操作不当或失误，处理事务不当等，可能导致本理财产品的本金及收益遭受损失。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（十六）代销风险：本理财产品通过代销机构销售</w:t>
      </w:r>
      <w:r>
        <w:rPr>
          <w:rFonts w:hint="eastAsia" w:ascii="方正黑体_GBK" w:hAnsi="方正黑体_GBK" w:eastAsia="方正黑体_GBK" w:cs="Times New Roman"/>
          <w:vanish w:val="0"/>
          <w:color w:val="3D3D3D"/>
          <w:kern w:val="0"/>
          <w:sz w:val="13"/>
          <w:szCs w:val="13"/>
        </w:rPr>
        <w:t>时</w:t>
      </w:r>
      <w:r>
        <w:rPr>
          <w:rFonts w:hint="eastAsia" w:ascii="方正黑体_GBK" w:hAnsi="方正黑体_GBK" w:eastAsia="方正黑体_GBK"/>
          <w:vanish w:val="0"/>
          <w:color w:val="3D3D3D"/>
          <w:kern w:val="0"/>
          <w:sz w:val="13"/>
          <w:szCs w:val="13"/>
        </w:rPr>
        <w:t>，认购</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hint="eastAsia" w:ascii="方正黑体_GBK" w:hAnsi="方正黑体_GBK" w:eastAsia="方正黑体_GBK" w:cs="Times New Roman"/>
          <w:vanish w:val="0"/>
          <w:color w:val="3D3D3D"/>
          <w:kern w:val="0"/>
          <w:sz w:val="13"/>
          <w:szCs w:val="13"/>
        </w:rPr>
        <w:t>产品销售文件</w:t>
      </w:r>
      <w:r>
        <w:rPr>
          <w:rFonts w:hint="eastAsia" w:ascii="方正黑体_GBK" w:hAnsi="方正黑体_GBK" w:eastAsia="方正黑体_GBK"/>
          <w:vanish w:val="0"/>
          <w:color w:val="3D3D3D"/>
          <w:kern w:val="0"/>
          <w:sz w:val="13"/>
          <w:szCs w:val="13"/>
        </w:rPr>
        <w:t>约定划付至代销机构，并由代销机构向投资者支付。</w:t>
      </w:r>
      <w:r>
        <w:rPr>
          <w:rFonts w:hint="eastAsia" w:ascii="方正黑体_GBK" w:hAnsi="方正黑体_GBK" w:eastAsia="方正黑体_GBK" w:cs="Times New Roman"/>
          <w:vanish w:val="0"/>
          <w:color w:val="3D3D3D"/>
          <w:kern w:val="0"/>
          <w:sz w:val="13"/>
          <w:szCs w:val="13"/>
        </w:rPr>
        <w:t>如果投资者在代销机构的资金账户余额不足，或代销机构未及时将投资者认购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申购资金划转至南银理财，将导致投资者无法完成认购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hint="eastAsia" w:ascii="方正黑体_GBK" w:hAnsi="方正黑体_GBK" w:eastAsia="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（十七）未知价风险：净值型产品采用</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金额申购、份额赎回</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原则，即产品认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申购以金额申请，赎回以份额申请，认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申购与赎回价格以</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受理申请。</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，即理财产品申购申请和赎回申请提交时，适用的产品单位净值都是未知的，单位净值固定的产品除外。</w:t>
      </w:r>
    </w:p>
    <w:p>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hint="eastAsia" w:ascii="方正黑体_GBK" w:hAnsi="方正黑体_GBK" w:eastAsia="方正黑体_GBK"/>
          <w:vanish w:val="0"/>
          <w:color w:val="3D3D3D"/>
          <w:kern w:val="0"/>
          <w:sz w:val="13"/>
          <w:szCs w:val="13"/>
        </w:rPr>
        <w:t>（十八）关联交易风险：在合法合规且履行应履行的内</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外部程序后，理财产品可能</w:t>
      </w:r>
      <w:r>
        <w:rPr>
          <w:rFonts w:hint="eastAsia" w:ascii="方正黑体_GBK" w:hAnsi="方正黑体_GBK" w:eastAsia="方正黑体_GBK" w:cs="Times New Roman"/>
          <w:vanish w:val="0"/>
          <w:color w:val="3D3D3D"/>
          <w:kern w:val="0"/>
          <w:sz w:val="13"/>
          <w:szCs w:val="13"/>
        </w:rPr>
        <w:t>投资于</w:t>
      </w:r>
      <w:r>
        <w:rPr>
          <w:rFonts w:hint="eastAsia" w:ascii="方正黑体_GBK" w:hAnsi="方正黑体_GBK" w:eastAsia="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本理财产品</w:t>
      </w:r>
      <w:r>
        <w:rPr>
          <w:rFonts w:hint="eastAsia" w:ascii="方正黑体_GBK" w:hAnsi="方正黑体_GBK" w:eastAsia="方正黑体_GBK" w:cs="Times New Roman"/>
          <w:vanish w:val="0"/>
          <w:color w:val="3D3D3D"/>
          <w:kern w:val="0"/>
          <w:sz w:val="13"/>
          <w:szCs w:val="13"/>
        </w:rPr>
        <w:t>也</w:t>
      </w:r>
      <w:r>
        <w:rPr>
          <w:rFonts w:hint="eastAsia" w:ascii="方正黑体_GBK" w:hAnsi="方正黑体_GBK" w:eastAsia="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sz w:val="13"/>
          <w:szCs w:val="13"/>
        </w:rPr>
        <w:t xml:space="preserve"> </w:t>
      </w:r>
      <w:r>
        <w:rPr>
          <w:rFonts w:hint="eastAsia" w:ascii="方正黑体_GBK" w:hAnsi="方正黑体_GBK" w:eastAsia="方正黑体_GBK"/>
          <w:vanish w:val="0"/>
          <w:color w:val="3D3D3D"/>
          <w:kern w:val="0"/>
          <w:sz w:val="13"/>
          <w:szCs w:val="13"/>
        </w:rPr>
        <w:t>第二条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本理财产品特定风险揭示</w:t>
      </w:r>
    </w:p>
    <w:p>
      <w:pPr>
        <w:spacing w:line="200" w:lineRule="exact"/>
      </w:pPr>
      <w:r>
        <w:rPr>
          <w:rFonts w:ascii="方正黑体_GBK" w:hAnsi="方正黑体_GBK" w:eastAsia="方正黑体_GBK" w:cs="宋体"/>
          <w:b/>
          <w:sz w:val="13"/>
          <w:szCs w:val="20"/>
        </w:rPr>
        <w:t xml:space="preserve">    1.债券类资产投资风险</w:t>
      </w:r>
    </w:p>
    <w:p>
      <w:pPr>
        <w:spacing w:line="200" w:lineRule="exact"/>
      </w:pPr>
      <w:r>
        <w:rPr>
          <w:rFonts w:ascii="方正黑体_GBK" w:hAnsi="方正黑体_GBK" w:eastAsia="方正黑体_GBK"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pPr>
        <w:spacing w:line="200" w:lineRule="exact"/>
      </w:pPr>
      <w:r>
        <w:rPr>
          <w:rFonts w:ascii="方正黑体_GBK" w:hAnsi="方正黑体_GBK" w:eastAsia="方正黑体_GBK" w:cs="宋体"/>
          <w:b/>
          <w:sz w:val="13"/>
          <w:szCs w:val="20"/>
        </w:rPr>
        <w:t xml:space="preserve">    2.非标准化债权类资产投资风险</w:t>
      </w:r>
    </w:p>
    <w:p>
      <w:pPr>
        <w:spacing w:line="200" w:lineRule="exact"/>
      </w:pPr>
      <w:r>
        <w:rPr>
          <w:rFonts w:ascii="方正黑体_GBK" w:hAnsi="方正黑体_GBK" w:eastAsia="方正黑体_GBK"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pPr>
        <w:spacing w:line="200" w:lineRule="exact"/>
      </w:pPr>
      <w:r>
        <w:rPr>
          <w:rFonts w:ascii="方正黑体_GBK" w:hAnsi="方正黑体_GBK" w:eastAsia="方正黑体_GBK" w:cs="宋体"/>
          <w:b/>
          <w:sz w:val="13"/>
          <w:szCs w:val="20"/>
        </w:rPr>
        <w:t xml:space="preserve">    3.资产管理产品投资风险</w:t>
      </w:r>
    </w:p>
    <w:p>
      <w:pPr>
        <w:spacing w:line="200" w:lineRule="exact"/>
      </w:pPr>
      <w:r>
        <w:rPr>
          <w:rFonts w:ascii="方正黑体_GBK" w:hAnsi="方正黑体_GBK" w:eastAsia="方正黑体_GBK"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pPr>
        <w:spacing w:line="200" w:lineRule="exact"/>
      </w:pPr>
      <w:r>
        <w:rPr>
          <w:rFonts w:ascii="方正黑体_GBK" w:hAnsi="方正黑体_GBK" w:eastAsia="方正黑体_GBK" w:cs="宋体"/>
          <w:b/>
          <w:sz w:val="13"/>
          <w:szCs w:val="20"/>
        </w:rPr>
        <w:t xml:space="preserve">    4.非标准化债权类资产无法投资的风险</w:t>
      </w:r>
    </w:p>
    <w:p>
      <w:pPr>
        <w:spacing w:line="200" w:lineRule="exact"/>
      </w:pPr>
      <w:r>
        <w:rPr>
          <w:rFonts w:ascii="方正黑体_GBK" w:hAnsi="方正黑体_GBK" w:eastAsia="方正黑体_GBK" w:cs="宋体"/>
          <w:b/>
          <w:sz w:val="13"/>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rPr>
          <w:rFonts w:ascii="方正黑体_GBK" w:hAnsi="方正黑体_GBK" w:eastAsia="方正黑体_GBK"/>
        </w:rPr>
        <w:br w:type="textWrapping"/>
      </w:r>
      <w:r>
        <w:rPr>
          <w:rFonts w:ascii="方正黑体_GBK" w:hAnsi="方正黑体_GBK" w:eastAsia="方正黑体_GBK" w:cs="宋体"/>
          <w:b/>
          <w:sz w:val="13"/>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rPr>
          <w:rFonts w:ascii="方正黑体_GBK" w:hAnsi="方正黑体_GBK" w:eastAsia="方正黑体_GBK"/>
        </w:rPr>
        <w:br w:type="textWrapping"/>
      </w:r>
      <w:r>
        <w:rPr>
          <w:rFonts w:ascii="方正黑体_GBK" w:hAnsi="方正黑体_GBK" w:eastAsia="方正黑体_GBK" w:cs="宋体"/>
          <w:b/>
          <w:sz w:val="13"/>
          <w:szCs w:val="20"/>
        </w:rPr>
        <w:t xml:space="preserve">    （2）若本理财产品已成立，则管理人有权提前终止本理财产品，自产品成立至提前终止日期间不计任何收益。</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本理财产品</w:t>
      </w:r>
      <w:r>
        <w:rPr>
          <w:rFonts w:hint="eastAsia" w:ascii="方正黑体_GBK" w:hAnsi="方正黑体_GBK" w:eastAsia="方正黑体_GBK"/>
          <w:b/>
          <w:bCs/>
          <w:color w:val="3D3D3D"/>
          <w:kern w:val="0"/>
          <w:sz w:val="13"/>
          <w:szCs w:val="13"/>
        </w:rPr>
        <w:t>类型：封闭式、固定收益类、公募、净值型。</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7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本理财产品期限</w:t>
      </w:r>
      <w:r>
        <w:rPr>
          <w:rFonts w:hint="eastAsia" w:ascii="方正黑体_GBK" w:hAnsi="方正黑体_GBK" w:eastAsia="方正黑体_GBK"/>
          <w:b/>
          <w:bCs w:val="0"/>
          <w:vanish w:val="0"/>
          <w:color w:val="3D3D3D"/>
          <w:kern w:val="0"/>
          <w:sz w:val="13"/>
          <w:szCs w:val="13"/>
        </w:rPr>
        <w:t>为</w:t>
      </w:r>
      <w:r>
        <w:rPr>
          <w:rFonts w:hint="eastAsia" w:ascii="方正黑体_GBK" w:hAnsi="方正黑体_GBK" w:eastAsia="方正黑体_GBK"/>
          <w:b/>
          <w:bCs/>
          <w:color w:val="3D3D3D"/>
          <w:kern w:val="0"/>
          <w:sz w:val="13"/>
          <w:szCs w:val="13"/>
        </w:rPr>
        <w:t>749天</w:t>
      </w:r>
      <w:r>
        <w:rPr>
          <w:rFonts w:hint="eastAsia" w:ascii="方正黑体_GBK" w:hAnsi="方正黑体_GBK" w:eastAsia="方正黑体_GBK"/>
          <w:b/>
          <w:bCs w:val="0"/>
          <w:vanish w:val="0"/>
          <w:color w:val="3D3D3D"/>
          <w:kern w:val="0"/>
          <w:sz w:val="13"/>
          <w:szCs w:val="13"/>
        </w:rPr>
        <w:t>。</w:t>
      </w:r>
    </w:p>
    <w:p>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本理财产品风险</w:t>
      </w:r>
      <w:r>
        <w:rPr>
          <w:rFonts w:hint="eastAsia" w:ascii="方正黑体_GBK" w:hAnsi="方正黑体_GBK" w:eastAsia="方正黑体_GBK" w:cs="Times New Roman"/>
          <w:b/>
          <w:bCs/>
          <w:vanish w:val="0"/>
          <w:color w:val="3D3D3D"/>
          <w:kern w:val="0"/>
          <w:sz w:val="13"/>
          <w:szCs w:val="13"/>
        </w:rPr>
        <w:t>评级结果</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vanish w:val="0"/>
          <w:color w:val="3D3D3D"/>
          <w:kern w:val="0"/>
          <w:sz w:val="13"/>
          <w:szCs w:val="13"/>
        </w:rPr>
        <w:t>根据管理人内部风险评级，该产品风险等级为</w:t>
      </w:r>
      <w:r>
        <w:rPr>
          <w:rFonts w:hint="eastAsia" w:ascii="方正黑体_GBK" w:hAnsi="方正黑体_GBK" w:eastAsia="方正黑体_GBK" w:cs="Times New Roman"/>
          <w:b/>
          <w:bCs w:val="0"/>
          <w:vanish w:val="0"/>
          <w:color w:val="3D3D3D"/>
          <w:kern w:val="0"/>
          <w:sz w:val="13"/>
          <w:szCs w:val="13"/>
        </w:rPr>
        <w:t>中低风险</w:t>
      </w:r>
      <w:r>
        <w:rPr>
          <w:rFonts w:hint="eastAsia" w:ascii="方正黑体_GBK" w:hAnsi="方正黑体_GBK" w:eastAsia="方正黑体_GBK"/>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 xml:space="preserve"> </w:t>
      </w:r>
      <w:r>
        <w:rPr>
          <w:rFonts w:hint="eastAsia" w:ascii="方正黑体_GBK" w:hAnsi="方正黑体_GBK" w:eastAsia="方正黑体_GBK"/>
          <w:color w:val="3D3D3D"/>
          <w:kern w:val="0"/>
          <w:sz w:val="13"/>
          <w:szCs w:val="13"/>
        </w:rPr>
        <w:t>管理人不承诺本金保障，产品收益随投资表现变动，产品存在较低的本金损失风险</w:t>
      </w:r>
      <w:r>
        <w:rPr>
          <w:rFonts w:hint="eastAsia" w:ascii="方正黑体_GBK" w:hAnsi="方正黑体_GBK" w:eastAsia="方正黑体_GBK"/>
          <w:vanish w:val="0"/>
          <w:color w:val="3D3D3D"/>
          <w:kern w:val="0"/>
          <w:sz w:val="13"/>
          <w:szCs w:val="13"/>
        </w:rPr>
        <w:t>。</w:t>
      </w:r>
    </w:p>
    <w:p>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本风险等级为南银理财风险评级结果，</w:t>
      </w:r>
      <w:r>
        <w:rPr>
          <w:rFonts w:hint="eastAsia" w:ascii="方正黑体_GBK" w:hAnsi="方正黑体_GBK" w:eastAsia="方正黑体_GBK" w:cs="Times New Roman"/>
          <w:b/>
          <w:bCs/>
          <w:vanish w:val="0"/>
          <w:color w:val="3D3D3D"/>
          <w:kern w:val="0"/>
          <w:sz w:val="13"/>
          <w:szCs w:val="13"/>
        </w:rPr>
        <w:t>该产品通过代理销售机构渠道销售的，理财产品评级应当以代理销售机构最终披露的评级结果为准。</w:t>
      </w:r>
      <w:r>
        <w:rPr>
          <w:rFonts w:hint="eastAsia" w:ascii="方正黑体_GBK" w:hAnsi="方正黑体_GBK" w:eastAsia="方正黑体_GBK" w:cs="Times New Roman"/>
          <w:vanish w:val="0"/>
          <w:color w:val="3D3D3D"/>
          <w:kern w:val="0"/>
          <w:sz w:val="13"/>
          <w:szCs w:val="13"/>
        </w:rPr>
        <w:t>您需充分认识投资风险，谨慎投资。</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hint="eastAsia" w:ascii="方正黑体_GBK" w:hAnsi="方正黑体_GBK" w:eastAsia="方正黑体_GBK"/>
          <w:bCs/>
          <w:color w:val="3D3D3D"/>
          <w:kern w:val="0"/>
          <w:sz w:val="13"/>
          <w:szCs w:val="13"/>
        </w:rPr>
      </w:pPr>
      <w:r>
        <w:rPr>
          <w:rFonts w:hint="eastAsia" w:ascii="方正黑体_GBK" w:hAnsi="方正黑体_GBK" w:eastAsia="方正黑体_GBK" w:cs="Times New Roman"/>
          <w:b/>
          <w:bCs/>
          <w:vanish w:val="0"/>
          <w:color w:val="3D3D3D"/>
          <w:kern w:val="0"/>
          <w:sz w:val="13"/>
          <w:szCs w:val="13"/>
        </w:rPr>
        <w:t>适合购买本理财产品的投资者</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color w:val="3D3D3D"/>
          <w:kern w:val="0"/>
          <w:sz w:val="13"/>
          <w:szCs w:val="13"/>
        </w:rPr>
        <w:t>符合相关法律法规、监管规定要求的，经销售机构的风险承受能力评估体系评定为适合的个人和机构投资者。</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个人投资者在首次通过销售机构购买理财产品时应根据销售机构的要求进行风险承受能力评估</w:t>
      </w:r>
      <w:r>
        <w:rPr>
          <w:rFonts w:hint="eastAsia" w:ascii="方正黑体_GBK" w:hAnsi="方正黑体_GBK" w:eastAsia="方正黑体_GBK"/>
          <w:b/>
          <w:bCs/>
          <w:vanish w:val="0"/>
          <w:color w:val="3D3D3D"/>
          <w:kern w:val="0"/>
          <w:sz w:val="13"/>
          <w:szCs w:val="13"/>
        </w:rPr>
        <w:t>。如影响您风险承受能力的因素发生变化，</w:t>
      </w:r>
      <w:r>
        <w:rPr>
          <w:rFonts w:hint="eastAsia" w:ascii="方正黑体_GBK" w:hAnsi="方正黑体_GBK" w:eastAsia="方正黑体_GBK" w:cs="Times New Roman"/>
          <w:b/>
          <w:bCs/>
          <w:vanish w:val="0"/>
          <w:color w:val="3D3D3D"/>
          <w:kern w:val="0"/>
          <w:sz w:val="13"/>
          <w:szCs w:val="13"/>
        </w:rPr>
        <w:t>请及时完成风险承受能力评估</w:t>
      </w:r>
      <w:r>
        <w:rPr>
          <w:rFonts w:hint="eastAsia" w:ascii="方正黑体_GBK" w:hAnsi="方正黑体_GBK" w:eastAsia="方正黑体_GBK"/>
          <w:b/>
          <w:bCs/>
          <w:vanish w:val="0"/>
          <w:color w:val="3D3D3D"/>
          <w:kern w:val="0"/>
          <w:sz w:val="13"/>
          <w:szCs w:val="13"/>
        </w:rPr>
        <w:t>。</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cs="Times New Roman"/>
          <w:vanish w:val="0"/>
          <w:kern w:val="2"/>
          <w:sz w:val="21"/>
          <w:szCs w:val="21"/>
        </w:rPr>
      </w:pPr>
      <w:r>
        <w:rPr>
          <w:rFonts w:hint="eastAsia" w:ascii="方正黑体_GBK" w:hAnsi="方正黑体_GBK" w:eastAsia="方正黑体_GBK" w:cs="Times New Roman"/>
          <w:b/>
          <w:bCs/>
          <w:vanish w:val="0"/>
          <w:color w:val="3D3D3D"/>
          <w:kern w:val="0"/>
          <w:sz w:val="13"/>
          <w:szCs w:val="13"/>
        </w:rPr>
        <w:t>最不利投资情形下的投资结果</w:t>
      </w:r>
      <w:r>
        <w:rPr>
          <w:rFonts w:hint="eastAsia" w:ascii="方正黑体_GBK" w:hAnsi="方正黑体_GBK" w:eastAsia="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hAnsi="方正黑体_GBK" w:eastAsia="方正黑体_GBK"/>
          <w:b/>
          <w:bCs/>
          <w:vanish w:val="0"/>
          <w:color w:val="3D3D3D"/>
          <w:kern w:val="0"/>
          <w:sz w:val="13"/>
          <w:szCs w:val="13"/>
        </w:rPr>
        <w:t>0</w:t>
      </w:r>
      <w:r>
        <w:rPr>
          <w:rFonts w:hint="eastAsia" w:ascii="方正黑体_GBK" w:hAnsi="方正黑体_GBK" w:eastAsia="方正黑体_GBK"/>
          <w:b/>
          <w:bCs/>
          <w:vanish w:val="0"/>
          <w:color w:val="3D3D3D"/>
          <w:kern w:val="0"/>
          <w:sz w:val="13"/>
          <w:szCs w:val="13"/>
        </w:rPr>
        <w:t>，即投资者面临全部本金的损失。为保证当期理财投资者权益而产生的费用由当期理财产品承担。</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示例：如投资者购买本理财产品，本金为</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万元，在理财产品资产组合项下资产全部亏损的最不利情况下，理财产品</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万元本金将全部损失。</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Times New Roman"/>
          <w:b/>
          <w:bCs w:val="0"/>
          <w:vanish w:val="0"/>
          <w:color w:val="3D3D3D"/>
          <w:kern w:val="0"/>
          <w:sz w:val="13"/>
          <w:szCs w:val="13"/>
        </w:rPr>
      </w:pP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上述风险客观存在，敬请投资者予以充分关注！</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p>
    <w:p>
      <w:pPr>
        <w:pStyle w:val="15"/>
        <w:keepNext w:val="0"/>
        <w:keepLines w:val="0"/>
        <w:pageBreakBefore w:val="0"/>
        <w:widowControl/>
        <w:suppressLineNumbers w:val="0"/>
        <w:suppressAutoHyphens w:val="0"/>
        <w:spacing w:line="200" w:lineRule="exact"/>
        <w:ind w:firstLine="260"/>
        <w:jc w:val="left"/>
        <w:rPr>
          <w:rFonts w:hint="eastAsia" w:ascii="方正黑体_GBK" w:hAnsi="方正黑体_GBK" w:eastAsia="方正黑体_GBK"/>
          <w:b/>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hint="eastAsia" w:ascii="方正黑体_GBK" w:hAnsi="方正黑体_GBK" w:eastAsia="方正黑体_GBK"/>
          <w:b/>
          <w:bCs w:val="0"/>
          <w:vanish w:val="0"/>
          <w:color w:val="3D3D3D"/>
          <w:kern w:val="0"/>
          <w:sz w:val="15"/>
          <w:szCs w:val="15"/>
          <w:u w:val="single"/>
        </w:rPr>
        <w:t>本风险揭示书</w:t>
      </w:r>
      <w:r>
        <w:rPr>
          <w:rFonts w:hint="eastAsia" w:ascii="方正黑体_GBK" w:hAnsi="方正黑体_GBK" w:eastAsia="方正黑体_GBK" w:cs="Times New Roman"/>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投资者声明：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1.</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购买本理财产品为本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真实的意思表示</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并认为该理财产品完全适合本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的投资目标、投资预期以及风险承受能力，本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自愿承担由此带来的一切后果。本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确认南银理财</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销售机构相关业务人员对于理财产品销售文件中限制或排除本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权利、增加或加重本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义务或责任以及有关免除或减轻南银理财责任或南银理财单方面拥有某些权利的条款已向本人予以说明，本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已完全理解并自愿接受。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2.</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确认，将向本理财产品销售机构真实提供信息，自主作出认购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申购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赎回等决定，自主承担投资风险。本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拒绝向销售机构提供或者未按照要求提供信息的，销售机构有权告知本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相应的后果和责任，并有权拒绝向本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提供销售服务。</w:t>
      </w:r>
    </w:p>
    <w:p>
      <w:pPr>
        <w:keepNext w:val="0"/>
        <w:keepLines w:val="0"/>
        <w:pageBreakBefore w:val="0"/>
        <w:widowControl/>
        <w:suppressLineNumbers w:val="0"/>
        <w:suppressAutoHyphens w:val="0"/>
        <w:spacing w:line="200" w:lineRule="exact"/>
        <w:ind w:firstLine="420"/>
        <w:rPr>
          <w:rFonts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3.</w:t>
      </w:r>
      <w:r>
        <w:rPr>
          <w:rFonts w:hint="eastAsia" w:ascii="方正黑体_GBK" w:hAnsi="方正黑体_GBK" w:eastAsia="方正黑体_GBK" w:cs="Times New Roman"/>
          <w:b/>
          <w:bCs w:val="0"/>
          <w:vanish w:val="0"/>
          <w:color w:val="3D3D3D"/>
          <w:kern w:val="0"/>
          <w:sz w:val="15"/>
          <w:szCs w:val="15"/>
          <w:u w:val="single"/>
        </w:rPr>
        <w:t>本投资者确认，投资本理财产品的资金非贷款、发行债券等募集的非自有资金。</w:t>
      </w:r>
    </w:p>
    <w:p>
      <w:pPr>
        <w:keepNext w:val="0"/>
        <w:keepLines w:val="0"/>
        <w:pageBreakBefore w:val="0"/>
        <w:widowControl/>
        <w:suppressLineNumbers w:val="0"/>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4.</w:t>
      </w:r>
      <w:r>
        <w:rPr>
          <w:rFonts w:hint="eastAsia" w:ascii="方正黑体_GBK" w:hAnsi="方正黑体_GBK" w:eastAsia="方正黑体_GBK" w:cs="Times New Roman"/>
          <w:b/>
          <w:bCs w:val="0"/>
          <w:vanish w:val="0"/>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w:t>
      </w:r>
      <w:r>
        <w:rPr>
          <w:rFonts w:hint="eastAsia" w:ascii="方正黑体_GBK" w:hAnsi="方正黑体_GBK" w:eastAsia="方正黑体_GBK"/>
          <w:b/>
          <w:bCs w:val="0"/>
          <w:vanish w:val="0"/>
          <w:color w:val="3D3D3D"/>
          <w:kern w:val="0"/>
          <w:sz w:val="15"/>
          <w:szCs w:val="15"/>
          <w:u w:val="single"/>
        </w:rPr>
        <w:t>（仅由个人投资者亲自填写）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rPr>
        <w:t>5.</w:t>
      </w:r>
      <w:r>
        <w:rPr>
          <w:rFonts w:hint="eastAsia" w:ascii="方正黑体_GBK" w:hAnsi="方正黑体_GBK" w:eastAsia="方正黑体_GBK"/>
          <w:b/>
          <w:bCs w:val="0"/>
          <w:vanish w:val="0"/>
          <w:color w:val="3D3D3D"/>
          <w:kern w:val="0"/>
          <w:sz w:val="15"/>
          <w:szCs w:val="15"/>
          <w:u w:val="single"/>
        </w:rPr>
        <w:t>本投资者已认真阅读并充分理解本风险揭示书</w:t>
      </w:r>
      <w:r>
        <w:rPr>
          <w:rFonts w:hint="eastAsia" w:ascii="方正黑体_GBK" w:hAnsi="方正黑体_GBK" w:eastAsia="方正黑体_GBK" w:cs="Times New Roman"/>
          <w:b/>
          <w:bCs w:val="0"/>
          <w:vanish w:val="0"/>
          <w:color w:val="3D3D3D"/>
          <w:kern w:val="0"/>
          <w:sz w:val="15"/>
          <w:szCs w:val="15"/>
          <w:u w:val="single"/>
        </w:rPr>
        <w:t>及对应期次</w:t>
      </w:r>
      <w:r>
        <w:rPr>
          <w:rFonts w:hint="eastAsia" w:ascii="方正黑体_GBK" w:hAnsi="方正黑体_GBK" w:eastAsia="方正黑体_GBK"/>
          <w:b/>
          <w:bCs w:val="0"/>
          <w:vanish w:val="0"/>
          <w:color w:val="3D3D3D"/>
          <w:kern w:val="0"/>
          <w:sz w:val="15"/>
          <w:szCs w:val="15"/>
          <w:u w:val="single"/>
        </w:rPr>
        <w:t>《理财产品销售协议书》《理财产品说明书》《投资者权益须知》</w:t>
      </w:r>
      <w:r>
        <w:rPr>
          <w:rFonts w:hint="eastAsia" w:ascii="方正黑体_GBK" w:hAnsi="方正黑体_GBK" w:eastAsia="方正黑体_GBK" w:cs="Times New Roman"/>
          <w:b/>
          <w:bCs w:val="0"/>
          <w:vanish w:val="0"/>
          <w:color w:val="3D3D3D"/>
          <w:kern w:val="0"/>
          <w:sz w:val="15"/>
          <w:szCs w:val="15"/>
          <w:u w:val="single"/>
        </w:rPr>
        <w:t>《理财产品投资协议书》等理财产品销售文件</w:t>
      </w:r>
      <w:r>
        <w:rPr>
          <w:rFonts w:hint="eastAsia" w:ascii="方正黑体_GBK" w:hAnsi="方正黑体_GBK" w:eastAsia="方正黑体_GBK"/>
          <w:b/>
          <w:bCs w:val="0"/>
          <w:vanish w:val="0"/>
          <w:color w:val="3D3D3D"/>
          <w:kern w:val="0"/>
          <w:sz w:val="15"/>
          <w:szCs w:val="15"/>
          <w:u w:val="single"/>
        </w:rPr>
        <w:t>的全部条款与内容，</w:t>
      </w:r>
      <w:r>
        <w:rPr>
          <w:rFonts w:hint="eastAsia" w:ascii="方正黑体_GBK" w:hAnsi="方正黑体_GBK" w:eastAsia="方正黑体_GBK" w:cs="Times New Roman"/>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hint="eastAsia" w:ascii="方正黑体_GBK" w:hAnsi="方正黑体_GBK" w:eastAsia="方正黑体_GBK"/>
          <w:b/>
          <w:bCs w:val="0"/>
          <w:vanish w:val="0"/>
          <w:color w:val="3D3D3D"/>
          <w:kern w:val="0"/>
          <w:sz w:val="15"/>
          <w:szCs w:val="15"/>
          <w:u w:val="single"/>
        </w:rPr>
        <w:t>充分了解履行上述文件的责任，具有识别及承担相关风险的能力，充分了解本理财产品的风险并愿意承担相关风险。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6.</w:t>
      </w:r>
      <w:r>
        <w:rPr>
          <w:rFonts w:hint="eastAsia" w:ascii="方正黑体_GBK" w:hAnsi="方正黑体_GBK" w:eastAsia="方正黑体_GBK" w:cs="Times New Roman"/>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pPr>
        <w:keepNext w:val="0"/>
        <w:keepLines w:val="0"/>
        <w:pageBreakBefore w:val="0"/>
        <w:widowControl/>
        <w:suppressLineNumbers w:val="0"/>
        <w:suppressAutoHyphens w:val="0"/>
        <w:spacing w:line="200" w:lineRule="exact"/>
        <w:ind w:firstLine="420"/>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7.</w:t>
      </w:r>
      <w:r>
        <w:rPr>
          <w:rFonts w:hint="eastAsia" w:ascii="方正黑体_GBK" w:hAnsi="方正黑体_GBK" w:eastAsia="方正黑体_GBK" w:cs="Times New Roman"/>
          <w:b/>
          <w:bCs w:val="0"/>
          <w:vanish w:val="0"/>
          <w:color w:val="3D3D3D"/>
          <w:kern w:val="0"/>
          <w:sz w:val="15"/>
          <w:szCs w:val="15"/>
          <w:u w:val="single"/>
        </w:rPr>
        <w:t>如销售机构为管理人关联方的，本</w:t>
      </w:r>
      <w:r>
        <w:rPr>
          <w:rFonts w:hint="eastAsia" w:ascii="方正黑体_GBK" w:hAnsi="方正黑体_GBK" w:eastAsia="方正黑体_GBK"/>
          <w:b/>
          <w:bCs w:val="0"/>
          <w:vanish w:val="0"/>
          <w:color w:val="3D3D3D"/>
          <w:kern w:val="0"/>
          <w:sz w:val="15"/>
          <w:szCs w:val="15"/>
          <w:u w:val="single"/>
        </w:rPr>
        <w:t>投资者认可此等关联方及关联交易情形的存在并自愿承担相关投资风险。</w:t>
      </w:r>
    </w:p>
    <w:p>
      <w:pPr>
        <w:keepNext w:val="0"/>
        <w:keepLines w:val="0"/>
        <w:pageBreakBefore w:val="0"/>
        <w:widowControl/>
        <w:suppressLineNumbers w:val="0"/>
        <w:suppressAutoHyphens w:val="0"/>
        <w:spacing w:line="200" w:lineRule="exact"/>
        <w:ind w:firstLine="420"/>
        <w:rPr>
          <w:rFonts w:ascii="方正黑体_GBK" w:hAnsi="方正黑体_GBK" w:eastAsia="方正黑体_GBK"/>
          <w:vanish w:val="0"/>
          <w:color w:val="3D3D3D"/>
          <w:kern w:val="0"/>
          <w:sz w:val="15"/>
          <w:szCs w:val="15"/>
          <w:u w:val="single"/>
        </w:rPr>
      </w:pPr>
      <w:r>
        <w:rPr>
          <w:rFonts w:hint="eastAsia" w:ascii="方正黑体_GBK" w:hAnsi="方正黑体_GBK" w:eastAsia="方正黑体_GBK"/>
          <w:vanish w:val="0"/>
          <w:color w:val="3D3D3D"/>
          <w:kern w:val="0"/>
          <w:sz w:val="15"/>
          <w:szCs w:val="15"/>
        </w:rPr>
        <w:t>8.以下划线部分，请投资者抄录确认：</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b/>
          <w:bCs w:val="0"/>
          <w:vanish w:val="0"/>
          <w:color w:val="3D3D3D"/>
          <w:kern w:val="0"/>
          <w:sz w:val="15"/>
          <w:szCs w:val="15"/>
          <w:u w:val="single"/>
        </w:rPr>
        <w:t>本人已经阅读风险揭示，愿意承担投资风险</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vanish w:val="0"/>
          <w:color w:val="3D3D3D"/>
          <w:kern w:val="0"/>
          <w:sz w:val="15"/>
          <w:szCs w:val="15"/>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投资者抄录：</w:t>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3"/>
          <w:szCs w:val="13"/>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tbl>
      <w:tblPr>
        <w:tblStyle w:val="12"/>
        <w:tblW w:w="0" w:type="auto"/>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34"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b/>
                <w:bCs w:val="0"/>
                <w:vanish w:val="0"/>
                <w:kern w:val="2"/>
                <w:sz w:val="15"/>
                <w:szCs w:val="15"/>
              </w:rPr>
            </w:pPr>
            <w:r>
              <w:rPr>
                <w:rFonts w:hint="eastAsia" w:ascii="方正黑体_GBK" w:hAnsi="方正黑体_GBK" w:eastAsia="方正黑体_GBK"/>
                <w:b/>
                <w:bCs w:val="0"/>
                <w:vanish w:val="0"/>
                <w:kern w:val="2"/>
                <w:sz w:val="15"/>
                <w:szCs w:val="15"/>
              </w:rPr>
              <w:t>个人投资者</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suppressLineNumbers w:val="0"/>
              <w:suppressAutoHyphens w:val="0"/>
              <w:spacing w:after="0" w:afterAutospacing="0" w:line="360" w:lineRule="auto"/>
              <w:ind w:left="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auto"/>
                <w:kern w:val="2"/>
                <w:sz w:val="15"/>
                <w:szCs w:val="15"/>
              </w:rPr>
              <w:t>签名：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360" w:lineRule="auto"/>
              <w:ind w:left="0" w:firstLine="130" w:firstLineChars="100"/>
              <w:rPr>
                <w:rFonts w:ascii="方正黑体_GBK" w:hAnsi="方正黑体_GBK" w:eastAsia="方正黑体_GBK"/>
                <w:vanish w:val="0"/>
                <w:color w:val="auto"/>
                <w:kern w:val="2"/>
                <w:sz w:val="15"/>
                <w:szCs w:val="15"/>
              </w:rPr>
            </w:pP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3D3D3D"/>
                <w:kern w:val="0"/>
                <w:sz w:val="15"/>
                <w:szCs w:val="15"/>
              </w:rPr>
              <w:t>机构投资者</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盖章（公章）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法定代表人或授权代理人（</w:t>
            </w:r>
            <w:r>
              <w:rPr>
                <w:rFonts w:hint="eastAsia" w:ascii="方正黑体_GBK" w:hAnsi="方正黑体_GBK" w:eastAsia="方正黑体_GBK" w:cs="Times New Roman"/>
                <w:b/>
                <w:bCs/>
                <w:vanish w:val="0"/>
                <w:color w:val="3D3D3D"/>
                <w:kern w:val="0"/>
                <w:sz w:val="15"/>
                <w:szCs w:val="15"/>
              </w:rPr>
              <w:t>签名</w:t>
            </w:r>
            <w:r>
              <w:rPr>
                <w:rFonts w:hint="eastAsia" w:ascii="方正黑体_GBK" w:hAnsi="方正黑体_GBK" w:eastAsia="方正黑体_GBK"/>
                <w:b/>
                <w:bCs/>
                <w:vanish w:val="0"/>
                <w:color w:val="3D3D3D"/>
                <w:kern w:val="0"/>
                <w:sz w:val="15"/>
                <w:szCs w:val="15"/>
              </w:rPr>
              <w:t>或盖章）：</w:t>
            </w:r>
            <w:r>
              <w:rPr>
                <w:rFonts w:ascii="方正黑体_GBK" w:hAnsi="方正黑体_GBK" w:eastAsia="方正黑体_GBK"/>
                <w:b/>
                <w:bCs/>
                <w:vanish w:val="0"/>
                <w:color w:val="3D3D3D"/>
                <w:kern w:val="0"/>
                <w:sz w:val="15"/>
                <w:szCs w:val="15"/>
              </w:rPr>
              <w:t xml:space="preserve"> </w:t>
            </w:r>
            <w:r>
              <w:rPr>
                <w:rFonts w:ascii="方正黑体_GBK" w:hAnsi="方正黑体_GBK" w:eastAsia="方正黑体_GBK"/>
                <w:b/>
                <w:bCs/>
                <w:vanish w:val="0"/>
                <w:color w:val="3D3D3D"/>
                <w:kern w:val="0"/>
                <w:sz w:val="15"/>
                <w:szCs w:val="15"/>
              </w:rPr>
              <w:tab/>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3D3D3D"/>
                <w:kern w:val="0"/>
                <w:sz w:val="13"/>
                <w:szCs w:val="13"/>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auto"/>
                <w:kern w:val="2"/>
                <w:sz w:val="15"/>
                <w:szCs w:val="15"/>
              </w:rPr>
            </w:pP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1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auto"/>
                <w:kern w:val="2"/>
                <w:sz w:val="15"/>
                <w:szCs w:val="15"/>
              </w:rPr>
              <w:t>电子</w:t>
            </w:r>
            <w:r>
              <w:rPr>
                <w:rFonts w:hint="eastAsia" w:ascii="方正黑体_GBK" w:hAnsi="方正黑体_GBK" w:eastAsia="方正黑体_GBK" w:cs="Times New Roman"/>
                <w:b/>
                <w:bCs/>
                <w:vanish w:val="0"/>
                <w:color w:val="auto"/>
                <w:kern w:val="2"/>
                <w:sz w:val="15"/>
                <w:szCs w:val="15"/>
              </w:rPr>
              <w:t>渠道</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firstLine="300" w:firstLineChars="200"/>
              <w:rPr>
                <w:rFonts w:ascii="方正黑体_GBK" w:hAnsi="方正黑体_GBK" w:eastAsia="方正黑体_GBK"/>
                <w:vanish w:val="0"/>
                <w:color w:val="auto"/>
                <w:kern w:val="2"/>
                <w:sz w:val="15"/>
                <w:szCs w:val="15"/>
              </w:rPr>
            </w:pPr>
            <w:r>
              <w:rPr>
                <w:rFonts w:hint="eastAsia" w:ascii="方正黑体_GBK" w:hAnsi="方正黑体_GBK" w:eastAsia="方正黑体_GBK"/>
                <w:b/>
                <w:bCs w:val="0"/>
                <w:vanish w:val="0"/>
                <w:color w:val="3D3D3D"/>
                <w:kern w:val="0"/>
                <w:sz w:val="15"/>
                <w:szCs w:val="15"/>
                <w:u w:val="single"/>
              </w:rPr>
              <w:t>如投资者通过电子</w:t>
            </w:r>
            <w:r>
              <w:rPr>
                <w:rFonts w:hint="eastAsia" w:ascii="方正黑体_GBK" w:hAnsi="方正黑体_GBK" w:eastAsia="方正黑体_GBK" w:cs="Times New Roman"/>
                <w:b/>
                <w:bCs w:val="0"/>
                <w:vanish w:val="0"/>
                <w:color w:val="3D3D3D"/>
                <w:kern w:val="0"/>
                <w:sz w:val="15"/>
                <w:szCs w:val="15"/>
                <w:u w:val="single"/>
              </w:rPr>
              <w:t>渠道</w:t>
            </w:r>
            <w:r>
              <w:rPr>
                <w:rFonts w:hint="eastAsia" w:ascii="方正黑体_GBK" w:hAnsi="方正黑体_GBK" w:eastAsia="方正黑体_GBK"/>
                <w:b/>
                <w:bCs w:val="0"/>
                <w:vanish w:val="0"/>
                <w:color w:val="3D3D3D"/>
                <w:kern w:val="0"/>
                <w:sz w:val="15"/>
                <w:szCs w:val="15"/>
                <w:u w:val="single"/>
              </w:rPr>
              <w:t>（包括但不限于网上银行、手机银行或官方网站等）购买本理财产品的，</w:t>
            </w:r>
            <w:r>
              <w:rPr>
                <w:rFonts w:hint="eastAsia" w:ascii="方正黑体_GBK" w:hAnsi="方正黑体_GBK" w:eastAsia="方正黑体_GBK"/>
                <w:vanish w:val="0"/>
                <w:spacing w:val="10"/>
                <w:kern w:val="2"/>
                <w:sz w:val="15"/>
                <w:szCs w:val="15"/>
              </w:rPr>
              <w:t>本风险揭示书以数据电文形式订立，</w:t>
            </w:r>
            <w:r>
              <w:rPr>
                <w:rFonts w:hint="eastAsia" w:ascii="方正黑体_GBK" w:hAnsi="方正黑体_GBK" w:eastAsia="方正黑体_GBK"/>
                <w:b/>
                <w:bCs w:val="0"/>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hint="eastAsia" w:ascii="方正黑体_GBK" w:hAnsi="方正黑体_GBK" w:eastAsia="方正黑体_GBK"/>
                <w:b/>
                <w:bCs w:val="0"/>
                <w:vanish w:val="0"/>
                <w:color w:val="3D3D3D"/>
                <w:kern w:val="0"/>
                <w:sz w:val="15"/>
                <w:szCs w:val="15"/>
                <w:u w:val="single"/>
              </w:rPr>
              <w:t>即视为</w:t>
            </w:r>
            <w:r>
              <w:rPr>
                <w:rFonts w:hint="eastAsia" w:ascii="方正黑体_GBK" w:hAnsi="方正黑体_GBK" w:eastAsia="方正黑体_GBK" w:cs="Times New Roman"/>
                <w:b/>
                <w:bCs w:val="0"/>
                <w:vanish w:val="0"/>
                <w:color w:val="3D3D3D"/>
                <w:kern w:val="0"/>
                <w:sz w:val="15"/>
                <w:szCs w:val="15"/>
                <w:u w:val="single"/>
              </w:rPr>
              <w:t>投资者</w:t>
            </w:r>
            <w:r>
              <w:rPr>
                <w:rFonts w:hint="eastAsia" w:ascii="方正黑体_GBK" w:hAnsi="方正黑体_GBK" w:eastAsia="方正黑体_GBK"/>
                <w:b/>
                <w:bCs w:val="0"/>
                <w:vanish w:val="0"/>
                <w:color w:val="3D3D3D"/>
                <w:kern w:val="0"/>
                <w:sz w:val="15"/>
                <w:szCs w:val="15"/>
                <w:u w:val="single"/>
              </w:rPr>
              <w:t>确认其符合本理财产品的风险等级并自愿承担投资风险。</w:t>
            </w:r>
            <w:r>
              <w:rPr>
                <w:rFonts w:hint="eastAsia" w:ascii="方正黑体_GBK" w:hAnsi="方正黑体_GBK" w:eastAsia="方正黑体_GBK"/>
                <w:vanish w:val="0"/>
                <w:spacing w:val="10"/>
                <w:kern w:val="2"/>
                <w:sz w:val="15"/>
                <w:szCs w:val="15"/>
              </w:rPr>
              <w:t>电子</w:t>
            </w:r>
            <w:r>
              <w:rPr>
                <w:rFonts w:hint="eastAsia" w:ascii="方正黑体_GBK" w:hAnsi="方正黑体_GBK" w:eastAsia="方正黑体_GBK" w:cs="Times New Roman"/>
                <w:vanish w:val="0"/>
                <w:spacing w:val="10"/>
                <w:kern w:val="2"/>
                <w:sz w:val="15"/>
                <w:szCs w:val="15"/>
              </w:rPr>
              <w:t>渠道</w:t>
            </w:r>
            <w:r>
              <w:rPr>
                <w:rFonts w:hint="eastAsia" w:ascii="方正黑体_GBK" w:hAnsi="方正黑体_GBK" w:eastAsia="方正黑体_GBK"/>
                <w:vanish w:val="0"/>
                <w:spacing w:val="10"/>
                <w:kern w:val="2"/>
                <w:sz w:val="15"/>
                <w:szCs w:val="15"/>
              </w:rPr>
              <w:t>所生成和保留记载的相关电子数据及交易记录以及南银理财、</w:t>
            </w:r>
            <w:r>
              <w:rPr>
                <w:rFonts w:hint="eastAsia" w:ascii="方正黑体_GBK" w:hAnsi="方正黑体_GBK" w:eastAsia="方正黑体_GBK" w:cs="Times New Roman"/>
                <w:vanish w:val="0"/>
                <w:spacing w:val="10"/>
                <w:kern w:val="2"/>
                <w:sz w:val="15"/>
                <w:szCs w:val="15"/>
              </w:rPr>
              <w:t>销售机构</w:t>
            </w:r>
            <w:r>
              <w:rPr>
                <w:rFonts w:hint="eastAsia" w:ascii="方正黑体_GBK" w:hAnsi="方正黑体_GBK" w:eastAsia="方正黑体_GBK"/>
                <w:vanish w:val="0"/>
                <w:spacing w:val="10"/>
                <w:kern w:val="2"/>
                <w:sz w:val="15"/>
                <w:szCs w:val="15"/>
              </w:rPr>
              <w:t>、托管机构制作或保留的相关电子及纸质单据、凭证、记录等相关资料</w:t>
            </w:r>
            <w:r>
              <w:rPr>
                <w:rFonts w:hint="eastAsia" w:ascii="方正黑体_GBK" w:hAnsi="方正黑体_GBK" w:eastAsia="方正黑体_GBK" w:cs="Times New Roman"/>
                <w:vanish w:val="0"/>
                <w:spacing w:val="10"/>
                <w:kern w:val="2"/>
                <w:sz w:val="15"/>
                <w:szCs w:val="15"/>
              </w:rPr>
              <w:t>，</w:t>
            </w:r>
            <w:r>
              <w:rPr>
                <w:rFonts w:hint="eastAsia" w:ascii="方正黑体_GBK" w:hAnsi="方正黑体_GBK" w:eastAsia="方正黑体_GBK"/>
                <w:vanish w:val="0"/>
                <w:spacing w:val="10"/>
                <w:kern w:val="2"/>
                <w:sz w:val="15"/>
                <w:szCs w:val="15"/>
              </w:rPr>
              <w:t>构成有效证明投资者与南银理财双方之间权利义务关系的确定证据，投资者无条件认可电子数据的有效性和证据效力。</w:t>
            </w:r>
          </w:p>
        </w:tc>
      </w:tr>
    </w:tbl>
    <w:p>
      <w:pPr>
        <w:rPr>
          <w:rFonts w:ascii="宋体" w:hAnsi="宋体" w:cs="宋体"/>
          <w:sz w:val="28"/>
        </w:rPr>
      </w:pPr>
      <w:r>
        <w:rPr>
          <w:rFonts w:ascii="宋体" w:hAnsi="宋体" w:cs="宋体"/>
          <w:sz w:val="28"/>
        </w:rPr>
        <w:t>尊敬的客户：</w:t>
      </w:r>
    </w:p>
    <w:p>
      <w:pPr>
        <w:ind w:firstLine="560" w:firstLineChars="200"/>
        <w:rPr>
          <w:rFonts w:ascii="宋体" w:hAnsi="宋体" w:cs="宋体"/>
          <w:sz w:val="28"/>
        </w:rPr>
      </w:pPr>
      <w:r>
        <w:rPr>
          <w:rFonts w:ascii="宋体" w:hAnsi="宋体" w:cs="宋体"/>
          <w:sz w:val="28"/>
        </w:rPr>
        <w:t>根据代销机构风险评级，本产品为</w:t>
      </w:r>
      <w:r>
        <w:rPr>
          <w:rFonts w:ascii="宋体" w:hAnsi="宋体" w:cs="宋体"/>
          <w:b/>
          <w:color w:val="FF0000"/>
          <w:sz w:val="28"/>
        </w:rPr>
        <w:t>中</w:t>
      </w:r>
      <w:r>
        <w:rPr>
          <w:rFonts w:hint="eastAsia" w:ascii="宋体" w:hAnsi="宋体" w:cs="宋体"/>
          <w:b/>
          <w:color w:val="FF0000"/>
          <w:sz w:val="28"/>
        </w:rPr>
        <w:t>低</w:t>
      </w:r>
      <w:r>
        <w:rPr>
          <w:rFonts w:ascii="宋体" w:hAnsi="宋体" w:cs="宋体"/>
          <w:b/>
          <w:color w:val="FF0000"/>
          <w:sz w:val="28"/>
        </w:rPr>
        <w:t>风险</w:t>
      </w:r>
      <w:r>
        <w:rPr>
          <w:rFonts w:ascii="宋体" w:hAnsi="宋体" w:cs="宋体"/>
          <w:sz w:val="28"/>
        </w:rPr>
        <w:t>理财产品，适合本行风险承受能力为</w:t>
      </w:r>
      <w:r>
        <w:rPr>
          <w:rFonts w:ascii="宋体" w:hAnsi="宋体" w:cs="宋体"/>
          <w:b/>
          <w:color w:val="FF0000"/>
          <w:sz w:val="28"/>
        </w:rPr>
        <w:t>中</w:t>
      </w:r>
      <w:r>
        <w:rPr>
          <w:rFonts w:hint="eastAsia" w:ascii="宋体" w:hAnsi="宋体" w:cs="宋体"/>
          <w:b/>
          <w:color w:val="FF0000"/>
          <w:sz w:val="28"/>
        </w:rPr>
        <w:t>低</w:t>
      </w:r>
      <w:r>
        <w:rPr>
          <w:rFonts w:ascii="宋体" w:hAnsi="宋体" w:cs="宋体"/>
          <w:b/>
          <w:color w:val="FF0000"/>
          <w:sz w:val="28"/>
        </w:rPr>
        <w:t>及以上</w:t>
      </w:r>
      <w:r>
        <w:rPr>
          <w:rFonts w:ascii="宋体" w:hAnsi="宋体" w:cs="宋体"/>
          <w:sz w:val="28"/>
        </w:rPr>
        <w:t>客户购买，请选择与您风险承受能力相匹配的理财产品。</w:t>
      </w:r>
    </w:p>
    <w:p>
      <w:pPr>
        <w:rPr>
          <w:rFonts w:ascii="宋体" w:hAnsi="宋体" w:cs="宋体"/>
          <w:sz w:val="28"/>
        </w:rPr>
      </w:pPr>
      <w:r>
        <w:rPr>
          <w:rFonts w:ascii="宋体" w:hAnsi="宋体" w:cs="宋体"/>
          <w:sz w:val="28"/>
        </w:rPr>
        <w:t>（理财产品风险分级为：低、中低、中等、中高、高）。</w:t>
      </w:r>
    </w:p>
    <w:p>
      <w:pPr>
        <w:ind w:firstLine="560" w:firstLineChars="200"/>
        <w:rPr>
          <w:rFonts w:ascii="宋体" w:hAnsi="宋体" w:cs="宋体"/>
          <w:sz w:val="28"/>
        </w:rPr>
      </w:pPr>
      <w:r>
        <w:rPr>
          <w:rFonts w:ascii="宋体" w:hAnsi="宋体" w:cs="宋体"/>
          <w:color w:val="FF0000"/>
          <w:sz w:val="28"/>
        </w:rPr>
        <w:t>本产品由</w:t>
      </w:r>
      <w:r>
        <w:rPr>
          <w:rFonts w:hint="eastAsia" w:ascii="宋体" w:hAnsi="宋体" w:cs="宋体"/>
          <w:color w:val="FF0000"/>
          <w:sz w:val="28"/>
        </w:rPr>
        <w:t>南银理财</w:t>
      </w:r>
      <w:r>
        <w:rPr>
          <w:rFonts w:ascii="宋体" w:hAnsi="宋体" w:cs="宋体"/>
          <w:color w:val="FF0000"/>
          <w:sz w:val="28"/>
        </w:rPr>
        <w:t>有限责任公司发行与管理，代销机构不承担产品的投资、兑付和风险管理责任。</w:t>
      </w:r>
    </w:p>
    <w:p>
      <w:pPr>
        <w:ind w:firstLine="560" w:firstLineChars="200"/>
        <w:rPr>
          <w:rFonts w:ascii="宋体" w:hAnsi="宋体" w:cs="宋体"/>
          <w:sz w:val="28"/>
        </w:rPr>
      </w:pPr>
    </w:p>
    <w:p>
      <w:pPr>
        <w:pStyle w:val="58"/>
        <w:spacing w:line="240" w:lineRule="auto"/>
        <w:ind w:left="0"/>
        <w:jc w:val="right"/>
        <w:rPr>
          <w:rFonts w:hAnsi="宋体"/>
          <w:sz w:val="28"/>
        </w:rPr>
      </w:pPr>
      <w:r>
        <w:rPr>
          <w:rFonts w:hAnsi="宋体"/>
          <w:sz w:val="28"/>
        </w:rPr>
        <w:t>风险提示方：江苏紫金农村商业银行股份有限公司</w:t>
      </w:r>
    </w:p>
    <w:p>
      <w:pPr>
        <w:pStyle w:val="58"/>
        <w:spacing w:line="240" w:lineRule="auto"/>
        <w:ind w:left="0"/>
        <w:jc w:val="right"/>
        <w:rPr>
          <w:rFonts w:hAnsi="宋体"/>
          <w:sz w:val="28"/>
        </w:rPr>
      </w:pPr>
    </w:p>
    <w:p>
      <w:pPr>
        <w:rPr>
          <w:rFonts w:hint="eastAsia" w:ascii="方正黑体_GBK" w:hAnsi="方正黑体_GBK" w:eastAsia="方正黑体_GBK"/>
          <w:sz w:val="20"/>
          <w:szCs w:val="20"/>
          <w:lang w:val="en-US" w:eastAsia="zh-CN"/>
        </w:rPr>
      </w:pPr>
      <w:bookmarkStart w:id="0" w:name="_GoBack"/>
      <w:bookmarkEnd w:id="0"/>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t>南银理财理财产品销售文件（2021第2版）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docVars>
    <w:docVar w:name="commondata" w:val="eyJoZGlkIjoiMWYwYzZjMjc0ZWUwNTYxNjQxZTk1ZGJlNzhlMGUwOTAifQ=="/>
  </w:docVars>
  <w:rsids>
    <w:rsidRoot w:val="00000000"/>
    <w:rsid w:val="54500C5A"/>
    <w:rsid w:val="7B4A570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toc 5"/>
    <w:basedOn w:val="1"/>
    <w:next w:val="1"/>
    <w:qFormat/>
    <w:uiPriority w:val="0"/>
    <w:pPr>
      <w:ind w:left="1680"/>
    </w:pPr>
  </w:style>
  <w:style w:type="paragraph" w:styleId="6">
    <w:name w:val="toc 3"/>
    <w:basedOn w:val="1"/>
    <w:next w:val="1"/>
    <w:qFormat/>
    <w:uiPriority w:val="0"/>
    <w:pPr>
      <w:ind w:left="840"/>
    </w:pPr>
  </w:style>
  <w:style w:type="paragraph" w:styleId="7">
    <w:name w:val="footer"/>
    <w:basedOn w:val="1"/>
    <w:qFormat/>
    <w:uiPriority w:val="0"/>
    <w:pPr>
      <w:tabs>
        <w:tab w:val="center" w:pos="4153"/>
        <w:tab w:val="right" w:pos="8307"/>
      </w:tabs>
      <w:adjustRightInd/>
      <w:snapToGrid w:val="0"/>
      <w:contextualSpacing w:val="0"/>
      <w:jc w:val="left"/>
    </w:pPr>
    <w:rPr>
      <w:sz w:val="18"/>
    </w:rPr>
  </w:style>
  <w:style w:type="paragraph" w:styleId="8">
    <w:name w:val="header"/>
    <w:basedOn w:val="1"/>
    <w:qFormat/>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qFormat/>
    <w:uiPriority w:val="0"/>
  </w:style>
  <w:style w:type="paragraph" w:styleId="10">
    <w:name w:val="toc 4"/>
    <w:basedOn w:val="1"/>
    <w:next w:val="1"/>
    <w:qFormat/>
    <w:uiPriority w:val="0"/>
    <w:pPr>
      <w:ind w:left="1260"/>
    </w:pPr>
  </w:style>
  <w:style w:type="paragraph" w:styleId="11">
    <w:name w:val="toc 2"/>
    <w:basedOn w:val="1"/>
    <w:next w:val="1"/>
    <w:qFormat/>
    <w:uiPriority w:val="0"/>
    <w:pPr>
      <w:ind w:left="420"/>
    </w:pPr>
  </w:style>
  <w:style w:type="character" w:styleId="14">
    <w:name w:val="Strong"/>
    <w:qFormat/>
    <w:uiPriority w:val="0"/>
    <w:rPr>
      <w:b/>
    </w:rPr>
  </w:style>
  <w:style w:type="paragraph" w:customStyle="1" w:styleId="15">
    <w:name w:val="Normal49c60d4d"/>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54c60475"/>
    <w:basedOn w:val="15"/>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066b9509"/>
    <w:basedOn w:val="15"/>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025192e0"/>
    <w:basedOn w:val="15"/>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3ba1459f"/>
    <w:qFormat/>
    <w:uiPriority w:val="0"/>
  </w:style>
  <w:style w:type="paragraph" w:customStyle="1" w:styleId="20">
    <w:name w:val="toc 175352dfd"/>
    <w:basedOn w:val="15"/>
    <w:next w:val="1"/>
    <w:qFormat/>
    <w:uiPriority w:val="0"/>
  </w:style>
  <w:style w:type="paragraph" w:customStyle="1" w:styleId="21">
    <w:name w:val="toc 2e000ae7d"/>
    <w:basedOn w:val="15"/>
    <w:next w:val="1"/>
    <w:qFormat/>
    <w:uiPriority w:val="0"/>
    <w:pPr>
      <w:ind w:left="420"/>
    </w:pPr>
  </w:style>
  <w:style w:type="paragraph" w:customStyle="1" w:styleId="22">
    <w:name w:val="toc 3f3f22ab0"/>
    <w:basedOn w:val="15"/>
    <w:next w:val="1"/>
    <w:uiPriority w:val="0"/>
    <w:pPr>
      <w:ind w:left="840"/>
    </w:pPr>
  </w:style>
  <w:style w:type="paragraph" w:customStyle="1" w:styleId="23">
    <w:name w:val="toc 43dcd67a3"/>
    <w:basedOn w:val="15"/>
    <w:next w:val="1"/>
    <w:uiPriority w:val="0"/>
    <w:pPr>
      <w:ind w:left="1260"/>
    </w:pPr>
  </w:style>
  <w:style w:type="paragraph" w:customStyle="1" w:styleId="24">
    <w:name w:val="toc 5f621692e"/>
    <w:basedOn w:val="15"/>
    <w:next w:val="1"/>
    <w:qFormat/>
    <w:uiPriority w:val="0"/>
    <w:pPr>
      <w:ind w:left="1680"/>
    </w:pPr>
  </w:style>
  <w:style w:type="paragraph" w:customStyle="1" w:styleId="25">
    <w:name w:val="headere816b2df"/>
    <w:basedOn w:val="15"/>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f3c1b51f"/>
    <w:basedOn w:val="15"/>
    <w:uiPriority w:val="0"/>
    <w:pPr>
      <w:tabs>
        <w:tab w:val="center" w:pos="4153"/>
        <w:tab w:val="right" w:pos="8307"/>
      </w:tabs>
      <w:adjustRightInd/>
      <w:snapToGrid w:val="0"/>
      <w:contextualSpacing w:val="0"/>
      <w:jc w:val="left"/>
    </w:pPr>
    <w:rPr>
      <w:sz w:val="18"/>
    </w:rPr>
  </w:style>
  <w:style w:type="character" w:customStyle="1" w:styleId="27">
    <w:name w:val="Strong11d47a56"/>
    <w:uiPriority w:val="0"/>
    <w:rPr>
      <w:b/>
    </w:rPr>
  </w:style>
  <w:style w:type="paragraph" w:customStyle="1" w:styleId="28">
    <w:name w:val="annotation text23"/>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d25cfddd"/>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c39fba2d"/>
    <w:basedOn w:val="29"/>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894cfe8d"/>
    <w:basedOn w:val="29"/>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abef129d"/>
    <w:basedOn w:val="29"/>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c4cb0fb1"/>
    <w:uiPriority w:val="0"/>
  </w:style>
  <w:style w:type="paragraph" w:customStyle="1" w:styleId="34">
    <w:name w:val="Normal Indent95c30609"/>
    <w:basedOn w:val="29"/>
    <w:uiPriority w:val="0"/>
    <w:pPr>
      <w:ind w:firstLine="200" w:firstLineChars="200"/>
    </w:pPr>
  </w:style>
  <w:style w:type="paragraph" w:customStyle="1" w:styleId="35">
    <w:name w:val="toc 5ca4f55f6"/>
    <w:basedOn w:val="29"/>
    <w:next w:val="1"/>
    <w:uiPriority w:val="0"/>
    <w:pPr>
      <w:ind w:left="1680"/>
    </w:pPr>
  </w:style>
  <w:style w:type="paragraph" w:customStyle="1" w:styleId="36">
    <w:name w:val="toc 3ffca7fc5"/>
    <w:basedOn w:val="29"/>
    <w:next w:val="1"/>
    <w:uiPriority w:val="0"/>
    <w:pPr>
      <w:ind w:left="840"/>
    </w:pPr>
  </w:style>
  <w:style w:type="paragraph" w:customStyle="1" w:styleId="37">
    <w:name w:val="footer5a06362b"/>
    <w:basedOn w:val="29"/>
    <w:qFormat/>
    <w:uiPriority w:val="0"/>
    <w:pPr>
      <w:tabs>
        <w:tab w:val="center" w:pos="4153"/>
        <w:tab w:val="right" w:pos="8307"/>
      </w:tabs>
      <w:adjustRightInd/>
      <w:snapToGrid w:val="0"/>
      <w:contextualSpacing w:val="0"/>
      <w:jc w:val="left"/>
    </w:pPr>
    <w:rPr>
      <w:sz w:val="18"/>
    </w:rPr>
  </w:style>
  <w:style w:type="paragraph" w:customStyle="1" w:styleId="38">
    <w:name w:val="header59847e11"/>
    <w:basedOn w:val="29"/>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8294de8a"/>
    <w:basedOn w:val="29"/>
    <w:next w:val="1"/>
    <w:qFormat/>
    <w:uiPriority w:val="0"/>
  </w:style>
  <w:style w:type="paragraph" w:customStyle="1" w:styleId="40">
    <w:name w:val="toc 4efe0ca32"/>
    <w:basedOn w:val="29"/>
    <w:next w:val="1"/>
    <w:qFormat/>
    <w:uiPriority w:val="0"/>
    <w:pPr>
      <w:ind w:left="1260"/>
    </w:pPr>
  </w:style>
  <w:style w:type="paragraph" w:customStyle="1" w:styleId="41">
    <w:name w:val="toc 22240301f"/>
    <w:basedOn w:val="29"/>
    <w:next w:val="1"/>
    <w:qFormat/>
    <w:uiPriority w:val="0"/>
    <w:pPr>
      <w:ind w:left="420"/>
    </w:pPr>
  </w:style>
  <w:style w:type="paragraph" w:customStyle="1" w:styleId="42">
    <w:name w:val="Normal (Web)abece03a"/>
    <w:next w:val="8"/>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68f808d668f808d6"/>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31383caf31383caf"/>
    <w:basedOn w:val="44"/>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9196e8419196e841"/>
    <w:basedOn w:val="44"/>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a4774625a4774625"/>
    <w:basedOn w:val="44"/>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2408445624084456"/>
    <w:uiPriority w:val="0"/>
  </w:style>
  <w:style w:type="paragraph" w:customStyle="1" w:styleId="49">
    <w:name w:val="引文目录11019d37b1019d37b"/>
    <w:basedOn w:val="44"/>
    <w:next w:val="1"/>
    <w:uiPriority w:val="0"/>
    <w:pPr>
      <w:ind w:left="200" w:leftChars="200"/>
    </w:pPr>
  </w:style>
  <w:style w:type="paragraph" w:customStyle="1" w:styleId="50">
    <w:name w:val="toc 5207ea50d207ea50d"/>
    <w:basedOn w:val="44"/>
    <w:next w:val="1"/>
    <w:uiPriority w:val="0"/>
    <w:pPr>
      <w:ind w:left="1680"/>
    </w:pPr>
  </w:style>
  <w:style w:type="paragraph" w:customStyle="1" w:styleId="51">
    <w:name w:val="toc 3b6497eeab6497eea"/>
    <w:basedOn w:val="44"/>
    <w:next w:val="1"/>
    <w:uiPriority w:val="0"/>
    <w:pPr>
      <w:ind w:left="840"/>
    </w:pPr>
  </w:style>
  <w:style w:type="paragraph" w:customStyle="1" w:styleId="52">
    <w:name w:val="footeraf05b424af05b424"/>
    <w:basedOn w:val="44"/>
    <w:uiPriority w:val="0"/>
    <w:pPr>
      <w:tabs>
        <w:tab w:val="center" w:pos="4153"/>
        <w:tab w:val="right" w:pos="8307"/>
      </w:tabs>
      <w:adjustRightInd/>
      <w:snapToGrid w:val="0"/>
      <w:contextualSpacing w:val="0"/>
      <w:jc w:val="left"/>
    </w:pPr>
    <w:rPr>
      <w:sz w:val="18"/>
    </w:rPr>
  </w:style>
  <w:style w:type="paragraph" w:customStyle="1" w:styleId="53">
    <w:name w:val="header9f0c4e079f0c4e07"/>
    <w:basedOn w:val="44"/>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18efbd3e18efbd3e"/>
    <w:basedOn w:val="44"/>
    <w:next w:val="1"/>
    <w:uiPriority w:val="0"/>
  </w:style>
  <w:style w:type="paragraph" w:customStyle="1" w:styleId="55">
    <w:name w:val="toc 4aad7ed8daad7ed8d"/>
    <w:basedOn w:val="44"/>
    <w:next w:val="1"/>
    <w:uiPriority w:val="0"/>
    <w:pPr>
      <w:ind w:left="1260"/>
    </w:pPr>
  </w:style>
  <w:style w:type="paragraph" w:customStyle="1" w:styleId="56">
    <w:name w:val="toc 233c78f0c33c78f0c"/>
    <w:basedOn w:val="44"/>
    <w:next w:val="1"/>
    <w:uiPriority w:val="0"/>
    <w:pPr>
      <w:ind w:left="420"/>
    </w:pPr>
  </w:style>
  <w:style w:type="paragraph" w:customStyle="1" w:styleId="57">
    <w:name w:val="列出段落13b9dffc43b9dffc4"/>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58">
    <w:name w:val="Default"/>
    <w:qFormat/>
    <w:uiPriority w:val="0"/>
    <w:pPr>
      <w:widowControl w:val="0"/>
      <w:autoSpaceDE w:val="0"/>
      <w:autoSpaceDN w:val="0"/>
      <w:adjustRightInd w:val="0"/>
    </w:pPr>
    <w:rPr>
      <w:rFonts w:ascii="宋体" w:hAnsi="等线" w:eastAsia="宋体" w:cs="宋体"/>
      <w:snapToGrid/>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3</Pages>
  <Words>23330</Words>
  <Characters>23938</Characters>
  <Lines>77</Lines>
  <Paragraphs>27</Paragraphs>
  <TotalTime>0</TotalTime>
  <ScaleCrop>false</ScaleCrop>
  <LinksUpToDate>false</LinksUpToDate>
  <CharactersWithSpaces>24106</CharactersWithSpaces>
  <Application>WPS Office_11.8.2.11813_F1E327BC-269C-435d-A152-05C5408002CA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User</cp:lastModifiedBy>
  <dcterms:modified xsi:type="dcterms:W3CDTF">2024-11-04T07:24:30Z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57C74C1BD9554AD5B34DC9D02BA08FDD_13</vt:lpwstr>
  </property>
</Properties>
</file>