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color w:val="FF0000"/>
          <w:sz w:val="18"/>
          <w:szCs w:val="32"/>
          <w:lang w:eastAsia="zh-CN"/>
        </w:rPr>
        <w:t>1.南银理财珠联璧合鑫逸稳半年99期封闭式公募人民币理财产品-A份额风险揭示书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品的风险评级为中低风险</w:t>
      </w:r>
      <w:r>
        <w:rPr>
          <w:rFonts w:hint="eastAsia" w:ascii="宋体" w:hAnsi="宋体" w:eastAsia="宋体" w:cs="宋体"/>
          <w:b/>
          <w:color w:val="FF0000"/>
          <w:sz w:val="18"/>
          <w:szCs w:val="32"/>
        </w:rPr>
        <w:t>。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4.如有其他未尽事宜以私人银行部解释为准。</w:t>
      </w:r>
    </w:p>
    <w:p>
      <w:pPr>
        <w:adjustRightInd/>
        <w:snapToGrid/>
        <w:spacing w:after="0"/>
        <w:rPr>
          <w:rFonts w:hint="eastAsia" w:ascii="宋体" w:hAnsi="宋体" w:eastAsia="宋体" w:cs="宋体"/>
          <w:b/>
          <w:color w:val="000000"/>
          <w:sz w:val="18"/>
          <w:szCs w:val="30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附件：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1.南银理财珠联璧合鑫逸稳半年99期封闭式公募人民币理财产品-A份额风险揭示书南银理财珠联璧合鑫逸稳半年99期封闭式公募人民币理财产品-A份额风险揭示书.南银理财珠联璧合鑫逸稳半年99期封闭式公募人民币理财产品-A份额风险揭示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2.南银理财珠联璧合鑫逸稳半年99期封闭式公募人民币理财产品-A份额说明书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3.南银理财产品销售协议书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4.南银理财投资者权益须知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5.南银理财产品投资协议书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eastAsia="zh-CN"/>
        </w:rPr>
        <w:t>6.机构客户理财风险承受能力评估表</w:t>
      </w: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  <w:t xml:space="preserve"> </w:t>
      </w: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361" w:firstLineChars="200"/>
        <w:rPr>
          <w:rFonts w:hint="eastAsia" w:ascii="宋体" w:hAnsi="宋体" w:eastAsia="宋体" w:cs="宋体"/>
          <w:b/>
          <w:color w:val="000000"/>
          <w:sz w:val="18"/>
          <w:szCs w:val="32"/>
          <w:lang w:val="en-US"/>
        </w:rPr>
      </w:pPr>
    </w:p>
    <w:p>
      <w:pPr>
        <w:adjustRightInd/>
        <w:snapToGrid/>
        <w:spacing w:after="0"/>
        <w:ind w:firstLine="576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</w:rPr>
        <w:t>私人银行部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2024年11月4日关于代销南银理财珠联璧合鑫逸稳半年99期封闭式公募人民币理财产品-A份额的通知A份额：</w:t>
      </w:r>
    </w:p>
    <w:p>
      <w:pPr>
        <w:adjustRightInd/>
        <w:snapToGrid/>
        <w:spacing w:after="0"/>
        <w:jc w:val="right"/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18"/>
          <w:szCs w:val="32"/>
          <w:lang w:val="en-US" w:eastAsia="zh-CN"/>
        </w:rPr>
        <w:t>1.南银理财珠联璧合鑫逸稳半年99期封闭式公募人民币理财产品-A份额风险揭示书</w:t>
      </w:r>
    </w:p>
    <w:bookmarkEnd w:id="0"/>
    <w:sectPr>
      <w:head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right="34"/>
      <w:jc w:val="right"/>
      <w:rPr>
        <w:rFonts w:ascii="宋体" w:hAnsi="宋体" w:eastAsia="宋体" w:cs="宋体"/>
        <w:sz w:val="18"/>
        <w:szCs w:val="18"/>
      </w:rPr>
    </w:pPr>
    <w:r>
      <w:rPr>
        <w:rFonts w:ascii="Arial" w:hAnsi="Arial" w:eastAsia="Arial" w:cs="Arial"/>
        <w:sz w:val="21"/>
        <w:szCs w:val="21"/>
      </w:rPr>
      <w:pict>
        <v:shape id="_x0000_s71682" o:spid="_x0000_s71682" style="position:absolute;left:0pt;margin-left:88.6pt;margin-top:55.2pt;height:0.5pt;width:418.3pt;mso-position-horizontal-relative:page;mso-position-vertical-relative:page;z-index:251659264;mso-width-relative:page;mso-height-relative:page;" fillcolor="#000000" filled="t" stroked="f" coordsize="8365,10" o:allowincell="f" path="m0,9l8365,9,8365,0,0,0,0,9xe">
          <v:path/>
          <v:fill on="t" focussize="0,0"/>
          <v:stroke on="f"/>
          <v:imagedata o:title=""/>
          <o:lock v:ext="edit"/>
        </v:shape>
      </w:pict>
    </w:r>
    <w:r>
      <w:rPr>
        <w:rFonts w:ascii="宋体" w:hAnsi="宋体" w:eastAsia="宋体" w:cs="宋体"/>
        <w:spacing w:val="6"/>
        <w:sz w:val="18"/>
        <w:szCs w:val="18"/>
      </w:rPr>
      <w:t>南银理财</w:t>
    </w:r>
    <w:r>
      <w:rPr>
        <w:rFonts w:ascii="宋体" w:hAnsi="宋体" w:eastAsia="宋体" w:cs="宋体"/>
        <w:spacing w:val="5"/>
        <w:sz w:val="18"/>
        <w:szCs w:val="18"/>
      </w:rPr>
      <w:t>理</w:t>
    </w:r>
    <w:r>
      <w:rPr>
        <w:rFonts w:ascii="宋体" w:hAnsi="宋体" w:eastAsia="宋体" w:cs="宋体"/>
        <w:spacing w:val="3"/>
        <w:sz w:val="18"/>
        <w:szCs w:val="18"/>
      </w:rPr>
      <w:t>财产品销售文件(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2021</w:t>
    </w:r>
    <w:r>
      <w:rPr>
        <w:rFonts w:ascii="宋体" w:hAnsi="宋体" w:eastAsia="宋体" w:cs="宋体"/>
        <w:spacing w:val="3"/>
        <w:sz w:val="18"/>
        <w:szCs w:val="18"/>
      </w:rPr>
      <w:t>第</w:t>
    </w:r>
    <w:r>
      <w:rPr>
        <w:rFonts w:ascii="Times New Roman" w:hAnsi="Times New Roman" w:eastAsia="Times New Roman" w:cs="Times New Roman"/>
        <w:spacing w:val="3"/>
        <w:sz w:val="18"/>
        <w:szCs w:val="18"/>
      </w:rPr>
      <w:t>2</w:t>
    </w:r>
    <w:r>
      <w:rPr>
        <w:rFonts w:ascii="宋体" w:hAnsi="宋体" w:eastAsia="宋体" w:cs="宋体"/>
        <w:spacing w:val="3"/>
        <w:sz w:val="18"/>
        <w:szCs w:val="18"/>
      </w:rPr>
      <w:t>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70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108F3"/>
    <w:rsid w:val="00010C68"/>
    <w:rsid w:val="00012652"/>
    <w:rsid w:val="00015217"/>
    <w:rsid w:val="00015DAC"/>
    <w:rsid w:val="0002233E"/>
    <w:rsid w:val="00023665"/>
    <w:rsid w:val="000263A0"/>
    <w:rsid w:val="00031FB1"/>
    <w:rsid w:val="000430CA"/>
    <w:rsid w:val="00050465"/>
    <w:rsid w:val="000547BB"/>
    <w:rsid w:val="000571BC"/>
    <w:rsid w:val="000609B0"/>
    <w:rsid w:val="0006322B"/>
    <w:rsid w:val="00067DDC"/>
    <w:rsid w:val="000729EB"/>
    <w:rsid w:val="00072D1A"/>
    <w:rsid w:val="000812F4"/>
    <w:rsid w:val="000819E6"/>
    <w:rsid w:val="000936F7"/>
    <w:rsid w:val="000957AC"/>
    <w:rsid w:val="00097209"/>
    <w:rsid w:val="000A5028"/>
    <w:rsid w:val="000D32F4"/>
    <w:rsid w:val="000E18A2"/>
    <w:rsid w:val="000E1B34"/>
    <w:rsid w:val="000E1FA9"/>
    <w:rsid w:val="000E7543"/>
    <w:rsid w:val="001005C6"/>
    <w:rsid w:val="0010440D"/>
    <w:rsid w:val="0012192B"/>
    <w:rsid w:val="001225F8"/>
    <w:rsid w:val="0013066D"/>
    <w:rsid w:val="00131A96"/>
    <w:rsid w:val="0013501E"/>
    <w:rsid w:val="00143D3D"/>
    <w:rsid w:val="00144E0E"/>
    <w:rsid w:val="00152FB9"/>
    <w:rsid w:val="00157799"/>
    <w:rsid w:val="001642B1"/>
    <w:rsid w:val="00174CF3"/>
    <w:rsid w:val="00174FC8"/>
    <w:rsid w:val="001763AA"/>
    <w:rsid w:val="001A556D"/>
    <w:rsid w:val="001A6DC6"/>
    <w:rsid w:val="001B2273"/>
    <w:rsid w:val="001B7E33"/>
    <w:rsid w:val="001F72B5"/>
    <w:rsid w:val="00201E20"/>
    <w:rsid w:val="00206F8F"/>
    <w:rsid w:val="00216E71"/>
    <w:rsid w:val="002235BC"/>
    <w:rsid w:val="002317E9"/>
    <w:rsid w:val="00232543"/>
    <w:rsid w:val="00233CED"/>
    <w:rsid w:val="00236FDA"/>
    <w:rsid w:val="002422B4"/>
    <w:rsid w:val="002513BD"/>
    <w:rsid w:val="00251BF3"/>
    <w:rsid w:val="00277323"/>
    <w:rsid w:val="002777A1"/>
    <w:rsid w:val="00283408"/>
    <w:rsid w:val="002866F6"/>
    <w:rsid w:val="0029028F"/>
    <w:rsid w:val="002B1948"/>
    <w:rsid w:val="002C248B"/>
    <w:rsid w:val="002D396F"/>
    <w:rsid w:val="002D757D"/>
    <w:rsid w:val="002E3ECB"/>
    <w:rsid w:val="002F1002"/>
    <w:rsid w:val="003059D5"/>
    <w:rsid w:val="00306FE6"/>
    <w:rsid w:val="00307430"/>
    <w:rsid w:val="00322857"/>
    <w:rsid w:val="00322F4C"/>
    <w:rsid w:val="00323B43"/>
    <w:rsid w:val="003247F8"/>
    <w:rsid w:val="00340741"/>
    <w:rsid w:val="00347193"/>
    <w:rsid w:val="00353BA9"/>
    <w:rsid w:val="003720A3"/>
    <w:rsid w:val="00376FEA"/>
    <w:rsid w:val="003813E5"/>
    <w:rsid w:val="003874C3"/>
    <w:rsid w:val="003A1933"/>
    <w:rsid w:val="003C0D6B"/>
    <w:rsid w:val="003C1D41"/>
    <w:rsid w:val="003D2F9A"/>
    <w:rsid w:val="003D37D8"/>
    <w:rsid w:val="003D4715"/>
    <w:rsid w:val="00422AD1"/>
    <w:rsid w:val="00426133"/>
    <w:rsid w:val="00426162"/>
    <w:rsid w:val="004358AB"/>
    <w:rsid w:val="00443E90"/>
    <w:rsid w:val="00450005"/>
    <w:rsid w:val="00450334"/>
    <w:rsid w:val="0045680A"/>
    <w:rsid w:val="00462F3D"/>
    <w:rsid w:val="004633B0"/>
    <w:rsid w:val="00464293"/>
    <w:rsid w:val="00476C3B"/>
    <w:rsid w:val="00484A94"/>
    <w:rsid w:val="00485549"/>
    <w:rsid w:val="0049140E"/>
    <w:rsid w:val="004A72FB"/>
    <w:rsid w:val="004B5451"/>
    <w:rsid w:val="004B5827"/>
    <w:rsid w:val="004C175A"/>
    <w:rsid w:val="004C7210"/>
    <w:rsid w:val="004D2CAE"/>
    <w:rsid w:val="005100BA"/>
    <w:rsid w:val="005168C5"/>
    <w:rsid w:val="005218F6"/>
    <w:rsid w:val="00522DB4"/>
    <w:rsid w:val="00523BDD"/>
    <w:rsid w:val="00536DF2"/>
    <w:rsid w:val="00543782"/>
    <w:rsid w:val="00556398"/>
    <w:rsid w:val="005B45CF"/>
    <w:rsid w:val="005B4703"/>
    <w:rsid w:val="005B4D07"/>
    <w:rsid w:val="005B62F6"/>
    <w:rsid w:val="005B7796"/>
    <w:rsid w:val="005C31E9"/>
    <w:rsid w:val="005C3BAB"/>
    <w:rsid w:val="005C59D9"/>
    <w:rsid w:val="005D072F"/>
    <w:rsid w:val="005D1CEE"/>
    <w:rsid w:val="005D3ACB"/>
    <w:rsid w:val="005F28C4"/>
    <w:rsid w:val="005F2B78"/>
    <w:rsid w:val="00604AF8"/>
    <w:rsid w:val="00606205"/>
    <w:rsid w:val="00607EC0"/>
    <w:rsid w:val="00610019"/>
    <w:rsid w:val="006110FC"/>
    <w:rsid w:val="00611544"/>
    <w:rsid w:val="006148C9"/>
    <w:rsid w:val="0061606F"/>
    <w:rsid w:val="006214F4"/>
    <w:rsid w:val="00633DBB"/>
    <w:rsid w:val="00656C6E"/>
    <w:rsid w:val="00664732"/>
    <w:rsid w:val="00665EFD"/>
    <w:rsid w:val="00671CB5"/>
    <w:rsid w:val="00672E93"/>
    <w:rsid w:val="00692B80"/>
    <w:rsid w:val="006A2B25"/>
    <w:rsid w:val="006A3869"/>
    <w:rsid w:val="006B534A"/>
    <w:rsid w:val="006C44CC"/>
    <w:rsid w:val="006D4378"/>
    <w:rsid w:val="006D643B"/>
    <w:rsid w:val="006F7634"/>
    <w:rsid w:val="006F7825"/>
    <w:rsid w:val="00701C74"/>
    <w:rsid w:val="0070239F"/>
    <w:rsid w:val="007248B8"/>
    <w:rsid w:val="0073205A"/>
    <w:rsid w:val="007353CA"/>
    <w:rsid w:val="0073541E"/>
    <w:rsid w:val="00740E8C"/>
    <w:rsid w:val="00741563"/>
    <w:rsid w:val="007675CD"/>
    <w:rsid w:val="00774A8F"/>
    <w:rsid w:val="00776CED"/>
    <w:rsid w:val="00783419"/>
    <w:rsid w:val="00793A91"/>
    <w:rsid w:val="00795DC6"/>
    <w:rsid w:val="007B320A"/>
    <w:rsid w:val="007C4E2D"/>
    <w:rsid w:val="007D35F2"/>
    <w:rsid w:val="007D71A4"/>
    <w:rsid w:val="00812FBA"/>
    <w:rsid w:val="00816194"/>
    <w:rsid w:val="00822531"/>
    <w:rsid w:val="008301EB"/>
    <w:rsid w:val="008316FD"/>
    <w:rsid w:val="008370FB"/>
    <w:rsid w:val="008450A8"/>
    <w:rsid w:val="008507C0"/>
    <w:rsid w:val="00854BCB"/>
    <w:rsid w:val="00867E9B"/>
    <w:rsid w:val="00884835"/>
    <w:rsid w:val="00887C39"/>
    <w:rsid w:val="00893277"/>
    <w:rsid w:val="00896D1C"/>
    <w:rsid w:val="008A6AC1"/>
    <w:rsid w:val="008B008A"/>
    <w:rsid w:val="008B272C"/>
    <w:rsid w:val="008B2745"/>
    <w:rsid w:val="008B4334"/>
    <w:rsid w:val="008B6523"/>
    <w:rsid w:val="008B7726"/>
    <w:rsid w:val="008D6E85"/>
    <w:rsid w:val="008F2B7A"/>
    <w:rsid w:val="008F7CA5"/>
    <w:rsid w:val="00903E35"/>
    <w:rsid w:val="00907309"/>
    <w:rsid w:val="00911DE1"/>
    <w:rsid w:val="0092193A"/>
    <w:rsid w:val="00921DC2"/>
    <w:rsid w:val="00932126"/>
    <w:rsid w:val="009511C5"/>
    <w:rsid w:val="00951BFC"/>
    <w:rsid w:val="00953E58"/>
    <w:rsid w:val="0096633A"/>
    <w:rsid w:val="0096677C"/>
    <w:rsid w:val="00985236"/>
    <w:rsid w:val="00986A17"/>
    <w:rsid w:val="00986BCF"/>
    <w:rsid w:val="00996AC4"/>
    <w:rsid w:val="009A6871"/>
    <w:rsid w:val="009B1BA8"/>
    <w:rsid w:val="009B2786"/>
    <w:rsid w:val="009D5354"/>
    <w:rsid w:val="009E16F2"/>
    <w:rsid w:val="009F3DF4"/>
    <w:rsid w:val="00A04EFB"/>
    <w:rsid w:val="00A12119"/>
    <w:rsid w:val="00A212F3"/>
    <w:rsid w:val="00A215C9"/>
    <w:rsid w:val="00A30CF8"/>
    <w:rsid w:val="00A320D8"/>
    <w:rsid w:val="00A33F3D"/>
    <w:rsid w:val="00A372BB"/>
    <w:rsid w:val="00A40C60"/>
    <w:rsid w:val="00A46439"/>
    <w:rsid w:val="00A6466C"/>
    <w:rsid w:val="00A656CD"/>
    <w:rsid w:val="00A6775F"/>
    <w:rsid w:val="00A726ED"/>
    <w:rsid w:val="00A838DC"/>
    <w:rsid w:val="00A84AE0"/>
    <w:rsid w:val="00A9135E"/>
    <w:rsid w:val="00AA23FA"/>
    <w:rsid w:val="00AA4E34"/>
    <w:rsid w:val="00AB6BA4"/>
    <w:rsid w:val="00AC6774"/>
    <w:rsid w:val="00AD4C9C"/>
    <w:rsid w:val="00AE6487"/>
    <w:rsid w:val="00AE6C64"/>
    <w:rsid w:val="00B01B88"/>
    <w:rsid w:val="00B100EF"/>
    <w:rsid w:val="00B11389"/>
    <w:rsid w:val="00B12517"/>
    <w:rsid w:val="00B126A7"/>
    <w:rsid w:val="00B22801"/>
    <w:rsid w:val="00B24A4C"/>
    <w:rsid w:val="00B27E33"/>
    <w:rsid w:val="00B4326E"/>
    <w:rsid w:val="00B562D4"/>
    <w:rsid w:val="00B6677A"/>
    <w:rsid w:val="00B73A10"/>
    <w:rsid w:val="00B73AC3"/>
    <w:rsid w:val="00B74951"/>
    <w:rsid w:val="00B82938"/>
    <w:rsid w:val="00B93CFE"/>
    <w:rsid w:val="00BB13C2"/>
    <w:rsid w:val="00BB5D59"/>
    <w:rsid w:val="00C00041"/>
    <w:rsid w:val="00C031DA"/>
    <w:rsid w:val="00C15704"/>
    <w:rsid w:val="00C23A87"/>
    <w:rsid w:val="00C468C3"/>
    <w:rsid w:val="00C66A8C"/>
    <w:rsid w:val="00C71423"/>
    <w:rsid w:val="00C764BE"/>
    <w:rsid w:val="00C857A9"/>
    <w:rsid w:val="00CA308C"/>
    <w:rsid w:val="00CB16FF"/>
    <w:rsid w:val="00CB29BA"/>
    <w:rsid w:val="00CC2EB3"/>
    <w:rsid w:val="00CD328F"/>
    <w:rsid w:val="00CD74BD"/>
    <w:rsid w:val="00CE384A"/>
    <w:rsid w:val="00CF46C2"/>
    <w:rsid w:val="00CF63E7"/>
    <w:rsid w:val="00D01BC1"/>
    <w:rsid w:val="00D10241"/>
    <w:rsid w:val="00D31D50"/>
    <w:rsid w:val="00D42DFD"/>
    <w:rsid w:val="00D476F9"/>
    <w:rsid w:val="00D5491D"/>
    <w:rsid w:val="00D67754"/>
    <w:rsid w:val="00D763B7"/>
    <w:rsid w:val="00D85401"/>
    <w:rsid w:val="00D97534"/>
    <w:rsid w:val="00DA293F"/>
    <w:rsid w:val="00DA473D"/>
    <w:rsid w:val="00DB267C"/>
    <w:rsid w:val="00DC02CD"/>
    <w:rsid w:val="00DC08E6"/>
    <w:rsid w:val="00DD01FE"/>
    <w:rsid w:val="00DE0EDD"/>
    <w:rsid w:val="00DE145A"/>
    <w:rsid w:val="00DF4A6E"/>
    <w:rsid w:val="00E05633"/>
    <w:rsid w:val="00E13180"/>
    <w:rsid w:val="00E148A2"/>
    <w:rsid w:val="00E14B44"/>
    <w:rsid w:val="00E161F9"/>
    <w:rsid w:val="00E210A0"/>
    <w:rsid w:val="00E342C9"/>
    <w:rsid w:val="00E35A97"/>
    <w:rsid w:val="00E4304A"/>
    <w:rsid w:val="00E4505D"/>
    <w:rsid w:val="00E45BB8"/>
    <w:rsid w:val="00E51943"/>
    <w:rsid w:val="00E63BFD"/>
    <w:rsid w:val="00E65FB9"/>
    <w:rsid w:val="00E66C57"/>
    <w:rsid w:val="00E679DB"/>
    <w:rsid w:val="00E774C6"/>
    <w:rsid w:val="00E807D3"/>
    <w:rsid w:val="00E83642"/>
    <w:rsid w:val="00EA1489"/>
    <w:rsid w:val="00EB4102"/>
    <w:rsid w:val="00EB4E98"/>
    <w:rsid w:val="00EB7C16"/>
    <w:rsid w:val="00EC780B"/>
    <w:rsid w:val="00EC7A9C"/>
    <w:rsid w:val="00EE2BF0"/>
    <w:rsid w:val="00EE50F7"/>
    <w:rsid w:val="00EF45B7"/>
    <w:rsid w:val="00EF5899"/>
    <w:rsid w:val="00F01F77"/>
    <w:rsid w:val="00F02F9C"/>
    <w:rsid w:val="00F04234"/>
    <w:rsid w:val="00F15448"/>
    <w:rsid w:val="00F21AAA"/>
    <w:rsid w:val="00F340F3"/>
    <w:rsid w:val="00F535DE"/>
    <w:rsid w:val="00F56107"/>
    <w:rsid w:val="00F634A7"/>
    <w:rsid w:val="00F805F0"/>
    <w:rsid w:val="00F957A8"/>
    <w:rsid w:val="00F97C18"/>
    <w:rsid w:val="00FA233C"/>
    <w:rsid w:val="00FC73A4"/>
    <w:rsid w:val="00FD35EB"/>
    <w:rsid w:val="00FE0475"/>
    <w:rsid w:val="00FE272F"/>
    <w:rsid w:val="00FF20E5"/>
    <w:rsid w:val="00FF3EEA"/>
    <w:rsid w:val="074A2176"/>
    <w:rsid w:val="07527F15"/>
    <w:rsid w:val="0AB33FF3"/>
    <w:rsid w:val="0B432900"/>
    <w:rsid w:val="0EA721F8"/>
    <w:rsid w:val="13D67198"/>
    <w:rsid w:val="169E6E4F"/>
    <w:rsid w:val="2D804DBE"/>
    <w:rsid w:val="31E5772D"/>
    <w:rsid w:val="39242C4E"/>
    <w:rsid w:val="3A0E02C2"/>
    <w:rsid w:val="3B550E9F"/>
    <w:rsid w:val="3E3871C6"/>
    <w:rsid w:val="41537AD6"/>
    <w:rsid w:val="4B702A6C"/>
    <w:rsid w:val="5A3469C0"/>
    <w:rsid w:val="5AEC1BD4"/>
    <w:rsid w:val="5FE0056E"/>
    <w:rsid w:val="61070171"/>
    <w:rsid w:val="63F34D6C"/>
    <w:rsid w:val="66D83D00"/>
    <w:rsid w:val="67012033"/>
    <w:rsid w:val="67627524"/>
    <w:rsid w:val="68695ACC"/>
    <w:rsid w:val="6BDB2263"/>
    <w:rsid w:val="77C13657"/>
    <w:rsid w:val="79E85921"/>
    <w:rsid w:val="7BE60D35"/>
    <w:rsid w:val="7C60670C"/>
    <w:rsid w:val="7FA36D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apple-converted-space"/>
    <w:basedOn w:val="8"/>
    <w:qFormat/>
    <w:uiPriority w:val="0"/>
  </w:style>
  <w:style w:type="character" w:customStyle="1" w:styleId="14">
    <w:name w:val="批注框文本 Char"/>
    <w:basedOn w:val="8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rFonts w:ascii="Tahoma" w:hAnsi="Tahoma"/>
    </w:rPr>
  </w:style>
  <w:style w:type="table" w:customStyle="1" w:styleId="16">
    <w:name w:val="Table Normal"/>
    <w:semiHidden/>
    <w:unhideWhenUsed/>
    <w:qFormat/>
    <w:uiPriority w:val="0"/>
    <w:pPr>
      <w:spacing w:after="0" w:line="240" w:lineRule="auto"/>
    </w:pPr>
    <w:rPr>
      <w:rFonts w:ascii="Arial" w:hAnsi="Arial" w:cs="Arial" w:eastAsiaTheme="minorEastAsia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Normal (Web)b7028403"/>
    <w:next w:val="5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2" w:beforeAutospacing="0" w:after="102" w:afterAutospacing="0" w:line="1099" w:lineRule="atLeast"/>
      <w:ind w:left="0" w:right="0" w:firstLine="419"/>
      <w:contextualSpacing w:val="0"/>
      <w:jc w:val="left"/>
      <w:textAlignment w:val="baseline"/>
      <w:outlineLvl w:val="9"/>
    </w:pPr>
    <w:rPr>
      <w:rFonts w:ascii="方正黑体_GBK" w:hAnsi="方正黑体_GBK" w:eastAsia="方正黑体_GBK" w:cs="Times New Roman"/>
      <w:snapToGrid/>
      <w:color w:val="auto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16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6DFE6C-F2A4-4F5F-BB65-0E9F1B7B5B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1029</Words>
  <Characters>5871</Characters>
  <Lines>48</Lines>
  <Paragraphs>13</Paragraphs>
  <TotalTime>0</TotalTime>
  <ScaleCrop>false</ScaleCrop>
  <LinksUpToDate>false</LinksUpToDate>
  <CharactersWithSpaces>6887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2023-05-23T01:55:00Z</dcterms:created>
  <dc:creator>Administrator</dc:creator>
  <cp:lastModifiedBy>User</cp:lastModifiedBy>
  <cp:lastPrinted>2022-09-15T07:23:00Z</cp:lastPrinted>
  <dcterms:modified xsi:type="dcterms:W3CDTF">2024-11-04T07:28:51Z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55B1A358E2294A458B9C1BD86FEB5CE3</vt:lpwstr>
  </property>
</Properties>
</file>