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snapToGrid/>
        <w:spacing w:after="0"/>
        <w:jc w:val="center"/>
        <w:rPr>
          <w:rFonts w:ascii="宋体" w:hAnsi="宋体" w:eastAsia="宋体" w:cs="宋体"/>
          <w:sz w:val="24"/>
          <w:szCs w:val="24"/>
        </w:rPr>
      </w:pPr>
      <w:r>
        <w:rPr>
          <w:rFonts w:hint="eastAsia" w:ascii="宋体" w:hAnsi="宋体" w:eastAsia="宋体" w:cs="宋体"/>
          <w:b/>
          <w:bCs/>
          <w:sz w:val="36"/>
        </w:rPr>
        <w:t>关于代销</w:t>
      </w:r>
      <w:r>
        <w:rPr>
          <w:rFonts w:hint="eastAsia" w:ascii="宋体" w:hAnsi="宋体" w:eastAsia="宋体" w:cs="宋体"/>
          <w:b/>
          <w:bCs/>
          <w:sz w:val="36"/>
          <w:lang w:eastAsia="zh-CN"/>
        </w:rPr>
        <w:t>南银理财珠联璧合鑫逸稳三个月59期封闭式公募人民币理财产品</w:t>
      </w:r>
      <w:r>
        <w:rPr>
          <w:rFonts w:hint="eastAsia" w:ascii="宋体" w:hAnsi="宋体" w:eastAsia="宋体" w:cs="宋体"/>
          <w:b/>
          <w:bCs/>
          <w:sz w:val="36"/>
        </w:rPr>
        <w:t>的通知</w:t>
      </w:r>
    </w:p>
    <w:p>
      <w:pPr>
        <w:adjustRightInd/>
        <w:snapToGrid/>
        <w:spacing w:after="0" w:line="555" w:lineRule="atLeast"/>
        <w:rPr>
          <w:rFonts w:ascii="仿宋_GB2312" w:hAnsi="微软雅黑" w:eastAsia="仿宋_GB2312" w:cs="宋体"/>
          <w:color w:val="000000"/>
          <w:sz w:val="32"/>
          <w:szCs w:val="32"/>
        </w:rPr>
      </w:pPr>
    </w:p>
    <w:p>
      <w:pPr>
        <w:adjustRightInd/>
        <w:snapToGrid/>
        <w:spacing w:after="0" w:line="555" w:lineRule="atLeast"/>
        <w:rPr>
          <w:rFonts w:ascii="微软雅黑" w:hAnsi="微软雅黑" w:cs="宋体"/>
          <w:color w:val="000000"/>
          <w:sz w:val="30"/>
          <w:szCs w:val="30"/>
        </w:rPr>
      </w:pPr>
      <w:r>
        <w:rPr>
          <w:rFonts w:hint="eastAsia" w:ascii="仿宋_GB2312" w:hAnsi="微软雅黑" w:eastAsia="仿宋_GB2312" w:cs="宋体"/>
          <w:color w:val="000000"/>
          <w:sz w:val="32"/>
          <w:szCs w:val="32"/>
        </w:rPr>
        <w:t>各分(支)行、总行营业部：</w:t>
      </w:r>
    </w:p>
    <w:p>
      <w:pPr>
        <w:adjustRightInd/>
        <w:snapToGrid/>
        <w:spacing w:after="0"/>
        <w:ind w:firstLine="630"/>
        <w:rPr>
          <w:rFonts w:hint="eastAsia" w:ascii="仿宋_GB2312" w:hAnsi="微软雅黑" w:eastAsia="仿宋_GB2312" w:cs="宋体"/>
          <w:color w:val="000000"/>
          <w:sz w:val="32"/>
          <w:szCs w:val="32"/>
        </w:rPr>
      </w:pPr>
      <w:r>
        <w:rPr>
          <w:rFonts w:hint="eastAsia" w:ascii="仿宋_GB2312" w:hAnsi="微软雅黑" w:eastAsia="仿宋_GB2312" w:cs="宋体"/>
          <w:color w:val="000000"/>
          <w:sz w:val="32"/>
          <w:szCs w:val="32"/>
        </w:rPr>
        <w:t>我行</w:t>
      </w:r>
      <w:r>
        <w:rPr>
          <w:rFonts w:hint="eastAsia" w:ascii="仿宋_GB2312" w:hAnsi="微软雅黑" w:eastAsia="仿宋_GB2312" w:cs="宋体"/>
          <w:sz w:val="32"/>
          <w:szCs w:val="32"/>
        </w:rPr>
        <w:t>将于</w:t>
      </w:r>
      <w:r>
        <w:rPr>
          <w:rFonts w:hint="eastAsia" w:ascii="仿宋_GB2312" w:hAnsi="微软雅黑" w:eastAsia="仿宋_GB2312" w:cs="宋体"/>
          <w:sz w:val="32"/>
          <w:szCs w:val="32"/>
          <w:lang w:eastAsia="zh-CN"/>
        </w:rPr>
        <w:t>2024年11月20日起代销</w:t>
      </w:r>
      <w:r>
        <w:rPr>
          <w:rFonts w:hint="eastAsia" w:ascii="仿宋_GB2312" w:hAnsi="仿宋_GB2312" w:eastAsia="仿宋_GB2312" w:cs="仿宋_GB2312"/>
          <w:color w:val="FF0000"/>
          <w:sz w:val="32"/>
          <w:szCs w:val="32"/>
          <w:lang w:eastAsia="zh-CN"/>
        </w:rPr>
        <w:t>南银理财有限责任公司</w:t>
      </w:r>
      <w:r>
        <w:rPr>
          <w:rFonts w:hint="eastAsia" w:ascii="仿宋_GB2312" w:hAnsi="微软雅黑" w:eastAsia="仿宋_GB2312" w:cs="宋体"/>
          <w:sz w:val="32"/>
          <w:szCs w:val="32"/>
          <w:lang w:eastAsia="zh-CN"/>
        </w:rPr>
        <w:t>发行的珠联璧合鑫逸稳三个月59期封闭式公募人民币理财产品</w:t>
      </w:r>
      <w:r>
        <w:rPr>
          <w:rFonts w:hint="eastAsia" w:ascii="仿宋_GB2312" w:hAnsi="微软雅黑" w:eastAsia="仿宋_GB2312" w:cs="宋体"/>
          <w:sz w:val="32"/>
          <w:szCs w:val="32"/>
        </w:rPr>
        <w:t>，</w:t>
      </w:r>
      <w:r>
        <w:rPr>
          <w:rFonts w:hint="eastAsia" w:ascii="仿宋_GB2312" w:hAnsi="微软雅黑" w:eastAsia="仿宋_GB2312" w:cs="宋体"/>
          <w:color w:val="000000"/>
          <w:sz w:val="32"/>
          <w:szCs w:val="32"/>
        </w:rPr>
        <w:t>目前</w:t>
      </w:r>
      <w:r>
        <w:rPr>
          <w:rFonts w:hint="eastAsia" w:ascii="仿宋_GB2312" w:hAnsi="微软雅黑" w:eastAsia="仿宋_GB2312" w:cs="宋体"/>
          <w:b/>
          <w:color w:val="FF0000"/>
          <w:sz w:val="32"/>
          <w:szCs w:val="32"/>
        </w:rPr>
        <w:t>对公客户</w:t>
      </w:r>
      <w:r>
        <w:rPr>
          <w:rFonts w:hint="eastAsia" w:ascii="仿宋_GB2312" w:hAnsi="微软雅黑" w:eastAsia="仿宋_GB2312" w:cs="宋体"/>
          <w:color w:val="000000"/>
          <w:sz w:val="32"/>
          <w:szCs w:val="32"/>
        </w:rPr>
        <w:t>可在</w:t>
      </w:r>
      <w:r>
        <w:rPr>
          <w:rFonts w:hint="eastAsia" w:ascii="仿宋_GB2312" w:hAnsi="微软雅黑" w:eastAsia="仿宋_GB2312" w:cs="宋体"/>
          <w:b/>
          <w:color w:val="FF0000"/>
          <w:sz w:val="32"/>
          <w:szCs w:val="32"/>
        </w:rPr>
        <w:t>柜面、网银</w:t>
      </w:r>
      <w:r>
        <w:rPr>
          <w:rFonts w:hint="eastAsia" w:ascii="仿宋_GB2312" w:hAnsi="微软雅黑" w:eastAsia="仿宋_GB2312" w:cs="宋体"/>
          <w:color w:val="000000"/>
          <w:sz w:val="32"/>
          <w:szCs w:val="32"/>
        </w:rPr>
        <w:t>销售，</w:t>
      </w:r>
      <w:r>
        <w:rPr>
          <w:rFonts w:hint="eastAsia" w:ascii="仿宋_GB2312" w:hAnsi="微软雅黑" w:eastAsia="仿宋_GB2312" w:cs="宋体"/>
          <w:b/>
          <w:color w:val="FF0000"/>
          <w:sz w:val="32"/>
          <w:szCs w:val="32"/>
        </w:rPr>
        <w:t>个人客户</w:t>
      </w:r>
      <w:r>
        <w:rPr>
          <w:rFonts w:hint="eastAsia" w:ascii="仿宋_GB2312" w:hAnsi="微软雅黑" w:eastAsia="仿宋_GB2312" w:cs="宋体"/>
          <w:color w:val="000000"/>
          <w:sz w:val="32"/>
          <w:szCs w:val="32"/>
        </w:rPr>
        <w:t>只在</w:t>
      </w:r>
      <w:r>
        <w:rPr>
          <w:rFonts w:hint="eastAsia" w:ascii="仿宋_GB2312" w:hAnsi="微软雅黑" w:eastAsia="仿宋_GB2312" w:cs="宋体"/>
          <w:b/>
          <w:color w:val="FF0000"/>
          <w:sz w:val="32"/>
          <w:szCs w:val="32"/>
        </w:rPr>
        <w:t>手机银行</w:t>
      </w:r>
      <w:r>
        <w:rPr>
          <w:rFonts w:hint="eastAsia" w:ascii="仿宋_GB2312" w:hAnsi="微软雅黑" w:eastAsia="仿宋_GB2312" w:cs="宋体"/>
          <w:color w:val="000000"/>
          <w:sz w:val="32"/>
          <w:szCs w:val="32"/>
        </w:rPr>
        <w:t>销售。该产品</w:t>
      </w:r>
      <w:r>
        <w:rPr>
          <w:rFonts w:hint="eastAsia" w:ascii="仿宋_GB2312" w:hAnsi="微软雅黑" w:eastAsia="仿宋_GB2312" w:cs="宋体"/>
          <w:b/>
          <w:color w:val="FF0000"/>
          <w:sz w:val="32"/>
          <w:szCs w:val="32"/>
        </w:rPr>
        <w:t>销售服务费率</w:t>
      </w:r>
      <w:r>
        <w:rPr>
          <w:rFonts w:hint="eastAsia" w:ascii="仿宋_GB2312" w:hAnsi="微软雅黑" w:eastAsia="仿宋_GB2312" w:cs="宋体"/>
          <w:b/>
          <w:color w:val="FF0000"/>
          <w:sz w:val="32"/>
          <w:szCs w:val="32"/>
          <w:lang w:eastAsia="zh-CN"/>
        </w:rPr>
        <w:t>0.3%</w:t>
      </w:r>
      <w:r>
        <w:rPr>
          <w:rFonts w:hint="eastAsia" w:ascii="仿宋_GB2312" w:hAnsi="微软雅黑" w:eastAsia="仿宋_GB2312" w:cs="宋体"/>
          <w:b/>
          <w:color w:val="FF0000"/>
          <w:sz w:val="32"/>
          <w:szCs w:val="32"/>
        </w:rPr>
        <w:t>/年</w:t>
      </w:r>
      <w:r>
        <w:rPr>
          <w:rFonts w:hint="eastAsia" w:ascii="仿宋_GB2312" w:hAnsi="微软雅黑" w:eastAsia="仿宋_GB2312" w:cs="宋体"/>
          <w:color w:val="000000"/>
          <w:sz w:val="32"/>
          <w:szCs w:val="32"/>
        </w:rPr>
        <w:t>。部分要素如下：</w:t>
      </w:r>
    </w:p>
    <w:p>
      <w:pPr>
        <w:pStyle w:val="17"/>
        <w:keepNext w:val="0"/>
        <w:keepLines w:val="0"/>
        <w:pageBreakBefore w:val="0"/>
        <w:widowControl/>
        <w:suppressLineNumbers w:val="0"/>
        <w:suppressAutoHyphens w:val="0"/>
        <w:spacing w:line="200" w:lineRule="exact"/>
        <w:ind w:firstLine="0"/>
        <w:jc w:val="both"/>
        <w:textAlignment w:val="baseline"/>
        <w:rPr>
          <w:rFonts w:hint="eastAsia" w:ascii="宋体" w:hAnsi="宋体" w:eastAsia="宋体" w:cs="宋体"/>
          <w:b/>
          <w:bCs w:val="0"/>
          <w:caps w:val="0"/>
          <w:smallCaps w:val="0"/>
          <w:snapToGrid/>
          <w:vanish w:val="0"/>
          <w:color w:val="3D3D3D"/>
          <w:kern w:val="0"/>
          <w:sz w:val="18"/>
          <w:szCs w:val="15"/>
          <w:vertAlign w:val="baseline"/>
        </w:rPr>
      </w:pPr>
    </w:p>
    <w:tbl>
      <w:tblPr>
        <w:tblStyle w:val="7"/>
        <w:tblW w:w="7815" w:type="dxa"/>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2272"/>
        <w:gridCol w:w="5543"/>
      </w:tblGrid>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2"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产品名称</w:t>
            </w:r>
          </w:p>
        </w:tc>
        <w:tc>
          <w:tcPr>
            <w:tcW w:w="5543" w:type="dxa"/>
            <w:tcBorders>
              <w:top w:val="single" w:color="auto" w:sz="4" w:space="0"/>
              <w:left w:val="nil"/>
              <w:bottom w:val="single" w:color="auto" w:sz="2"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南银理财珠联璧合鑫逸稳三个月59期封闭式公募人民币理财产品</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产品类型</w:t>
            </w:r>
          </w:p>
        </w:tc>
        <w:tc>
          <w:tcPr>
            <w:tcW w:w="5543"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封闭式、固定收益类、公募、净值型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募集方式</w:t>
            </w:r>
          </w:p>
        </w:tc>
        <w:tc>
          <w:tcPr>
            <w:tcW w:w="5543" w:type="dxa"/>
            <w:tcBorders>
              <w:top w:val="single" w:color="auto" w:sz="2" w:space="0"/>
              <w:left w:val="single" w:color="auto" w:sz="2" w:space="0"/>
              <w:bottom w:val="single" w:color="auto" w:sz="2" w:space="0"/>
              <w:right w:val="single" w:color="auto" w:sz="2" w:space="0"/>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公开募集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理财产品代码</w:t>
            </w:r>
          </w:p>
        </w:tc>
        <w:tc>
          <w:tcPr>
            <w:tcW w:w="5543" w:type="dxa"/>
            <w:tcBorders>
              <w:top w:val="single" w:color="auto" w:sz="2"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ZZ700322400492</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产品登记编码</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Z7003224000240(投资者可依据该编码在中国理财网www.chinawealth.com.cn查询理财产品相关信息）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hint="eastAsia" w:ascii="宋体" w:hAnsi="宋体" w:eastAsia="宋体" w:cs="宋体"/>
                <w:caps w:val="0"/>
                <w:smallCaps w:val="0"/>
                <w:snapToGrid/>
                <w:vanish w:val="0"/>
                <w:color w:val="auto"/>
                <w:kern w:val="0"/>
                <w:sz w:val="18"/>
                <w:szCs w:val="18"/>
                <w:vertAlign w:val="baseline"/>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szCs w:val="18"/>
                <w:lang w:eastAsia="zh-CN"/>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3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1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宋体" w:hAnsi="宋体" w:eastAsia="宋体" w:cs="宋体"/>
                <w:caps w:val="0"/>
                <w:smallCaps w:val="0"/>
                <w:snapToGrid/>
                <w:vanish w:val="0"/>
                <w:color w:val="auto"/>
                <w:kern w:val="0"/>
                <w:sz w:val="18"/>
                <w:szCs w:val="18"/>
                <w:vertAlign w:val="baseline"/>
              </w:rPr>
            </w:pP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单一投资者持有比例上限</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r>
              <w:rPr>
                <w:rFonts w:hint="eastAsia" w:ascii="宋体" w:hAnsi="宋体" w:eastAsia="宋体" w:cs="宋体"/>
                <w:sz w:val="18"/>
                <w:szCs w:val="18"/>
              </w:rPr>
              <w:t>本理财产品单一投资者持有的份额（含已确认和待确认的份额）不得超过本理财产品总份额的50%，管理人有权拒绝导致投资者持有份额突破前述50%比例限制的认申购申请。</w:t>
            </w:r>
          </w:p>
          <w:p>
            <w:pPr>
              <w:spacing w:line="200" w:lineRule="exact"/>
              <w:jc w:val="left"/>
              <w:rPr>
                <w:rFonts w:hint="eastAsia" w:ascii="宋体" w:hAnsi="宋体" w:eastAsia="宋体" w:cs="宋体"/>
                <w:sz w:val="18"/>
              </w:rPr>
            </w:pPr>
            <w:r>
              <w:rPr>
                <w:rFonts w:hint="eastAsia" w:ascii="宋体" w:hAnsi="宋体" w:eastAsia="宋体" w:cs="宋体"/>
                <w:sz w:val="18"/>
                <w:szCs w:val="18"/>
              </w:rPr>
              <w:t>非因管理人主观因素导致突破上述50%比例限制的，在单一投资者持有比例降至50%以下之前，管理人不再接受该投资者对本理财产品的认申购申请。</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募集期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color w:val="000000"/>
                <w:sz w:val="18"/>
                <w:szCs w:val="18"/>
              </w:rPr>
              <w:t>2024年11月20日 09:00—2024年11月26日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spacing w:line="200" w:lineRule="exact"/>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认购份额计算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认购份额=确认认购金额/1。（认购份额以去尾法保留两位小数）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认购确认日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同产品成立日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产品成立日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hint="eastAsia" w:ascii="宋体" w:hAnsi="宋体" w:eastAsia="宋体" w:cs="宋体"/>
                <w:sz w:val="18"/>
              </w:rPr>
            </w:pPr>
            <w:r>
              <w:rPr>
                <w:rFonts w:hint="eastAsia" w:ascii="宋体" w:hAnsi="宋体" w:eastAsia="宋体" w:cs="宋体"/>
                <w:kern w:val="0"/>
                <w:sz w:val="18"/>
                <w:szCs w:val="18"/>
              </w:rPr>
              <w:t>2024年11月27日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产品存续期</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2024年11月27日—实际到期日（</w:t>
            </w:r>
            <w:r>
              <w:rPr>
                <w:rFonts w:hint="eastAsia" w:ascii="宋体" w:hAnsi="宋体" w:eastAsia="宋体" w:cs="宋体"/>
                <w:b/>
                <w:sz w:val="18"/>
                <w:szCs w:val="18"/>
              </w:rPr>
              <w:t>如名义到期日遇国家法定节假日，管理人可结合国家法定节假日安排进行调整。</w:t>
            </w:r>
            <w:r>
              <w:rPr>
                <w:rFonts w:hint="eastAsia" w:ascii="宋体" w:hAnsi="宋体" w:eastAsia="宋体" w:cs="宋体"/>
                <w:sz w:val="18"/>
                <w:szCs w:val="18"/>
              </w:rPr>
              <w:t>若未出现以上情形，则实际到期日即为名义到期日，存续期限</w:t>
            </w:r>
            <w:r>
              <w:rPr>
                <w:rFonts w:hint="eastAsia" w:ascii="宋体" w:hAnsi="宋体" w:eastAsia="宋体" w:cs="宋体"/>
                <w:b/>
                <w:sz w:val="18"/>
                <w:szCs w:val="18"/>
              </w:rPr>
              <w:t>99天</w:t>
            </w:r>
            <w:r>
              <w:rPr>
                <w:rFonts w:hint="eastAsia" w:ascii="宋体" w:hAnsi="宋体" w:eastAsia="宋体" w:cs="宋体"/>
                <w:sz w:val="18"/>
                <w:szCs w:val="18"/>
              </w:rPr>
              <w:t>；若出现以上情形，则理财存续期限和实际到期日将相应调整，管理人将至少提前3个工作日进行信息披露。）</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名义到期日</w:t>
            </w:r>
          </w:p>
        </w:tc>
        <w:tc>
          <w:tcPr>
            <w:tcW w:w="5543" w:type="dxa"/>
            <w:tcBorders>
              <w:top w:val="single" w:color="auto" w:sz="4" w:space="0"/>
              <w:left w:val="nil"/>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lang w:eastAsia="zh-CN"/>
              </w:rPr>
              <w:t>A份额：业绩比较基准为2.5%(年化)。</w:t>
            </w:r>
            <w:r>
              <w:rPr>
                <w:rFonts w:hint="eastAsia" w:ascii="宋体" w:hAnsi="宋体" w:eastAsia="宋体" w:cs="宋体"/>
                <w:caps w:val="0"/>
                <w:smallCaps w:val="0"/>
                <w:snapToGrid/>
                <w:vanish w:val="0"/>
                <w:color w:val="auto"/>
                <w:kern w:val="0"/>
                <w:sz w:val="18"/>
                <w:szCs w:val="18"/>
                <w:vertAlign w:val="baseline"/>
              </w:rPr>
              <w:t>2025年03月06日</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A份额：</w:t>
            </w:r>
          </w:p>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kern w:val="0"/>
                <w:sz w:val="18"/>
                <w:szCs w:val="18"/>
              </w:rPr>
              <w:t>到期兑付金额计算</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color w:val="000000"/>
                <w:sz w:val="18"/>
                <w:szCs w:val="18"/>
              </w:rPr>
              <w:t>到期兑付金额=到期时持有份额×R。 R为期末理财产品单位净值。（已扣除相关费用，到期兑付金额以去尾法保留两位小数）</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lang w:eastAsia="zh-CN"/>
              </w:rPr>
              <w:t>A份额：Y80059</w:t>
            </w:r>
            <w:r>
              <w:rPr>
                <w:rFonts w:hint="eastAsia" w:ascii="宋体" w:hAnsi="宋体" w:eastAsia="宋体" w:cs="宋体"/>
                <w:caps w:val="0"/>
                <w:smallCaps w:val="0"/>
                <w:snapToGrid/>
                <w:vanish w:val="0"/>
                <w:color w:val="auto"/>
                <w:kern w:val="0"/>
                <w:sz w:val="18"/>
                <w:szCs w:val="18"/>
                <w:vertAlign w:val="baseline"/>
              </w:rPr>
              <w:t>收益分配</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本理财产品存续期间不进行分红。</w:t>
            </w:r>
          </w:p>
          <w:p>
            <w:pPr>
              <w:spacing w:line="200" w:lineRule="exact"/>
              <w:rPr>
                <w:rFonts w:hint="eastAsia" w:ascii="宋体" w:hAnsi="宋体" w:eastAsia="宋体" w:cs="宋体"/>
                <w:sz w:val="18"/>
              </w:rPr>
            </w:pPr>
            <w:r>
              <w:rPr>
                <w:rFonts w:hint="eastAsia" w:ascii="宋体" w:hAnsi="宋体" w:eastAsia="宋体" w:cs="宋体"/>
                <w:sz w:val="18"/>
                <w:szCs w:val="18"/>
              </w:rPr>
              <w:t>产品到期后，理财产品管理人和代销机构将根据理财资金所投资资产实际运作情况向投资者分配到期款项。</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资金到账日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到期资金将于实际到期日后5个工作日内划入投资者授权指定账户，实际到期日后至投资者收益划到投资者授权指定账户之前不计任何收益。</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5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投资范围</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jc w:val="left"/>
              <w:rPr>
                <w:rFonts w:hint="eastAsia" w:ascii="宋体" w:hAnsi="宋体" w:eastAsia="宋体" w:cs="宋体"/>
                <w:sz w:val="18"/>
              </w:rPr>
            </w:pPr>
            <w:r>
              <w:rPr>
                <w:rFonts w:hint="eastAsia" w:ascii="宋体" w:hAnsi="宋体" w:eastAsia="宋体" w:cs="宋体"/>
                <w:sz w:val="18"/>
                <w:szCs w:val="18"/>
              </w:rPr>
              <w:t>本理财产品募集的资金投资于以下金融资产和金融工具，包括但不限于：</w:t>
            </w:r>
          </w:p>
          <w:p>
            <w:pPr>
              <w:spacing w:line="200" w:lineRule="exact"/>
              <w:jc w:val="left"/>
              <w:rPr>
                <w:rFonts w:hint="eastAsia" w:ascii="宋体" w:hAnsi="宋体" w:eastAsia="宋体" w:cs="宋体"/>
                <w:sz w:val="18"/>
              </w:rPr>
            </w:pPr>
            <w:r>
              <w:rPr>
                <w:rFonts w:hint="eastAsia" w:ascii="宋体" w:hAnsi="宋体" w:eastAsia="宋体" w:cs="宋体"/>
                <w:sz w:val="18"/>
                <w:szCs w:val="18"/>
              </w:rPr>
              <w:t>1.现金、银行存款、银行承兑汇票、同业存款、大额存单、同业存单、债券回购、货币基金等货币市场工具；</w:t>
            </w:r>
          </w:p>
          <w:p>
            <w:pPr>
              <w:spacing w:line="200" w:lineRule="exact"/>
              <w:jc w:val="left"/>
              <w:rPr>
                <w:rFonts w:hint="eastAsia" w:ascii="宋体" w:hAnsi="宋体" w:eastAsia="宋体" w:cs="宋体"/>
                <w:sz w:val="18"/>
              </w:rPr>
            </w:pPr>
            <w:r>
              <w:rPr>
                <w:rFonts w:hint="eastAsia" w:ascii="宋体" w:hAnsi="宋体" w:eastAsia="宋体"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pPr>
              <w:spacing w:line="200" w:lineRule="exact"/>
              <w:jc w:val="left"/>
              <w:rPr>
                <w:rFonts w:hint="eastAsia" w:ascii="宋体" w:hAnsi="宋体" w:eastAsia="宋体" w:cs="宋体"/>
                <w:sz w:val="18"/>
              </w:rPr>
            </w:pPr>
            <w:r>
              <w:rPr>
                <w:rFonts w:hint="eastAsia" w:ascii="宋体" w:hAnsi="宋体" w:eastAsia="宋体" w:cs="宋体"/>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pPr>
              <w:spacing w:line="200" w:lineRule="exact"/>
              <w:jc w:val="left"/>
              <w:rPr>
                <w:rFonts w:hint="eastAsia" w:ascii="宋体" w:hAnsi="宋体" w:eastAsia="宋体" w:cs="宋体"/>
                <w:sz w:val="18"/>
              </w:rPr>
            </w:pPr>
            <w:r>
              <w:rPr>
                <w:rFonts w:hint="eastAsia" w:ascii="宋体" w:hAnsi="宋体" w:eastAsia="宋体" w:cs="宋体"/>
                <w:sz w:val="18"/>
                <w:szCs w:val="18"/>
              </w:rPr>
              <w:t>4.投资范围为上述资产的信托计划、资产管理计划等资产管理产品；</w:t>
            </w:r>
          </w:p>
          <w:p>
            <w:pPr>
              <w:spacing w:line="200" w:lineRule="exact"/>
              <w:jc w:val="left"/>
              <w:rPr>
                <w:rFonts w:hint="eastAsia" w:ascii="宋体" w:hAnsi="宋体" w:eastAsia="宋体" w:cs="宋体"/>
                <w:sz w:val="18"/>
              </w:rPr>
            </w:pPr>
            <w:r>
              <w:rPr>
                <w:rFonts w:hint="eastAsia" w:ascii="宋体" w:hAnsi="宋体" w:eastAsia="宋体" w:cs="宋体"/>
                <w:sz w:val="18"/>
                <w:szCs w:val="18"/>
              </w:rPr>
              <w:t>5.法律法规或监管机构允许投资的符合本理财产品投资性质的其他金融工具；</w:t>
            </w:r>
          </w:p>
          <w:p>
            <w:pPr>
              <w:spacing w:line="200" w:lineRule="exact"/>
              <w:rPr>
                <w:rFonts w:hint="eastAsia" w:ascii="宋体" w:hAnsi="宋体" w:eastAsia="宋体" w:cs="宋体"/>
                <w:sz w:val="18"/>
              </w:rPr>
            </w:pPr>
            <w:r>
              <w:rPr>
                <w:rFonts w:hint="eastAsia" w:ascii="宋体" w:hAnsi="宋体" w:eastAsia="宋体" w:cs="宋体"/>
                <w:sz w:val="18"/>
                <w:szCs w:val="18"/>
              </w:rPr>
              <w:t>6.如存在法律法规或监管机构以后允许投资的其他品种或法律法规或监管政策出现调整，管理人在履行本理财产品销售文件规定的适当程序后，有权调整以上品种。</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投资比例</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本理财产品投资于固定收益类资产的比例不低于80%,投资于非标准化债权类资产的比例不高于50%。</w:t>
            </w:r>
          </w:p>
          <w:p>
            <w:pPr>
              <w:spacing w:line="200" w:lineRule="exact"/>
              <w:rPr>
                <w:rFonts w:hint="eastAsia" w:ascii="宋体" w:hAnsi="宋体" w:eastAsia="宋体" w:cs="宋体"/>
                <w:sz w:val="18"/>
              </w:rPr>
            </w:pPr>
            <w:r>
              <w:rPr>
                <w:rFonts w:hint="eastAsia" w:ascii="宋体" w:hAnsi="宋体" w:eastAsia="宋体"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投资策略</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sz w:val="18"/>
                <w:szCs w:val="18"/>
              </w:rPr>
              <w:t>本产品在严格控制风险（包括流动性风险、市场风险、信用风险）的前提下，以自上而下的经济基本面分析为基础，合理筛选资产，力争实现资产的稳健增长。</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hint="eastAsia" w:ascii="宋体" w:hAnsi="宋体" w:eastAsia="宋体" w:cs="宋体"/>
                <w:caps w:val="0"/>
                <w:smallCaps w:val="0"/>
                <w:snapToGrid/>
                <w:vanish w:val="0"/>
                <w:color w:val="auto"/>
                <w:kern w:val="0"/>
                <w:sz w:val="18"/>
                <w:szCs w:val="18"/>
                <w:vertAlign w:val="baseline"/>
              </w:rPr>
            </w:pPr>
            <w:r>
              <w:rPr>
                <w:rFonts w:hint="eastAsia" w:ascii="宋体" w:hAnsi="宋体" w:eastAsia="宋体" w:cs="宋体"/>
                <w:caps w:val="0"/>
                <w:smallCaps w:val="0"/>
                <w:snapToGrid/>
                <w:vanish w:val="0"/>
                <w:color w:val="auto"/>
                <w:kern w:val="0"/>
                <w:sz w:val="18"/>
                <w:szCs w:val="18"/>
                <w:vertAlign w:val="baseline"/>
              </w:rPr>
              <w:t>拟投资非标准化债权类资产</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sz w:val="18"/>
              </w:rPr>
            </w:pPr>
            <w:r>
              <w:rPr>
                <w:rFonts w:hint="eastAsia" w:ascii="宋体" w:hAnsi="宋体" w:eastAsia="宋体" w:cs="宋体"/>
                <w:b/>
                <w:sz w:val="18"/>
                <w:szCs w:val="18"/>
              </w:rPr>
              <w:t>本理财产品拟投资以下备选非标准化债权类资产：</w:t>
            </w:r>
          </w:p>
          <w:p>
            <w:pPr>
              <w:spacing w:line="200" w:lineRule="exact"/>
              <w:rPr>
                <w:rFonts w:hint="eastAsia" w:ascii="宋体" w:hAnsi="宋体" w:eastAsia="宋体" w:cs="宋体"/>
                <w:sz w:val="18"/>
              </w:rPr>
            </w:pPr>
            <w:r>
              <w:rPr>
                <w:rFonts w:hint="eastAsia" w:ascii="宋体" w:hAnsi="宋体" w:eastAsia="宋体" w:cs="宋体"/>
                <w:sz w:val="18"/>
                <w:szCs w:val="18"/>
              </w:rPr>
              <w:t>1、信托贷款：资产类型为信托公司设立的资金信托计划，底层资产为蚂蚁及信托公司双重审核、信托公司自主风控后发放的“花呗”消费授信付款资产，消费场景包含线上网购、线下实体店、020、航旅、缴费、公共出行等众多领域，资产到期日不超过理财产品到期日。</w:t>
            </w:r>
          </w:p>
          <w:p>
            <w:pPr>
              <w:spacing w:line="200" w:lineRule="exact"/>
              <w:rPr>
                <w:rFonts w:hint="eastAsia" w:ascii="宋体" w:hAnsi="宋体" w:eastAsia="宋体" w:cs="宋体"/>
                <w:sz w:val="18"/>
              </w:rPr>
            </w:pPr>
            <w:r>
              <w:rPr>
                <w:rFonts w:hint="eastAsia" w:ascii="宋体" w:hAnsi="宋体" w:eastAsia="宋体" w:cs="宋体"/>
                <w:sz w:val="18"/>
                <w:szCs w:val="18"/>
              </w:rPr>
              <w:t>2、信托贷款：资产类型为信托公司设立的资金信托计划，底层资产为抖音及信托公司双重审核、信托公司自主风控后发放的“月付”个人消费贷款债权，消费场景以线上购物为主，资产到期日不超过理财产品到期日。</w:t>
            </w:r>
          </w:p>
          <w:p>
            <w:pPr>
              <w:spacing w:line="200" w:lineRule="exact"/>
              <w:rPr>
                <w:rFonts w:hint="eastAsia" w:ascii="宋体" w:hAnsi="宋体" w:eastAsia="宋体" w:cs="宋体"/>
                <w:sz w:val="18"/>
              </w:rPr>
            </w:pPr>
            <w:r>
              <w:rPr>
                <w:rFonts w:hint="eastAsia" w:ascii="宋体" w:hAnsi="宋体" w:eastAsia="宋体" w:cs="宋体"/>
                <w:sz w:val="18"/>
                <w:szCs w:val="18"/>
              </w:rPr>
              <w:t>3、资产支持计划：资产类型为保险资产管理公司设立的资产支持计划，底层资产为抖音及信托公司双重审核、信托公司自主风控后发放的“月付”个人消费贷款债权，消费场景以线上购物为主，资产到期日不超过理财产品到期日。</w:t>
            </w:r>
          </w:p>
          <w:p>
            <w:pPr>
              <w:spacing w:line="200" w:lineRule="exact"/>
              <w:rPr>
                <w:rFonts w:hint="eastAsia" w:ascii="宋体" w:hAnsi="宋体" w:eastAsia="宋体" w:cs="宋体"/>
                <w:sz w:val="18"/>
              </w:rPr>
            </w:pPr>
            <w:r>
              <w:rPr>
                <w:rFonts w:hint="eastAsia" w:ascii="宋体" w:hAnsi="宋体" w:eastAsia="宋体" w:cs="宋体"/>
                <w:sz w:val="18"/>
                <w:szCs w:val="18"/>
              </w:rPr>
              <w:t>4、同业借款：资产类型为南银理财有限责任公司向持牌金融机构发放的同业借款，期限不超过1年，融资人为江苏金融租赁股份有限公司。</w:t>
            </w:r>
          </w:p>
          <w:p>
            <w:pPr>
              <w:spacing w:line="200" w:lineRule="exact"/>
              <w:rPr>
                <w:rFonts w:hint="eastAsia" w:ascii="宋体" w:hAnsi="宋体" w:eastAsia="宋体" w:cs="宋体"/>
                <w:sz w:val="18"/>
              </w:rPr>
            </w:pPr>
            <w:r>
              <w:rPr>
                <w:rFonts w:hint="eastAsia" w:ascii="宋体" w:hAnsi="宋体" w:eastAsia="宋体" w:cs="宋体"/>
                <w:b/>
                <w:sz w:val="18"/>
                <w:szCs w:val="18"/>
              </w:rPr>
              <w:t>以上资产剩余期限均不超过产品期限。</w:t>
            </w:r>
          </w:p>
          <w:p>
            <w:pPr>
              <w:spacing w:line="200" w:lineRule="exact"/>
              <w:rPr>
                <w:rFonts w:hint="eastAsia" w:ascii="宋体" w:hAnsi="宋体" w:eastAsia="宋体" w:cs="宋体"/>
                <w:sz w:val="18"/>
              </w:rPr>
            </w:pPr>
            <w:r>
              <w:rPr>
                <w:rFonts w:hint="eastAsia" w:ascii="宋体" w:hAnsi="宋体" w:eastAsia="宋体" w:cs="宋体"/>
                <w:b/>
                <w:sz w:val="18"/>
                <w:szCs w:val="18"/>
              </w:rPr>
              <w:t>产品管理人将优先选择上述备选非标准化债权类资产中的一笔或者多笔作为本理财产品投资的非标准化债权类资产，并在本理财产品的定期报告中进行信息披露。</w:t>
            </w:r>
          </w:p>
          <w:p>
            <w:pPr>
              <w:spacing w:line="200" w:lineRule="exact"/>
              <w:rPr>
                <w:rFonts w:hint="eastAsia" w:ascii="宋体" w:hAnsi="宋体" w:eastAsia="宋体" w:cs="宋体"/>
                <w:sz w:val="18"/>
              </w:rPr>
            </w:pPr>
            <w:r>
              <w:rPr>
                <w:rFonts w:hint="eastAsia" w:ascii="宋体" w:hAnsi="宋体" w:eastAsia="宋体" w:cs="宋体"/>
                <w:b/>
                <w:sz w:val="18"/>
                <w:szCs w:val="18"/>
              </w:rPr>
              <w:t>若受到市场影响出现融资人临时变更融资要素（如取消该笔资产发行或改变资产的发行时间、资产收益等要素）导致本理财产品无法投资对应资产时，为最大程度保障投资者权益，管理人有权采取如下措施：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2.若本理财产品已成立，则管理人有权提前终止本理财产品，自产品成立至提前终止日期间不计任何收益。</w:t>
            </w:r>
          </w:p>
        </w:tc>
      </w:tr>
      <w:tr>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宋体" w:hAnsi="宋体" w:eastAsia="宋体" w:cs="宋体"/>
                <w:b/>
                <w:caps w:val="0"/>
                <w:smallCaps w:val="0"/>
                <w:snapToGrid/>
                <w:vanish w:val="0"/>
                <w:color w:val="auto"/>
                <w:kern w:val="0"/>
                <w:sz w:val="18"/>
                <w:szCs w:val="18"/>
                <w:vertAlign w:val="baseline"/>
              </w:rPr>
            </w:pPr>
            <w:r>
              <w:rPr>
                <w:rFonts w:hint="eastAsia" w:ascii="宋体" w:hAnsi="宋体" w:eastAsia="宋体" w:cs="宋体"/>
                <w:b/>
                <w:bCs/>
                <w:caps w:val="0"/>
                <w:smallCaps w:val="0"/>
                <w:snapToGrid/>
                <w:vanish w:val="0"/>
                <w:color w:val="auto"/>
                <w:kern w:val="0"/>
                <w:sz w:val="18"/>
                <w:szCs w:val="18"/>
                <w:vertAlign w:val="baseline"/>
              </w:rPr>
              <w:t>业绩比较基准</w:t>
            </w:r>
          </w:p>
        </w:tc>
        <w:tc>
          <w:tcPr>
            <w:tcW w:w="5543" w:type="dxa"/>
            <w:tcBorders>
              <w:top w:val="single" w:color="auto" w:sz="4" w:space="0"/>
              <w:left w:val="nil"/>
              <w:bottom w:val="single" w:color="auto" w:sz="4" w:space="0"/>
              <w:right w:val="single" w:color="auto" w:sz="4" w:space="0"/>
              <w:tl2br w:val="nil"/>
              <w:tr2bl w:val="nil"/>
            </w:tcBorders>
            <w:vAlign w:val="center"/>
          </w:tcPr>
          <w:p>
            <w:pPr>
              <w:spacing w:line="200" w:lineRule="exact"/>
              <w:rPr>
                <w:rFonts w:hint="eastAsia" w:ascii="宋体" w:hAnsi="宋体" w:eastAsia="宋体" w:cs="宋体"/>
                <w:b/>
                <w:sz w:val="18"/>
              </w:rPr>
            </w:pPr>
            <w:r>
              <w:rPr>
                <w:rFonts w:hint="eastAsia" w:ascii="宋体" w:hAnsi="宋体" w:eastAsia="宋体" w:cs="宋体"/>
                <w:b/>
                <w:sz w:val="18"/>
                <w:szCs w:val="18"/>
              </w:rPr>
              <w:t>A份额：业绩比较基准为2.5%(年化)。</w:t>
            </w:r>
          </w:p>
          <w:p>
            <w:pPr>
              <w:spacing w:line="200" w:lineRule="exact"/>
              <w:rPr>
                <w:rFonts w:hint="eastAsia" w:ascii="宋体" w:hAnsi="宋体" w:eastAsia="宋体" w:cs="宋体"/>
                <w:b/>
                <w:sz w:val="18"/>
              </w:rPr>
            </w:pPr>
            <w:r>
              <w:rPr>
                <w:rFonts w:hint="eastAsia" w:ascii="宋体" w:hAnsi="宋体" w:eastAsia="宋体" w:cs="宋体"/>
                <w:b/>
                <w:sz w:val="18"/>
                <w:szCs w:val="18"/>
              </w:rPr>
              <w:t>B份额：业绩比较基准为2.6%(年化)。</w:t>
            </w:r>
          </w:p>
          <w:p>
            <w:pPr>
              <w:spacing w:line="200" w:lineRule="exact"/>
              <w:rPr>
                <w:rFonts w:hint="eastAsia" w:ascii="宋体" w:hAnsi="宋体" w:eastAsia="宋体" w:cs="宋体"/>
                <w:b/>
                <w:sz w:val="18"/>
              </w:rPr>
            </w:pPr>
            <w:r>
              <w:rPr>
                <w:rFonts w:hint="eastAsia" w:ascii="宋体" w:hAnsi="宋体" w:eastAsia="宋体" w:cs="宋体"/>
                <w:b/>
                <w:sz w:val="18"/>
                <w:szCs w:val="18"/>
              </w:rPr>
              <w:t>C份额：业绩比较基准为2.7%(年化)。</w:t>
            </w:r>
          </w:p>
          <w:p>
            <w:pPr>
              <w:spacing w:line="200" w:lineRule="exact"/>
              <w:rPr>
                <w:rFonts w:hint="eastAsia" w:ascii="宋体" w:hAnsi="宋体" w:eastAsia="宋体" w:cs="宋体"/>
                <w:b/>
                <w:sz w:val="18"/>
              </w:rPr>
            </w:pPr>
            <w:r>
              <w:rPr>
                <w:rFonts w:hint="eastAsia" w:ascii="宋体" w:hAnsi="宋体" w:eastAsia="宋体" w:cs="宋体"/>
                <w:b/>
                <w:sz w:val="18"/>
                <w:szCs w:val="18"/>
              </w:rPr>
              <w:t>D份额：业绩比较基准为2.9%(年化)。</w:t>
            </w:r>
          </w:p>
          <w:p>
            <w:pPr>
              <w:spacing w:line="200" w:lineRule="exact"/>
              <w:rPr>
                <w:rFonts w:hint="eastAsia" w:ascii="宋体" w:hAnsi="宋体" w:eastAsia="宋体" w:cs="宋体"/>
                <w:b/>
                <w:sz w:val="18"/>
              </w:rPr>
            </w:pPr>
            <w:r>
              <w:rPr>
                <w:rFonts w:hint="eastAsia" w:ascii="宋体" w:hAnsi="宋体" w:eastAsia="宋体" w:cs="宋体"/>
                <w:b/>
                <w:sz w:val="18"/>
                <w:szCs w:val="18"/>
              </w:rPr>
              <w:t>E份额：业绩比较基准为2.7%(年化)。</w:t>
            </w:r>
          </w:p>
          <w:p>
            <w:pPr>
              <w:spacing w:line="200" w:lineRule="exact"/>
              <w:rPr>
                <w:rFonts w:hint="eastAsia" w:ascii="宋体" w:hAnsi="宋体" w:eastAsia="宋体" w:cs="宋体"/>
                <w:b/>
                <w:sz w:val="18"/>
              </w:rPr>
            </w:pPr>
            <w:r>
              <w:rPr>
                <w:rFonts w:hint="eastAsia" w:ascii="宋体" w:hAnsi="宋体" w:eastAsia="宋体" w:cs="宋体"/>
                <w:b/>
                <w:sz w:val="18"/>
                <w:szCs w:val="18"/>
              </w:rPr>
              <w:t>F份额：业绩比较基准为2.65%(年化)。</w:t>
            </w:r>
          </w:p>
          <w:p>
            <w:pPr>
              <w:spacing w:line="200" w:lineRule="exact"/>
              <w:rPr>
                <w:rFonts w:hint="eastAsia" w:ascii="宋体" w:hAnsi="宋体" w:eastAsia="宋体" w:cs="宋体"/>
                <w:b/>
                <w:sz w:val="18"/>
              </w:rPr>
            </w:pPr>
            <w:r>
              <w:rPr>
                <w:rFonts w:hint="eastAsia" w:ascii="宋体" w:hAnsi="宋体" w:eastAsia="宋体" w:cs="宋体"/>
                <w:b/>
                <w:sz w:val="18"/>
                <w:szCs w:val="18"/>
              </w:rPr>
              <w:t>G份额：业绩比较基准为2.65%(年化)。</w:t>
            </w:r>
          </w:p>
          <w:p>
            <w:pPr>
              <w:spacing w:line="200" w:lineRule="exact"/>
              <w:rPr>
                <w:rFonts w:hint="eastAsia" w:ascii="宋体" w:hAnsi="宋体" w:eastAsia="宋体" w:cs="宋体"/>
                <w:b/>
                <w:sz w:val="18"/>
              </w:rPr>
            </w:pPr>
            <w:r>
              <w:rPr>
                <w:rFonts w:hint="eastAsia" w:ascii="宋体" w:hAnsi="宋体" w:eastAsia="宋体" w:cs="宋体"/>
                <w:b/>
                <w:sz w:val="18"/>
                <w:szCs w:val="18"/>
              </w:rPr>
              <w:t>H份额：业绩比较基准为2.6%(年化)。</w:t>
            </w:r>
          </w:p>
          <w:p>
            <w:pPr>
              <w:spacing w:line="200" w:lineRule="exact"/>
              <w:rPr>
                <w:rFonts w:hint="eastAsia" w:ascii="宋体" w:hAnsi="宋体" w:eastAsia="宋体" w:cs="宋体"/>
                <w:b/>
                <w:sz w:val="18"/>
              </w:rPr>
            </w:pPr>
            <w:r>
              <w:rPr>
                <w:rFonts w:hint="eastAsia" w:ascii="宋体" w:hAnsi="宋体" w:eastAsia="宋体" w:cs="宋体"/>
                <w:b/>
                <w:sz w:val="18"/>
                <w:szCs w:val="18"/>
              </w:rPr>
              <w:t>I份额：业绩比较基准为2.75%(年化)。</w:t>
            </w:r>
          </w:p>
          <w:p>
            <w:pPr>
              <w:spacing w:line="200" w:lineRule="exact"/>
              <w:rPr>
                <w:rFonts w:hint="eastAsia" w:ascii="宋体" w:hAnsi="宋体" w:eastAsia="宋体" w:cs="宋体"/>
                <w:b/>
                <w:sz w:val="18"/>
              </w:rPr>
            </w:pPr>
            <w:r>
              <w:rPr>
                <w:rFonts w:hint="eastAsia" w:ascii="宋体" w:hAnsi="宋体" w:eastAsia="宋体" w:cs="宋体"/>
                <w:b/>
                <w:sz w:val="18"/>
                <w:szCs w:val="18"/>
              </w:rPr>
              <w:t>本产品不同份额针对不同的销售机构及客群进行销售，设置有不同的销售费和管理费，导致业绩基准测算结果不同。</w:t>
            </w:r>
          </w:p>
          <w:p>
            <w:pPr>
              <w:spacing w:line="200" w:lineRule="exact"/>
              <w:rPr>
                <w:rFonts w:hint="eastAsia" w:ascii="宋体" w:hAnsi="宋体" w:eastAsia="宋体" w:cs="宋体"/>
                <w:b/>
                <w:sz w:val="18"/>
              </w:rPr>
            </w:pPr>
            <w:r>
              <w:rPr>
                <w:rFonts w:hint="eastAsia" w:ascii="宋体" w:hAnsi="宋体" w:eastAsia="宋体" w:cs="宋体"/>
                <w:b/>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pPr>
              <w:spacing w:line="200" w:lineRule="exact"/>
              <w:rPr>
                <w:rFonts w:hint="eastAsia" w:ascii="宋体" w:hAnsi="宋体" w:eastAsia="宋体" w:cs="宋体"/>
                <w:b/>
                <w:sz w:val="18"/>
              </w:rPr>
            </w:pPr>
            <w:r>
              <w:rPr>
                <w:rFonts w:hint="eastAsia" w:ascii="宋体" w:hAnsi="宋体" w:eastAsia="宋体" w:cs="宋体"/>
                <w:b/>
                <w:sz w:val="18"/>
                <w:szCs w:val="18"/>
              </w:rPr>
              <w:t>本理财产品为净值型理财产品，业绩比较基准不是预期收益率，不代表产品的未来表现和实际收益，不构成对产品收益的承诺。</w:t>
            </w:r>
          </w:p>
        </w:tc>
      </w:tr>
    </w:tbl>
    <w:p>
      <w:pPr>
        <w:adjustRightInd/>
        <w:snapToGrid/>
        <w:spacing w:after="0"/>
        <w:ind w:firstLine="630"/>
        <w:jc w:val="center"/>
        <w:rPr>
          <w:rFonts w:ascii="仿宋_GB2312" w:hAnsi="微软雅黑" w:eastAsia="仿宋_GB2312" w:cs="宋体"/>
          <w:color w:val="FF0000"/>
          <w:sz w:val="32"/>
          <w:szCs w:val="32"/>
        </w:rPr>
      </w:pPr>
      <w:r>
        <w:rPr>
          <w:rFonts w:hint="eastAsia" w:ascii="仿宋_GB2312" w:hAnsi="微软雅黑" w:eastAsia="仿宋_GB2312" w:cs="宋体"/>
          <w:color w:val="FF0000"/>
          <w:sz w:val="32"/>
          <w:szCs w:val="32"/>
        </w:rPr>
        <w:t>（更多具体要素请详阅产品说明书）</w:t>
      </w:r>
    </w:p>
    <w:p>
      <w:pPr>
        <w:ind w:firstLine="640" w:firstLineChars="20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注意事项：</w:t>
      </w:r>
    </w:p>
    <w:p>
      <w:pPr>
        <w:ind w:firstLine="640" w:firstLineChars="200"/>
        <w:rPr>
          <w:rFonts w:ascii="微软雅黑" w:hAnsi="微软雅黑" w:cs="宋体"/>
          <w:color w:val="000000"/>
          <w:sz w:val="30"/>
          <w:szCs w:val="30"/>
        </w:rPr>
      </w:pPr>
      <w:r>
        <w:rPr>
          <w:rFonts w:hint="eastAsia" w:ascii="仿宋_GB2312" w:hAnsi="微软雅黑" w:eastAsia="仿宋_GB2312" w:cs="宋体"/>
          <w:color w:val="000000"/>
          <w:sz w:val="32"/>
          <w:szCs w:val="32"/>
        </w:rPr>
        <w:t>1.该产品销售要求参照我行自营理财销售相关规定执行。</w:t>
      </w:r>
    </w:p>
    <w:p>
      <w:pPr>
        <w:ind w:firstLine="640" w:firstLineChars="20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2.相关产品销售文件见附件。</w:t>
      </w:r>
    </w:p>
    <w:p>
      <w:pPr>
        <w:ind w:firstLine="640" w:firstLineChars="200"/>
        <w:rPr>
          <w:rFonts w:ascii="仿宋_GB2312" w:hAnsi="微软雅黑" w:eastAsia="仿宋_GB2312" w:cs="宋体"/>
          <w:color w:val="000000"/>
          <w:sz w:val="32"/>
          <w:szCs w:val="32"/>
        </w:rPr>
      </w:pPr>
      <w:r>
        <w:rPr>
          <w:rFonts w:hint="eastAsia" w:ascii="仿宋_GB2312" w:hAnsi="微软雅黑" w:eastAsia="仿宋_GB2312" w:cs="宋体"/>
          <w:color w:val="000000"/>
          <w:sz w:val="32"/>
          <w:szCs w:val="32"/>
        </w:rPr>
        <w:t>3.</w:t>
      </w:r>
      <w:r>
        <w:rPr>
          <w:rFonts w:hint="eastAsia" w:ascii="仿宋_GB2312" w:hAnsi="微软雅黑" w:eastAsia="仿宋_GB2312" w:cs="宋体"/>
          <w:color w:val="FF0000"/>
          <w:sz w:val="32"/>
          <w:szCs w:val="32"/>
        </w:rPr>
        <w:t>紫金农商银行对本产品的风险评级为中低风险</w:t>
      </w:r>
      <w:r>
        <w:rPr>
          <w:rFonts w:ascii="仿宋_GB2312" w:hAnsi="微软雅黑" w:eastAsia="仿宋_GB2312" w:cs="宋体"/>
          <w:color w:val="FF0000"/>
          <w:sz w:val="32"/>
          <w:szCs w:val="32"/>
        </w:rPr>
        <w:t>。</w:t>
      </w:r>
    </w:p>
    <w:p>
      <w:pPr>
        <w:adjustRightInd/>
        <w:snapToGrid/>
        <w:spacing w:after="0"/>
        <w:ind w:firstLine="360" w:firstLineChars="200"/>
        <w:rPr>
          <w:rFonts w:hint="eastAsia" w:ascii="宋体" w:hAnsi="宋体" w:eastAsia="宋体" w:cs="宋体"/>
          <w:b w:val="0"/>
          <w:color w:val="000000"/>
          <w:sz w:val="18"/>
          <w:szCs w:val="32"/>
        </w:rPr>
      </w:pPr>
      <w:r>
        <w:rPr>
          <w:rFonts w:hint="eastAsia" w:ascii="宋体" w:hAnsi="宋体" w:eastAsia="宋体" w:cs="宋体"/>
          <w:b w:val="0"/>
          <w:color w:val="000000"/>
          <w:sz w:val="18"/>
          <w:szCs w:val="32"/>
        </w:rPr>
        <w:t>4.如有其他未尽事宜以私人银行部解释为准。</w:t>
      </w:r>
    </w:p>
    <w:p>
      <w:pPr>
        <w:adjustRightInd/>
        <w:snapToGrid/>
        <w:spacing w:after="0"/>
        <w:rPr>
          <w:rFonts w:ascii="微软雅黑" w:hAnsi="微软雅黑" w:cs="宋体"/>
          <w:color w:val="000000"/>
          <w:sz w:val="30"/>
          <w:szCs w:val="30"/>
        </w:rPr>
      </w:pPr>
    </w:p>
    <w:p>
      <w:pPr>
        <w:adjustRightInd/>
        <w:snapToGrid/>
        <w:spacing w:after="0"/>
        <w:ind w:firstLine="640" w:firstLineChars="2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rPr>
        <w:t>附件：</w:t>
      </w:r>
    </w:p>
    <w:p>
      <w:pPr>
        <w:adjustRightInd/>
        <w:snapToGrid/>
        <w:spacing w:after="0"/>
        <w:ind w:firstLine="640" w:firstLineChars="2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lang w:eastAsia="zh-CN"/>
        </w:rPr>
        <w:t>1.南银理财珠联璧合鑫逸稳三个月59期封闭式公募人民币理财产品风险揭示书</w:t>
      </w:r>
    </w:p>
    <w:p>
      <w:pPr>
        <w:adjustRightInd/>
        <w:snapToGrid/>
        <w:spacing w:after="0"/>
        <w:ind w:firstLine="640" w:firstLineChars="2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lang w:eastAsia="zh-CN"/>
        </w:rPr>
        <w:t>2.南银理财珠联璧合鑫逸稳三个月59期封闭式公募人民币理财产品说明书</w:t>
      </w:r>
    </w:p>
    <w:p>
      <w:pPr>
        <w:adjustRightInd/>
        <w:snapToGrid/>
        <w:spacing w:after="0"/>
        <w:ind w:firstLine="640" w:firstLineChars="2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lang w:eastAsia="zh-CN"/>
        </w:rPr>
        <w:t>3.南银理财产品销售协议书</w:t>
      </w:r>
    </w:p>
    <w:p>
      <w:pPr>
        <w:adjustRightInd/>
        <w:snapToGrid/>
        <w:spacing w:after="0"/>
        <w:ind w:firstLine="640" w:firstLineChars="2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lang w:eastAsia="zh-CN"/>
        </w:rPr>
        <w:t>4.南银理财投资者权益须知</w:t>
      </w:r>
    </w:p>
    <w:p>
      <w:pPr>
        <w:adjustRightInd/>
        <w:snapToGrid/>
        <w:spacing w:after="0"/>
        <w:ind w:firstLine="640" w:firstLineChars="200"/>
        <w:rPr>
          <w:rFonts w:hint="eastAsia" w:ascii="仿宋_GB2312" w:hAnsi="微软雅黑" w:eastAsia="仿宋_GB2312" w:cs="宋体"/>
          <w:color w:val="000000"/>
          <w:sz w:val="32"/>
          <w:szCs w:val="32"/>
          <w:lang w:eastAsia="zh-CN"/>
        </w:rPr>
      </w:pPr>
      <w:r>
        <w:rPr>
          <w:rFonts w:hint="eastAsia" w:ascii="仿宋_GB2312" w:hAnsi="微软雅黑" w:eastAsia="仿宋_GB2312" w:cs="宋体"/>
          <w:color w:val="000000"/>
          <w:sz w:val="32"/>
          <w:szCs w:val="32"/>
          <w:lang w:eastAsia="zh-CN"/>
        </w:rPr>
        <w:t>5.南银理财产品投资协议书</w:t>
      </w:r>
    </w:p>
    <w:p>
      <w:pPr>
        <w:adjustRightInd/>
        <w:snapToGrid/>
        <w:spacing w:after="0"/>
        <w:ind w:firstLine="640" w:firstLineChars="200"/>
        <w:rPr>
          <w:rFonts w:hint="eastAsia" w:ascii="宋体" w:hAnsi="宋体" w:eastAsia="宋体" w:cs="宋体"/>
          <w:b/>
          <w:color w:val="000000"/>
          <w:sz w:val="18"/>
          <w:szCs w:val="32"/>
          <w:lang w:val="en-US" w:eastAsia="zh-CN"/>
        </w:rPr>
      </w:pPr>
      <w:r>
        <w:rPr>
          <w:rFonts w:hint="eastAsia" w:ascii="仿宋_GB2312" w:hAnsi="微软雅黑" w:eastAsia="仿宋_GB2312" w:cs="宋体"/>
          <w:color w:val="000000"/>
          <w:sz w:val="32"/>
          <w:szCs w:val="32"/>
          <w:lang w:eastAsia="zh-CN"/>
        </w:rPr>
        <w:t>6.机构客户理财风险承受能力评估表</w:t>
      </w:r>
      <w:r>
        <w:rPr>
          <w:rFonts w:hint="default" w:ascii="仿宋_GB2312" w:hAnsi="微软雅黑" w:eastAsia="仿宋_GB2312" w:cs="宋体"/>
          <w:color w:val="000000"/>
          <w:sz w:val="32"/>
          <w:szCs w:val="32"/>
          <w:lang w:val="en-US"/>
        </w:rPr>
        <w:t xml:space="preserve"> </w:t>
      </w:r>
      <w:r>
        <w:rPr>
          <w:rFonts w:hint="eastAsia" w:ascii="仿宋_GB2312" w:hAnsi="微软雅黑" w:eastAsia="仿宋_GB2312" w:cs="宋体"/>
          <w:color w:val="000000"/>
          <w:sz w:val="32"/>
          <w:szCs w:val="32"/>
          <w:lang w:val="en-US" w:eastAsia="zh-CN"/>
        </w:rPr>
        <w:t>A份额：业绩比较基准为2.5%(年化)。A份额：业绩比较基准为2.5%(年化)。A份额：业绩比较基准为2.5%(年化)。</w:t>
      </w:r>
      <w:bookmarkStart w:id="0" w:name="_GoBack"/>
      <w:bookmarkEnd w:id="0"/>
    </w:p>
    <w:sectPr>
      <w:headerReference r:id="rId5" w:type="default"/>
      <w:pgSz w:w="11906" w:h="16838"/>
      <w:pgMar w:top="1440" w:right="1800" w:bottom="1440" w:left="180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黑体_GBK">
    <w:altName w:val="微软雅黑"/>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19" w:lineRule="auto"/>
      <w:ind w:right="34"/>
      <w:jc w:val="right"/>
      <w:rPr>
        <w:rFonts w:ascii="宋体" w:hAnsi="宋体" w:eastAsia="宋体" w:cs="宋体"/>
        <w:sz w:val="18"/>
        <w:szCs w:val="18"/>
      </w:rPr>
    </w:pPr>
    <w:r>
      <w:rPr>
        <w:rFonts w:ascii="Arial" w:hAnsi="Arial" w:eastAsia="Arial" w:cs="Arial"/>
        <w:sz w:val="21"/>
        <w:szCs w:val="21"/>
      </w:rPr>
      <w:pict>
        <v:shape id="_x0000_s71682" o:spid="_x0000_s71682" style="position:absolute;left:0pt;margin-left:88.6pt;margin-top:55.2pt;height:0.5pt;width:418.3pt;mso-position-horizontal-relative:page;mso-position-vertical-relative:page;z-index:251659264;mso-width-relative:page;mso-height-relative:page;" fillcolor="#000000" filled="t" stroked="f" coordsize="8365,10" o:allowincell="f" path="m0,9l8365,9,8365,0,0,0,0,9xe">
          <v:path/>
          <v:fill on="t" focussize="0,0"/>
          <v:stroke on="f"/>
          <v:imagedata o:title=""/>
          <o:lock v:ext="edit"/>
        </v:shape>
      </w:pict>
    </w:r>
    <w:r>
      <w:rPr>
        <w:rFonts w:ascii="宋体" w:hAnsi="宋体" w:eastAsia="宋体" w:cs="宋体"/>
        <w:spacing w:val="6"/>
        <w:sz w:val="18"/>
        <w:szCs w:val="18"/>
      </w:rPr>
      <w:t>南银理财</w:t>
    </w:r>
    <w:r>
      <w:rPr>
        <w:rFonts w:ascii="宋体" w:hAnsi="宋体" w:eastAsia="宋体" w:cs="宋体"/>
        <w:spacing w:val="5"/>
        <w:sz w:val="18"/>
        <w:szCs w:val="18"/>
      </w:rPr>
      <w:t>理</w:t>
    </w:r>
    <w:r>
      <w:rPr>
        <w:rFonts w:ascii="宋体" w:hAnsi="宋体" w:eastAsia="宋体" w:cs="宋体"/>
        <w:spacing w:val="3"/>
        <w:sz w:val="18"/>
        <w:szCs w:val="18"/>
      </w:rPr>
      <w:t>财产品销售文件(</w:t>
    </w:r>
    <w:r>
      <w:rPr>
        <w:rFonts w:ascii="Times New Roman" w:hAnsi="Times New Roman" w:eastAsia="Times New Roman" w:cs="Times New Roman"/>
        <w:spacing w:val="3"/>
        <w:sz w:val="18"/>
        <w:szCs w:val="18"/>
      </w:rPr>
      <w:t>2021</w:t>
    </w:r>
    <w:r>
      <w:rPr>
        <w:rFonts w:ascii="宋体" w:hAnsi="宋体" w:eastAsia="宋体" w:cs="宋体"/>
        <w:spacing w:val="3"/>
        <w:sz w:val="18"/>
        <w:szCs w:val="18"/>
      </w:rPr>
      <w:t>第</w:t>
    </w:r>
    <w:r>
      <w:rPr>
        <w:rFonts w:ascii="Times New Roman" w:hAnsi="Times New Roman" w:eastAsia="Times New Roman" w:cs="Times New Roman"/>
        <w:spacing w:val="3"/>
        <w:sz w:val="18"/>
        <w:szCs w:val="18"/>
      </w:rPr>
      <w:t>2</w:t>
    </w:r>
    <w:r>
      <w:rPr>
        <w:rFonts w:ascii="宋体" w:hAnsi="宋体" w:eastAsia="宋体" w:cs="宋体"/>
        <w:spacing w:val="3"/>
        <w:sz w:val="18"/>
        <w:szCs w:val="18"/>
      </w:rPr>
      <w:t>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720"/>
  <w:characterSpacingControl w:val="doNotCompress"/>
  <w:hdrShapeDefaults>
    <o:shapelayout v:ext="edit">
      <o:idmap v:ext="edit" data="70"/>
    </o:shapelayout>
  </w:hdrShapeDefaults>
  <w:footnotePr>
    <w:footnote w:id="0"/>
    <w:footnote w:id="1"/>
  </w:footnotePr>
  <w:endnotePr>
    <w:endnote w:id="0"/>
    <w:endnote w:id="1"/>
  </w:endnotePr>
  <w:compat>
    <w:useFELayout/>
    <w:compatSetting w:name="compatibilityMode" w:uri="http://schemas.microsoft.com/office/word" w:val="12"/>
  </w:compat>
  <w:rsids>
    <w:rsidRoot w:val="00D31D50"/>
    <w:rsid w:val="000108F3"/>
    <w:rsid w:val="00010C68"/>
    <w:rsid w:val="00012652"/>
    <w:rsid w:val="00015217"/>
    <w:rsid w:val="00015DAC"/>
    <w:rsid w:val="0002233E"/>
    <w:rsid w:val="00023665"/>
    <w:rsid w:val="000263A0"/>
    <w:rsid w:val="00031FB1"/>
    <w:rsid w:val="000430CA"/>
    <w:rsid w:val="00050465"/>
    <w:rsid w:val="000547BB"/>
    <w:rsid w:val="000571BC"/>
    <w:rsid w:val="000609B0"/>
    <w:rsid w:val="0006322B"/>
    <w:rsid w:val="00067DDC"/>
    <w:rsid w:val="000729EB"/>
    <w:rsid w:val="00072D1A"/>
    <w:rsid w:val="000812F4"/>
    <w:rsid w:val="000819E6"/>
    <w:rsid w:val="000936F7"/>
    <w:rsid w:val="000957AC"/>
    <w:rsid w:val="00097209"/>
    <w:rsid w:val="000A5028"/>
    <w:rsid w:val="000D32F4"/>
    <w:rsid w:val="000E18A2"/>
    <w:rsid w:val="000E1B34"/>
    <w:rsid w:val="000E1FA9"/>
    <w:rsid w:val="000E7543"/>
    <w:rsid w:val="001005C6"/>
    <w:rsid w:val="0010440D"/>
    <w:rsid w:val="0012192B"/>
    <w:rsid w:val="001225F8"/>
    <w:rsid w:val="0013066D"/>
    <w:rsid w:val="00131A96"/>
    <w:rsid w:val="0013501E"/>
    <w:rsid w:val="00143D3D"/>
    <w:rsid w:val="00144E0E"/>
    <w:rsid w:val="00152FB9"/>
    <w:rsid w:val="00157799"/>
    <w:rsid w:val="001642B1"/>
    <w:rsid w:val="00174CF3"/>
    <w:rsid w:val="00174FC8"/>
    <w:rsid w:val="001763AA"/>
    <w:rsid w:val="001A556D"/>
    <w:rsid w:val="001A6DC6"/>
    <w:rsid w:val="001B2273"/>
    <w:rsid w:val="001B7E33"/>
    <w:rsid w:val="001F72B5"/>
    <w:rsid w:val="00201E20"/>
    <w:rsid w:val="00206F8F"/>
    <w:rsid w:val="00216E71"/>
    <w:rsid w:val="002235BC"/>
    <w:rsid w:val="002317E9"/>
    <w:rsid w:val="00232543"/>
    <w:rsid w:val="00233CED"/>
    <w:rsid w:val="00236FDA"/>
    <w:rsid w:val="002422B4"/>
    <w:rsid w:val="002513BD"/>
    <w:rsid w:val="00251BF3"/>
    <w:rsid w:val="00277323"/>
    <w:rsid w:val="002777A1"/>
    <w:rsid w:val="00283408"/>
    <w:rsid w:val="002866F6"/>
    <w:rsid w:val="0029028F"/>
    <w:rsid w:val="002B1948"/>
    <w:rsid w:val="002C248B"/>
    <w:rsid w:val="002D396F"/>
    <w:rsid w:val="002D757D"/>
    <w:rsid w:val="002E3ECB"/>
    <w:rsid w:val="002F1002"/>
    <w:rsid w:val="003059D5"/>
    <w:rsid w:val="00306FE6"/>
    <w:rsid w:val="00307430"/>
    <w:rsid w:val="00322857"/>
    <w:rsid w:val="00322F4C"/>
    <w:rsid w:val="00323B43"/>
    <w:rsid w:val="003247F8"/>
    <w:rsid w:val="00340741"/>
    <w:rsid w:val="00347193"/>
    <w:rsid w:val="00353BA9"/>
    <w:rsid w:val="003720A3"/>
    <w:rsid w:val="00376FEA"/>
    <w:rsid w:val="003813E5"/>
    <w:rsid w:val="003874C3"/>
    <w:rsid w:val="003A1933"/>
    <w:rsid w:val="003C0D6B"/>
    <w:rsid w:val="003C1D41"/>
    <w:rsid w:val="003D2F9A"/>
    <w:rsid w:val="003D37D8"/>
    <w:rsid w:val="003D4715"/>
    <w:rsid w:val="00422AD1"/>
    <w:rsid w:val="00426133"/>
    <w:rsid w:val="00426162"/>
    <w:rsid w:val="004358AB"/>
    <w:rsid w:val="00443E90"/>
    <w:rsid w:val="00450005"/>
    <w:rsid w:val="00450334"/>
    <w:rsid w:val="0045680A"/>
    <w:rsid w:val="00462F3D"/>
    <w:rsid w:val="004633B0"/>
    <w:rsid w:val="00464293"/>
    <w:rsid w:val="00476C3B"/>
    <w:rsid w:val="00484A94"/>
    <w:rsid w:val="00485549"/>
    <w:rsid w:val="0049140E"/>
    <w:rsid w:val="004A72FB"/>
    <w:rsid w:val="004B5451"/>
    <w:rsid w:val="004B5827"/>
    <w:rsid w:val="004C175A"/>
    <w:rsid w:val="004C7210"/>
    <w:rsid w:val="004D2CAE"/>
    <w:rsid w:val="005100BA"/>
    <w:rsid w:val="005168C5"/>
    <w:rsid w:val="005218F6"/>
    <w:rsid w:val="00522DB4"/>
    <w:rsid w:val="00523BDD"/>
    <w:rsid w:val="00536DF2"/>
    <w:rsid w:val="00543782"/>
    <w:rsid w:val="00556398"/>
    <w:rsid w:val="005B45CF"/>
    <w:rsid w:val="005B4703"/>
    <w:rsid w:val="005B4D07"/>
    <w:rsid w:val="005B62F6"/>
    <w:rsid w:val="005B7796"/>
    <w:rsid w:val="005C31E9"/>
    <w:rsid w:val="005C3BAB"/>
    <w:rsid w:val="005C59D9"/>
    <w:rsid w:val="005D072F"/>
    <w:rsid w:val="005D1CEE"/>
    <w:rsid w:val="005D3ACB"/>
    <w:rsid w:val="005F28C4"/>
    <w:rsid w:val="005F2B78"/>
    <w:rsid w:val="00604AF8"/>
    <w:rsid w:val="00606205"/>
    <w:rsid w:val="00607EC0"/>
    <w:rsid w:val="00610019"/>
    <w:rsid w:val="006110FC"/>
    <w:rsid w:val="00611544"/>
    <w:rsid w:val="006148C9"/>
    <w:rsid w:val="0061606F"/>
    <w:rsid w:val="006214F4"/>
    <w:rsid w:val="00633DBB"/>
    <w:rsid w:val="00656C6E"/>
    <w:rsid w:val="00664732"/>
    <w:rsid w:val="00665EFD"/>
    <w:rsid w:val="00671CB5"/>
    <w:rsid w:val="00672E93"/>
    <w:rsid w:val="00692B80"/>
    <w:rsid w:val="006A2B25"/>
    <w:rsid w:val="006A3869"/>
    <w:rsid w:val="006B534A"/>
    <w:rsid w:val="006C44CC"/>
    <w:rsid w:val="006D4378"/>
    <w:rsid w:val="006D643B"/>
    <w:rsid w:val="006F7634"/>
    <w:rsid w:val="006F7825"/>
    <w:rsid w:val="00701C74"/>
    <w:rsid w:val="0070239F"/>
    <w:rsid w:val="007248B8"/>
    <w:rsid w:val="0073205A"/>
    <w:rsid w:val="007353CA"/>
    <w:rsid w:val="0073541E"/>
    <w:rsid w:val="00740E8C"/>
    <w:rsid w:val="00741563"/>
    <w:rsid w:val="007675CD"/>
    <w:rsid w:val="00774A8F"/>
    <w:rsid w:val="00776CED"/>
    <w:rsid w:val="00783419"/>
    <w:rsid w:val="00793A91"/>
    <w:rsid w:val="00795DC6"/>
    <w:rsid w:val="007B320A"/>
    <w:rsid w:val="007C4E2D"/>
    <w:rsid w:val="007D35F2"/>
    <w:rsid w:val="007D71A4"/>
    <w:rsid w:val="00812FBA"/>
    <w:rsid w:val="00816194"/>
    <w:rsid w:val="00822531"/>
    <w:rsid w:val="008301EB"/>
    <w:rsid w:val="008316FD"/>
    <w:rsid w:val="008370FB"/>
    <w:rsid w:val="008450A8"/>
    <w:rsid w:val="008507C0"/>
    <w:rsid w:val="00854BCB"/>
    <w:rsid w:val="00867E9B"/>
    <w:rsid w:val="00884835"/>
    <w:rsid w:val="00887C39"/>
    <w:rsid w:val="00893277"/>
    <w:rsid w:val="00896D1C"/>
    <w:rsid w:val="008A6AC1"/>
    <w:rsid w:val="008B008A"/>
    <w:rsid w:val="008B272C"/>
    <w:rsid w:val="008B2745"/>
    <w:rsid w:val="008B4334"/>
    <w:rsid w:val="008B6523"/>
    <w:rsid w:val="008B7726"/>
    <w:rsid w:val="008D6E85"/>
    <w:rsid w:val="008F2B7A"/>
    <w:rsid w:val="008F7CA5"/>
    <w:rsid w:val="00903E35"/>
    <w:rsid w:val="00907309"/>
    <w:rsid w:val="00911DE1"/>
    <w:rsid w:val="0092193A"/>
    <w:rsid w:val="00921DC2"/>
    <w:rsid w:val="00932126"/>
    <w:rsid w:val="009511C5"/>
    <w:rsid w:val="00951BFC"/>
    <w:rsid w:val="00953E58"/>
    <w:rsid w:val="0096633A"/>
    <w:rsid w:val="0096677C"/>
    <w:rsid w:val="00985236"/>
    <w:rsid w:val="00986A17"/>
    <w:rsid w:val="00986BCF"/>
    <w:rsid w:val="00996AC4"/>
    <w:rsid w:val="009A6871"/>
    <w:rsid w:val="009B1BA8"/>
    <w:rsid w:val="009B2786"/>
    <w:rsid w:val="009D5354"/>
    <w:rsid w:val="009E16F2"/>
    <w:rsid w:val="009F3DF4"/>
    <w:rsid w:val="00A04EFB"/>
    <w:rsid w:val="00A12119"/>
    <w:rsid w:val="00A212F3"/>
    <w:rsid w:val="00A215C9"/>
    <w:rsid w:val="00A30CF8"/>
    <w:rsid w:val="00A320D8"/>
    <w:rsid w:val="00A33F3D"/>
    <w:rsid w:val="00A372BB"/>
    <w:rsid w:val="00A40C60"/>
    <w:rsid w:val="00A46439"/>
    <w:rsid w:val="00A6466C"/>
    <w:rsid w:val="00A656CD"/>
    <w:rsid w:val="00A6775F"/>
    <w:rsid w:val="00A726ED"/>
    <w:rsid w:val="00A838DC"/>
    <w:rsid w:val="00A84AE0"/>
    <w:rsid w:val="00A9135E"/>
    <w:rsid w:val="00AA23FA"/>
    <w:rsid w:val="00AA4E34"/>
    <w:rsid w:val="00AB6BA4"/>
    <w:rsid w:val="00AC6774"/>
    <w:rsid w:val="00AD4C9C"/>
    <w:rsid w:val="00AE6487"/>
    <w:rsid w:val="00AE6C64"/>
    <w:rsid w:val="00B01B88"/>
    <w:rsid w:val="00B100EF"/>
    <w:rsid w:val="00B11389"/>
    <w:rsid w:val="00B12517"/>
    <w:rsid w:val="00B126A7"/>
    <w:rsid w:val="00B22801"/>
    <w:rsid w:val="00B24A4C"/>
    <w:rsid w:val="00B27E33"/>
    <w:rsid w:val="00B4326E"/>
    <w:rsid w:val="00B562D4"/>
    <w:rsid w:val="00B6677A"/>
    <w:rsid w:val="00B73A10"/>
    <w:rsid w:val="00B73AC3"/>
    <w:rsid w:val="00B74951"/>
    <w:rsid w:val="00B82938"/>
    <w:rsid w:val="00B93CFE"/>
    <w:rsid w:val="00BB13C2"/>
    <w:rsid w:val="00BB5D59"/>
    <w:rsid w:val="00C00041"/>
    <w:rsid w:val="00C031DA"/>
    <w:rsid w:val="00C15704"/>
    <w:rsid w:val="00C23A87"/>
    <w:rsid w:val="00C468C3"/>
    <w:rsid w:val="00C66A8C"/>
    <w:rsid w:val="00C71423"/>
    <w:rsid w:val="00C764BE"/>
    <w:rsid w:val="00C857A9"/>
    <w:rsid w:val="00CA308C"/>
    <w:rsid w:val="00CB16FF"/>
    <w:rsid w:val="00CB29BA"/>
    <w:rsid w:val="00CC2EB3"/>
    <w:rsid w:val="00CD328F"/>
    <w:rsid w:val="00CD74BD"/>
    <w:rsid w:val="00CE384A"/>
    <w:rsid w:val="00CF46C2"/>
    <w:rsid w:val="00CF63E7"/>
    <w:rsid w:val="00D01BC1"/>
    <w:rsid w:val="00D10241"/>
    <w:rsid w:val="00D31D50"/>
    <w:rsid w:val="00D42DFD"/>
    <w:rsid w:val="00D476F9"/>
    <w:rsid w:val="00D5491D"/>
    <w:rsid w:val="00D67754"/>
    <w:rsid w:val="00D763B7"/>
    <w:rsid w:val="00D85401"/>
    <w:rsid w:val="00D97534"/>
    <w:rsid w:val="00DA293F"/>
    <w:rsid w:val="00DA473D"/>
    <w:rsid w:val="00DB267C"/>
    <w:rsid w:val="00DC02CD"/>
    <w:rsid w:val="00DC08E6"/>
    <w:rsid w:val="00DD01FE"/>
    <w:rsid w:val="00DE0EDD"/>
    <w:rsid w:val="00DE145A"/>
    <w:rsid w:val="00DF4A6E"/>
    <w:rsid w:val="00E05633"/>
    <w:rsid w:val="00E13180"/>
    <w:rsid w:val="00E148A2"/>
    <w:rsid w:val="00E14B44"/>
    <w:rsid w:val="00E161F9"/>
    <w:rsid w:val="00E210A0"/>
    <w:rsid w:val="00E342C9"/>
    <w:rsid w:val="00E35A97"/>
    <w:rsid w:val="00E4304A"/>
    <w:rsid w:val="00E4505D"/>
    <w:rsid w:val="00E45BB8"/>
    <w:rsid w:val="00E51943"/>
    <w:rsid w:val="00E63BFD"/>
    <w:rsid w:val="00E65FB9"/>
    <w:rsid w:val="00E66C57"/>
    <w:rsid w:val="00E679DB"/>
    <w:rsid w:val="00E774C6"/>
    <w:rsid w:val="00E807D3"/>
    <w:rsid w:val="00E83642"/>
    <w:rsid w:val="00EA1489"/>
    <w:rsid w:val="00EB4102"/>
    <w:rsid w:val="00EB4E98"/>
    <w:rsid w:val="00EB7C16"/>
    <w:rsid w:val="00EC780B"/>
    <w:rsid w:val="00EC7A9C"/>
    <w:rsid w:val="00EE2BF0"/>
    <w:rsid w:val="00EE50F7"/>
    <w:rsid w:val="00EF45B7"/>
    <w:rsid w:val="00EF5899"/>
    <w:rsid w:val="00F01F77"/>
    <w:rsid w:val="00F02F9C"/>
    <w:rsid w:val="00F04234"/>
    <w:rsid w:val="00F15448"/>
    <w:rsid w:val="00F21AAA"/>
    <w:rsid w:val="00F340F3"/>
    <w:rsid w:val="00F535DE"/>
    <w:rsid w:val="00F56107"/>
    <w:rsid w:val="00F634A7"/>
    <w:rsid w:val="00F805F0"/>
    <w:rsid w:val="00F957A8"/>
    <w:rsid w:val="00F97C18"/>
    <w:rsid w:val="00FA233C"/>
    <w:rsid w:val="00FC73A4"/>
    <w:rsid w:val="00FD35EB"/>
    <w:rsid w:val="00FE0475"/>
    <w:rsid w:val="00FE272F"/>
    <w:rsid w:val="00FF20E5"/>
    <w:rsid w:val="00FF3EEA"/>
    <w:rsid w:val="032925C3"/>
    <w:rsid w:val="074A2176"/>
    <w:rsid w:val="07527F15"/>
    <w:rsid w:val="0AB33FF3"/>
    <w:rsid w:val="0B432900"/>
    <w:rsid w:val="274720E0"/>
    <w:rsid w:val="2D804DBE"/>
    <w:rsid w:val="325A4C40"/>
    <w:rsid w:val="33255FB3"/>
    <w:rsid w:val="344543DD"/>
    <w:rsid w:val="36795796"/>
    <w:rsid w:val="3B550E9F"/>
    <w:rsid w:val="3BB73465"/>
    <w:rsid w:val="3E3871C6"/>
    <w:rsid w:val="43A0568F"/>
    <w:rsid w:val="4B702A6C"/>
    <w:rsid w:val="501656D3"/>
    <w:rsid w:val="545F7629"/>
    <w:rsid w:val="56BF7A06"/>
    <w:rsid w:val="5A3469C0"/>
    <w:rsid w:val="5AEC1BD4"/>
    <w:rsid w:val="61070171"/>
    <w:rsid w:val="63F34D6C"/>
    <w:rsid w:val="66D83D00"/>
    <w:rsid w:val="6BDB2263"/>
    <w:rsid w:val="70166AB3"/>
    <w:rsid w:val="77C13657"/>
    <w:rsid w:val="79E85921"/>
    <w:rsid w:val="7C60670C"/>
    <w:rsid w:val="7C85245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5"/>
    <w:semiHidden/>
    <w:unhideWhenUsed/>
    <w:qFormat/>
    <w:uiPriority w:val="99"/>
    <w:pPr>
      <w:ind w:left="100" w:leftChars="2500"/>
    </w:pPr>
  </w:style>
  <w:style w:type="paragraph" w:styleId="3">
    <w:name w:val="Balloon Text"/>
    <w:basedOn w:val="1"/>
    <w:link w:val="14"/>
    <w:semiHidden/>
    <w:unhideWhenUsed/>
    <w:qFormat/>
    <w:uiPriority w:val="99"/>
    <w:pPr>
      <w:spacing w:after="0"/>
    </w:pPr>
    <w:rPr>
      <w:sz w:val="18"/>
      <w:szCs w:val="18"/>
    </w:rPr>
  </w:style>
  <w:style w:type="paragraph" w:styleId="4">
    <w:name w:val="footer"/>
    <w:basedOn w:val="1"/>
    <w:link w:val="12"/>
    <w:unhideWhenUsed/>
    <w:qFormat/>
    <w:uiPriority w:val="99"/>
    <w:pPr>
      <w:tabs>
        <w:tab w:val="center" w:pos="4153"/>
        <w:tab w:val="right" w:pos="8306"/>
      </w:tabs>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jc w:val="center"/>
    </w:pPr>
    <w:rPr>
      <w:sz w:val="18"/>
      <w:szCs w:val="18"/>
    </w:rPr>
  </w:style>
  <w:style w:type="paragraph" w:styleId="6">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character" w:styleId="9">
    <w:name w:val="Strong"/>
    <w:basedOn w:val="8"/>
    <w:qFormat/>
    <w:uiPriority w:val="22"/>
    <w:rPr>
      <w:b/>
      <w:bCs/>
    </w:rPr>
  </w:style>
  <w:style w:type="character" w:styleId="10">
    <w:name w:val="Hyperlink"/>
    <w:basedOn w:val="8"/>
    <w:semiHidden/>
    <w:unhideWhenUsed/>
    <w:qFormat/>
    <w:uiPriority w:val="99"/>
    <w:rPr>
      <w:color w:val="0000FF"/>
      <w:u w:val="single"/>
    </w:rPr>
  </w:style>
  <w:style w:type="character" w:customStyle="1" w:styleId="11">
    <w:name w:val="页眉 Char"/>
    <w:basedOn w:val="8"/>
    <w:link w:val="5"/>
    <w:qFormat/>
    <w:uiPriority w:val="99"/>
    <w:rPr>
      <w:rFonts w:ascii="Tahoma" w:hAnsi="Tahoma"/>
      <w:sz w:val="18"/>
      <w:szCs w:val="18"/>
    </w:rPr>
  </w:style>
  <w:style w:type="character" w:customStyle="1" w:styleId="12">
    <w:name w:val="页脚 Char"/>
    <w:basedOn w:val="8"/>
    <w:link w:val="4"/>
    <w:qFormat/>
    <w:uiPriority w:val="99"/>
    <w:rPr>
      <w:rFonts w:ascii="Tahoma" w:hAnsi="Tahoma"/>
      <w:sz w:val="18"/>
      <w:szCs w:val="18"/>
    </w:rPr>
  </w:style>
  <w:style w:type="character" w:customStyle="1" w:styleId="13">
    <w:name w:val="apple-converted-space"/>
    <w:basedOn w:val="8"/>
    <w:qFormat/>
    <w:uiPriority w:val="0"/>
  </w:style>
  <w:style w:type="character" w:customStyle="1" w:styleId="14">
    <w:name w:val="批注框文本 Char"/>
    <w:basedOn w:val="8"/>
    <w:link w:val="3"/>
    <w:semiHidden/>
    <w:qFormat/>
    <w:uiPriority w:val="99"/>
    <w:rPr>
      <w:rFonts w:ascii="Tahoma" w:hAnsi="Tahoma"/>
      <w:sz w:val="18"/>
      <w:szCs w:val="18"/>
    </w:rPr>
  </w:style>
  <w:style w:type="character" w:customStyle="1" w:styleId="15">
    <w:name w:val="日期 Char"/>
    <w:basedOn w:val="8"/>
    <w:link w:val="2"/>
    <w:semiHidden/>
    <w:qFormat/>
    <w:uiPriority w:val="99"/>
    <w:rPr>
      <w:rFonts w:ascii="Tahoma" w:hAnsi="Tahoma"/>
    </w:rPr>
  </w:style>
  <w:style w:type="table" w:customStyle="1" w:styleId="16">
    <w:name w:val="Table Normal"/>
    <w:semiHidden/>
    <w:unhideWhenUsed/>
    <w:qFormat/>
    <w:uiPriority w:val="0"/>
    <w:pPr>
      <w:spacing w:after="0" w:line="240" w:lineRule="auto"/>
    </w:pPr>
    <w:rPr>
      <w:rFonts w:ascii="Arial" w:hAnsi="Arial" w:cs="Arial" w:eastAsiaTheme="minorEastAsia"/>
      <w:snapToGrid w:val="0"/>
      <w:color w:val="000000"/>
      <w:sz w:val="21"/>
      <w:szCs w:val="21"/>
    </w:rPr>
    <w:tblPr>
      <w:tblCellMar>
        <w:top w:w="0" w:type="dxa"/>
        <w:left w:w="0" w:type="dxa"/>
        <w:bottom w:w="0" w:type="dxa"/>
        <w:right w:w="0" w:type="dxa"/>
      </w:tblCellMar>
    </w:tblPr>
  </w:style>
  <w:style w:type="paragraph" w:customStyle="1" w:styleId="17">
    <w:name w:val="Normal (Web)85057c23"/>
    <w:next w:val="5"/>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7168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06DFE6C-F2A4-4F5F-BB65-0E9F1B7B5B8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1029</Words>
  <Characters>5871</Characters>
  <Lines>48</Lines>
  <Paragraphs>13</Paragraphs>
  <TotalTime>0</TotalTime>
  <ScaleCrop>false</ScaleCrop>
  <LinksUpToDate>false</LinksUpToDate>
  <CharactersWithSpaces>6887</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2023-05-23T01:55:00Z</dcterms:created>
  <dc:creator>Administrator</dc:creator>
  <cp:lastModifiedBy>User</cp:lastModifiedBy>
  <cp:lastPrinted>2022-09-15T07:23:00Z</cp:lastPrinted>
  <dcterms:modified xsi:type="dcterms:W3CDTF">2024-11-19T02:15:42Z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55B1A358E2294A458B9C1BD86FEB5CE3</vt:lpwstr>
  </property>
</Properties>
</file>