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理财产品风险揭示书</w:t>
      </w:r>
    </w:p>
    <w:p>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pPr>
        <w:spacing w:line="200" w:lineRule="exact"/>
      </w:pPr>
      <w:r>
        <w:rPr>
          <w:rFonts w:ascii="方正黑体_GBK" w:hAnsi="方正黑体_GBK" w:eastAsia="方正黑体_GBK" w:cs="宋体"/>
          <w:b/>
          <w:sz w:val="13"/>
          <w:szCs w:val="20"/>
        </w:rPr>
        <w:t xml:space="preserve">    1.债券类资产投资风险</w:t>
      </w:r>
    </w:p>
    <w:p>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spacing w:line="200" w:lineRule="exact"/>
      </w:pPr>
      <w:r>
        <w:rPr>
          <w:rFonts w:ascii="方正黑体_GBK" w:hAnsi="方正黑体_GBK" w:eastAsia="方正黑体_GBK" w:cs="宋体"/>
          <w:b/>
          <w:sz w:val="13"/>
          <w:szCs w:val="20"/>
        </w:rPr>
        <w:t xml:space="preserve">    2.非标准化债权类资产投资风险</w:t>
      </w:r>
    </w:p>
    <w:p>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spacing w:line="200" w:lineRule="exact"/>
      </w:pPr>
      <w:r>
        <w:rPr>
          <w:rFonts w:ascii="方正黑体_GBK" w:hAnsi="方正黑体_GBK" w:eastAsia="方正黑体_GBK" w:cs="宋体"/>
          <w:b/>
          <w:sz w:val="13"/>
          <w:szCs w:val="20"/>
        </w:rPr>
        <w:t xml:space="preserve">    3.资产管理产品投资风险</w:t>
      </w:r>
    </w:p>
    <w:p>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spacing w:line="200" w:lineRule="exact"/>
      </w:pPr>
      <w:r>
        <w:rPr>
          <w:rFonts w:ascii="方正黑体_GBK" w:hAnsi="方正黑体_GBK" w:eastAsia="方正黑体_GBK" w:cs="宋体"/>
          <w:b/>
          <w:sz w:val="13"/>
          <w:szCs w:val="20"/>
        </w:rPr>
        <w:t xml:space="preserve">    4.非标准化债权类资产无法投资的风险</w:t>
      </w:r>
    </w:p>
    <w:p>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99天</w:t>
      </w:r>
      <w:r>
        <w:rPr>
          <w:rFonts w:hint="eastAsia" w:ascii="方正黑体_GBK" w:hAnsi="方正黑体_GBK" w:eastAsia="方正黑体_GBK"/>
          <w:b/>
          <w:bCs w:val="0"/>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pPr>
        <w:rPr>
          <w:rFonts w:ascii="宋体" w:hAnsi="宋体" w:cs="宋体"/>
          <w:sz w:val="28"/>
        </w:rPr>
      </w:pPr>
      <w:r>
        <w:rPr>
          <w:rFonts w:ascii="宋体" w:hAnsi="宋体" w:cs="宋体"/>
          <w:sz w:val="28"/>
        </w:rPr>
        <w:t>尊敬的客户：</w:t>
      </w:r>
    </w:p>
    <w:p>
      <w:pPr>
        <w:ind w:firstLine="560" w:firstLineChars="200"/>
        <w:rPr>
          <w:rFonts w:ascii="宋体" w:hAnsi="宋体" w:cs="宋体"/>
          <w:sz w:val="28"/>
        </w:rPr>
      </w:pPr>
      <w:r>
        <w:rPr>
          <w:rFonts w:ascii="宋体" w:hAnsi="宋体" w:cs="宋体"/>
          <w:sz w:val="28"/>
        </w:rPr>
        <w:t>根据代销机构风险评级，本产品为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风险</w:t>
      </w:r>
      <w:r>
        <w:rPr>
          <w:rFonts w:ascii="宋体" w:hAnsi="宋体" w:cs="宋体"/>
          <w:sz w:val="28"/>
        </w:rPr>
        <w:t>理财产品，适合本行风险承受能力为</w:t>
      </w:r>
      <w:r>
        <w:rPr>
          <w:rFonts w:ascii="宋体" w:hAnsi="宋体" w:cs="宋体"/>
          <w:b/>
          <w:color w:val="FF0000"/>
          <w:sz w:val="28"/>
        </w:rPr>
        <w:t>中</w:t>
      </w:r>
      <w:r>
        <w:rPr>
          <w:rFonts w:hint="eastAsia" w:ascii="宋体" w:hAnsi="宋体" w:cs="宋体"/>
          <w:b/>
          <w:color w:val="FF0000"/>
          <w:sz w:val="28"/>
        </w:rPr>
        <w:t>低</w:t>
      </w:r>
      <w:r>
        <w:rPr>
          <w:rFonts w:ascii="宋体" w:hAnsi="宋体" w:cs="宋体"/>
          <w:b/>
          <w:color w:val="FF0000"/>
          <w:sz w:val="28"/>
        </w:rPr>
        <w:t>及以上</w:t>
      </w:r>
      <w:r>
        <w:rPr>
          <w:rFonts w:ascii="宋体" w:hAnsi="宋体" w:cs="宋体"/>
          <w:sz w:val="28"/>
        </w:rPr>
        <w:t>客户购买，请选择与您风险承受能力相匹配的理财产品。</w:t>
      </w:r>
    </w:p>
    <w:p>
      <w:pPr>
        <w:rPr>
          <w:rFonts w:ascii="宋体" w:hAnsi="宋体" w:cs="宋体"/>
          <w:sz w:val="28"/>
        </w:rPr>
      </w:pPr>
      <w:r>
        <w:rPr>
          <w:rFonts w:ascii="宋体" w:hAnsi="宋体" w:cs="宋体"/>
          <w:sz w:val="28"/>
        </w:rPr>
        <w:t>（理财产品风险分级为：低、中低、中等、中高、高）。</w:t>
      </w:r>
    </w:p>
    <w:p>
      <w:pPr>
        <w:ind w:firstLine="560" w:firstLineChars="200"/>
        <w:rPr>
          <w:rFonts w:ascii="宋体" w:hAnsi="宋体" w:cs="宋体"/>
          <w:sz w:val="28"/>
        </w:rPr>
      </w:pPr>
      <w:r>
        <w:rPr>
          <w:rFonts w:ascii="宋体" w:hAnsi="宋体" w:cs="宋体"/>
          <w:color w:val="FF0000"/>
          <w:sz w:val="28"/>
        </w:rPr>
        <w:t>本产品由</w:t>
      </w:r>
      <w:r>
        <w:rPr>
          <w:rFonts w:hint="eastAsia" w:ascii="宋体" w:hAnsi="宋体" w:cs="宋体"/>
          <w:color w:val="FF0000"/>
          <w:sz w:val="28"/>
        </w:rPr>
        <w:t>南银理财</w:t>
      </w:r>
      <w:r>
        <w:rPr>
          <w:rFonts w:ascii="宋体" w:hAnsi="宋体" w:cs="宋体"/>
          <w:color w:val="FF0000"/>
          <w:sz w:val="28"/>
        </w:rPr>
        <w:t>有限责任公司发行与管理，代销机构不承担产品的投资、兑付和风险管理责任。</w:t>
      </w:r>
    </w:p>
    <w:p>
      <w:pPr>
        <w:ind w:firstLine="560" w:firstLineChars="200"/>
        <w:rPr>
          <w:rFonts w:ascii="宋体" w:hAnsi="宋体" w:cs="宋体"/>
          <w:sz w:val="28"/>
        </w:rPr>
      </w:pPr>
    </w:p>
    <w:p>
      <w:pPr>
        <w:pStyle w:val="58"/>
        <w:spacing w:line="240" w:lineRule="auto"/>
        <w:ind w:left="0"/>
        <w:jc w:val="right"/>
        <w:rPr>
          <w:rFonts w:hAnsi="宋体"/>
          <w:sz w:val="28"/>
        </w:rPr>
      </w:pPr>
      <w:r>
        <w:rPr>
          <w:rFonts w:hAnsi="宋体"/>
          <w:sz w:val="28"/>
        </w:rPr>
        <w:t>风险提示方：江苏紫金农村商业银行股份有限公司</w:t>
      </w:r>
    </w:p>
    <w:p>
      <w:pPr>
        <w:pStyle w:val="58"/>
        <w:spacing w:line="240" w:lineRule="auto"/>
        <w:ind w:left="0"/>
        <w:jc w:val="right"/>
        <w:rPr>
          <w:rFonts w:hAnsi="宋体"/>
          <w:sz w:val="28"/>
        </w:rPr>
      </w:pPr>
    </w:p>
    <w:p>
      <w:pPr>
        <w:rPr>
          <w:rFonts w:hint="eastAsia" w:ascii="方正黑体_GBK" w:hAnsi="方正黑体_GBK" w:eastAsia="方正黑体_GBK"/>
          <w:sz w:val="20"/>
          <w:szCs w:val="20"/>
          <w:lang w:val="en-US" w:eastAsia="zh-CN"/>
        </w:rPr>
      </w:pPr>
      <w:bookmarkStart w:id="0" w:name="_GoBack"/>
      <w:bookmarkEnd w:id="0"/>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docVars>
    <w:docVar w:name="commondata" w:val="eyJoZGlkIjoiMWYwYzZjMjc0ZWUwNTYxNjQxZTk1ZGJlNzhlMGUwOTAifQ=="/>
  </w:docVars>
  <w:rsids>
    <w:rsidRoot w:val="00000000"/>
    <w:rsid w:val="44C51180"/>
    <w:rsid w:val="792649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 w:type="character" w:styleId="14">
    <w:name w:val="Strong"/>
    <w:qFormat/>
    <w:uiPriority w:val="0"/>
    <w:rPr>
      <w:b/>
    </w:rPr>
  </w:style>
  <w:style w:type="paragraph" w:customStyle="1" w:styleId="15">
    <w:name w:val="Normalafc60e9d"/>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451433d1"/>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d6f24c10"/>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edd7829a"/>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32d92147"/>
    <w:qFormat/>
    <w:uiPriority w:val="0"/>
  </w:style>
  <w:style w:type="paragraph" w:customStyle="1" w:styleId="20">
    <w:name w:val="toc 1ad38cf9c"/>
    <w:basedOn w:val="15"/>
    <w:next w:val="1"/>
    <w:qFormat/>
    <w:uiPriority w:val="0"/>
  </w:style>
  <w:style w:type="paragraph" w:customStyle="1" w:styleId="21">
    <w:name w:val="toc 29430b177"/>
    <w:basedOn w:val="15"/>
    <w:next w:val="1"/>
    <w:qFormat/>
    <w:uiPriority w:val="0"/>
    <w:pPr>
      <w:ind w:left="420"/>
    </w:pPr>
  </w:style>
  <w:style w:type="paragraph" w:customStyle="1" w:styleId="22">
    <w:name w:val="toc 3113e6740"/>
    <w:basedOn w:val="15"/>
    <w:next w:val="1"/>
    <w:qFormat/>
    <w:uiPriority w:val="0"/>
    <w:pPr>
      <w:ind w:left="840"/>
    </w:pPr>
  </w:style>
  <w:style w:type="paragraph" w:customStyle="1" w:styleId="23">
    <w:name w:val="toc 47fdef309"/>
    <w:basedOn w:val="15"/>
    <w:next w:val="1"/>
    <w:qFormat/>
    <w:uiPriority w:val="0"/>
    <w:pPr>
      <w:ind w:left="1260"/>
    </w:pPr>
  </w:style>
  <w:style w:type="paragraph" w:customStyle="1" w:styleId="24">
    <w:name w:val="toc 58a0b4957"/>
    <w:basedOn w:val="15"/>
    <w:next w:val="1"/>
    <w:qFormat/>
    <w:uiPriority w:val="0"/>
    <w:pPr>
      <w:ind w:left="1680"/>
    </w:pPr>
  </w:style>
  <w:style w:type="paragraph" w:customStyle="1" w:styleId="25">
    <w:name w:val="header23cfcc7c"/>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c02068f4"/>
    <w:basedOn w:val="15"/>
    <w:qFormat/>
    <w:uiPriority w:val="0"/>
    <w:pPr>
      <w:tabs>
        <w:tab w:val="center" w:pos="4153"/>
        <w:tab w:val="right" w:pos="8307"/>
      </w:tabs>
      <w:adjustRightInd/>
      <w:snapToGrid w:val="0"/>
      <w:contextualSpacing w:val="0"/>
      <w:jc w:val="left"/>
    </w:pPr>
    <w:rPr>
      <w:sz w:val="18"/>
    </w:rPr>
  </w:style>
  <w:style w:type="character" w:customStyle="1" w:styleId="27">
    <w:name w:val="Strong99522f0f"/>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82ec83d6"/>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9814d429"/>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b209a60f"/>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3906ba4c"/>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4554fb68"/>
    <w:qFormat/>
    <w:uiPriority w:val="0"/>
  </w:style>
  <w:style w:type="paragraph" w:customStyle="1" w:styleId="34">
    <w:name w:val="Normal Indent3984f8d0"/>
    <w:basedOn w:val="29"/>
    <w:qFormat/>
    <w:uiPriority w:val="0"/>
    <w:pPr>
      <w:ind w:firstLine="200" w:firstLineChars="200"/>
    </w:pPr>
  </w:style>
  <w:style w:type="paragraph" w:customStyle="1" w:styleId="35">
    <w:name w:val="toc 5070685cc"/>
    <w:basedOn w:val="29"/>
    <w:next w:val="1"/>
    <w:qFormat/>
    <w:uiPriority w:val="0"/>
    <w:pPr>
      <w:ind w:left="1680"/>
    </w:pPr>
  </w:style>
  <w:style w:type="paragraph" w:customStyle="1" w:styleId="36">
    <w:name w:val="toc 374c98c19"/>
    <w:basedOn w:val="29"/>
    <w:next w:val="1"/>
    <w:qFormat/>
    <w:uiPriority w:val="0"/>
    <w:pPr>
      <w:ind w:left="840"/>
    </w:pPr>
  </w:style>
  <w:style w:type="paragraph" w:customStyle="1" w:styleId="37">
    <w:name w:val="footerc729ddfd"/>
    <w:basedOn w:val="29"/>
    <w:qFormat/>
    <w:uiPriority w:val="0"/>
    <w:pPr>
      <w:tabs>
        <w:tab w:val="center" w:pos="4153"/>
        <w:tab w:val="right" w:pos="8307"/>
      </w:tabs>
      <w:adjustRightInd/>
      <w:snapToGrid w:val="0"/>
      <w:contextualSpacing w:val="0"/>
      <w:jc w:val="left"/>
    </w:pPr>
    <w:rPr>
      <w:sz w:val="18"/>
    </w:rPr>
  </w:style>
  <w:style w:type="paragraph" w:customStyle="1" w:styleId="38">
    <w:name w:val="header5f717f27"/>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c405fece"/>
    <w:basedOn w:val="29"/>
    <w:next w:val="1"/>
    <w:qFormat/>
    <w:uiPriority w:val="0"/>
  </w:style>
  <w:style w:type="paragraph" w:customStyle="1" w:styleId="40">
    <w:name w:val="toc 4a4c938ff"/>
    <w:basedOn w:val="29"/>
    <w:next w:val="1"/>
    <w:qFormat/>
    <w:uiPriority w:val="0"/>
    <w:pPr>
      <w:ind w:left="1260"/>
    </w:pPr>
  </w:style>
  <w:style w:type="paragraph" w:customStyle="1" w:styleId="41">
    <w:name w:val="toc 2e0a6776d"/>
    <w:basedOn w:val="29"/>
    <w:next w:val="1"/>
    <w:qFormat/>
    <w:uiPriority w:val="0"/>
    <w:pPr>
      <w:ind w:left="420"/>
    </w:pPr>
  </w:style>
  <w:style w:type="paragraph" w:customStyle="1" w:styleId="42">
    <w:name w:val="Normal (Web)85057c23"/>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ba24e9f0ba24e9f0"/>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0930dfbf0930dfbf"/>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d437d0b9d437d0b9"/>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2576ef382576ef38"/>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b28d4187b28d4187"/>
    <w:qFormat/>
    <w:uiPriority w:val="0"/>
  </w:style>
  <w:style w:type="paragraph" w:customStyle="1" w:styleId="49">
    <w:name w:val="引文目录1f7a3bc8cf7a3bc8c"/>
    <w:basedOn w:val="44"/>
    <w:next w:val="1"/>
    <w:qFormat/>
    <w:uiPriority w:val="0"/>
    <w:pPr>
      <w:ind w:left="200" w:leftChars="200"/>
    </w:pPr>
  </w:style>
  <w:style w:type="paragraph" w:customStyle="1" w:styleId="50">
    <w:name w:val="toc 5f9210939f9210939"/>
    <w:basedOn w:val="44"/>
    <w:next w:val="1"/>
    <w:qFormat/>
    <w:uiPriority w:val="0"/>
    <w:pPr>
      <w:ind w:left="1680"/>
    </w:pPr>
  </w:style>
  <w:style w:type="paragraph" w:customStyle="1" w:styleId="51">
    <w:name w:val="toc 355a4408655a44086"/>
    <w:basedOn w:val="44"/>
    <w:next w:val="1"/>
    <w:qFormat/>
    <w:uiPriority w:val="0"/>
    <w:pPr>
      <w:ind w:left="840"/>
    </w:pPr>
  </w:style>
  <w:style w:type="paragraph" w:customStyle="1" w:styleId="52">
    <w:name w:val="footerb9f8f429b9f8f429"/>
    <w:basedOn w:val="44"/>
    <w:qFormat/>
    <w:uiPriority w:val="0"/>
    <w:pPr>
      <w:tabs>
        <w:tab w:val="center" w:pos="4153"/>
        <w:tab w:val="right" w:pos="8307"/>
      </w:tabs>
      <w:adjustRightInd/>
      <w:snapToGrid w:val="0"/>
      <w:contextualSpacing w:val="0"/>
      <w:jc w:val="left"/>
    </w:pPr>
    <w:rPr>
      <w:sz w:val="18"/>
    </w:rPr>
  </w:style>
  <w:style w:type="paragraph" w:customStyle="1" w:styleId="53">
    <w:name w:val="header04875c3904875c39"/>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b564c554b564c554"/>
    <w:basedOn w:val="44"/>
    <w:next w:val="1"/>
    <w:qFormat/>
    <w:uiPriority w:val="0"/>
  </w:style>
  <w:style w:type="paragraph" w:customStyle="1" w:styleId="55">
    <w:name w:val="toc 450578bf950578bf9"/>
    <w:basedOn w:val="44"/>
    <w:next w:val="1"/>
    <w:qFormat/>
    <w:uiPriority w:val="0"/>
    <w:pPr>
      <w:ind w:left="1260"/>
    </w:pPr>
  </w:style>
  <w:style w:type="paragraph" w:customStyle="1" w:styleId="56">
    <w:name w:val="toc 28b149b368b149b36"/>
    <w:basedOn w:val="44"/>
    <w:next w:val="1"/>
    <w:qFormat/>
    <w:uiPriority w:val="0"/>
    <w:pPr>
      <w:ind w:left="420"/>
    </w:pPr>
  </w:style>
  <w:style w:type="paragraph" w:customStyle="1" w:styleId="57">
    <w:name w:val="列出段落1a28897fea28897fe"/>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58">
    <w:name w:val="Default"/>
    <w:qFormat/>
    <w:uiPriority w:val="0"/>
    <w:pPr>
      <w:widowControl w:val="0"/>
      <w:autoSpaceDE w:val="0"/>
      <w:autoSpaceDN w:val="0"/>
      <w:adjustRightInd w:val="0"/>
    </w:pPr>
    <w:rPr>
      <w:rFonts w:ascii="宋体" w:hAnsi="等线" w:eastAsia="宋体" w:cs="宋体"/>
      <w:snapToGrid/>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24375</Words>
  <Characters>25043</Characters>
  <Lines>77</Lines>
  <Paragraphs>27</Paragraphs>
  <TotalTime>0</TotalTime>
  <ScaleCrop>false</ScaleCrop>
  <LinksUpToDate>false</LinksUpToDate>
  <CharactersWithSpaces>25208</CharactersWithSpaces>
  <Application>WPS Office_11.8.2.11813_F1E327BC-269C-435d-A152-05C5408002CA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User</cp:lastModifiedBy>
  <dcterms:modified xsi:type="dcterms:W3CDTF">2024-11-19T02:16:07Z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7BE903EA325B4B99A1EC177175843309_13</vt:lpwstr>
  </property>
</Properties>
</file>