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理财产品说明书</w:t>
      </w:r>
    </w:p>
    <w:p>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pPr>
        <w:pStyle w:val="42"/>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bookmarkStart w:id="0" w:name="_GoBack"/>
      <w:r>
        <w:rPr>
          <w:rFonts w:hint="eastAsia" w:ascii="宋体" w:hAnsi="宋体" w:eastAsia="宋体" w:cs="宋体"/>
          <w:b/>
          <w:bCs w:val="0"/>
          <w:caps w:val="0"/>
          <w:smallCaps w:val="0"/>
          <w:snapToGrid/>
          <w:vanish w:val="0"/>
          <w:color w:val="3D3D3D"/>
          <w:kern w:val="0"/>
          <w:sz w:val="18"/>
          <w:szCs w:val="15"/>
          <w:vertAlign w:val="baseline"/>
        </w:rPr>
        <w:t>第一条  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南银理财珠联璧合鑫逸稳三个月59期封闭式公募人民币理财产品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ZZ700322400492</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Z7003224000240(投资者可依据该编码在中国理财网www.chinawealth.com.cn查询理财产品相关信息）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A份额：Y80059</w:t>
            </w:r>
          </w:p>
          <w:p>
            <w:pPr>
              <w:spacing w:line="200" w:lineRule="exact"/>
              <w:rPr>
                <w:rFonts w:hint="eastAsia" w:ascii="宋体" w:hAnsi="宋体" w:eastAsia="宋体" w:cs="宋体"/>
                <w:sz w:val="18"/>
              </w:rPr>
            </w:pPr>
            <w:r>
              <w:rPr>
                <w:rFonts w:hint="eastAsia" w:ascii="宋体" w:hAnsi="宋体" w:eastAsia="宋体" w:cs="宋体"/>
                <w:sz w:val="18"/>
                <w:szCs w:val="18"/>
              </w:rPr>
              <w:t>B份额：Y81059</w:t>
            </w:r>
          </w:p>
          <w:p>
            <w:pPr>
              <w:spacing w:line="200" w:lineRule="exact"/>
              <w:rPr>
                <w:rFonts w:hint="eastAsia" w:ascii="宋体" w:hAnsi="宋体" w:eastAsia="宋体" w:cs="宋体"/>
                <w:sz w:val="18"/>
              </w:rPr>
            </w:pPr>
            <w:r>
              <w:rPr>
                <w:rFonts w:hint="eastAsia" w:ascii="宋体" w:hAnsi="宋体" w:eastAsia="宋体" w:cs="宋体"/>
                <w:sz w:val="18"/>
                <w:szCs w:val="18"/>
              </w:rPr>
              <w:t>C份额：Y82059</w:t>
            </w:r>
          </w:p>
          <w:p>
            <w:pPr>
              <w:spacing w:line="200" w:lineRule="exact"/>
              <w:rPr>
                <w:rFonts w:hint="eastAsia" w:ascii="宋体" w:hAnsi="宋体" w:eastAsia="宋体" w:cs="宋体"/>
                <w:sz w:val="18"/>
              </w:rPr>
            </w:pPr>
            <w:r>
              <w:rPr>
                <w:rFonts w:hint="eastAsia" w:ascii="宋体" w:hAnsi="宋体" w:eastAsia="宋体" w:cs="宋体"/>
                <w:sz w:val="18"/>
                <w:szCs w:val="18"/>
              </w:rPr>
              <w:t>D份额：Y83059</w:t>
            </w:r>
          </w:p>
          <w:p>
            <w:pPr>
              <w:spacing w:line="200" w:lineRule="exact"/>
              <w:rPr>
                <w:rFonts w:hint="eastAsia" w:ascii="宋体" w:hAnsi="宋体" w:eastAsia="宋体" w:cs="宋体"/>
                <w:sz w:val="18"/>
              </w:rPr>
            </w:pPr>
            <w:r>
              <w:rPr>
                <w:rFonts w:hint="eastAsia" w:ascii="宋体" w:hAnsi="宋体" w:eastAsia="宋体" w:cs="宋体"/>
                <w:sz w:val="18"/>
                <w:szCs w:val="18"/>
              </w:rPr>
              <w:t>E份额：Y84059</w:t>
            </w:r>
          </w:p>
          <w:p>
            <w:pPr>
              <w:spacing w:line="200" w:lineRule="exact"/>
              <w:rPr>
                <w:rFonts w:hint="eastAsia" w:ascii="宋体" w:hAnsi="宋体" w:eastAsia="宋体" w:cs="宋体"/>
                <w:sz w:val="18"/>
              </w:rPr>
            </w:pPr>
            <w:r>
              <w:rPr>
                <w:rFonts w:hint="eastAsia" w:ascii="宋体" w:hAnsi="宋体" w:eastAsia="宋体" w:cs="宋体"/>
                <w:sz w:val="18"/>
                <w:szCs w:val="18"/>
              </w:rPr>
              <w:t>F份额：Y85059</w:t>
            </w:r>
          </w:p>
          <w:p>
            <w:pPr>
              <w:spacing w:line="200" w:lineRule="exact"/>
              <w:rPr>
                <w:rFonts w:hint="eastAsia" w:ascii="宋体" w:hAnsi="宋体" w:eastAsia="宋体" w:cs="宋体"/>
                <w:sz w:val="18"/>
              </w:rPr>
            </w:pPr>
            <w:r>
              <w:rPr>
                <w:rFonts w:hint="eastAsia" w:ascii="宋体" w:hAnsi="宋体" w:eastAsia="宋体" w:cs="宋体"/>
                <w:sz w:val="18"/>
                <w:szCs w:val="18"/>
              </w:rPr>
              <w:t>G份额：Y86059</w:t>
            </w:r>
          </w:p>
          <w:p>
            <w:pPr>
              <w:spacing w:line="200" w:lineRule="exact"/>
              <w:rPr>
                <w:rFonts w:hint="eastAsia" w:ascii="宋体" w:hAnsi="宋体" w:eastAsia="宋体" w:cs="宋体"/>
                <w:sz w:val="18"/>
              </w:rPr>
            </w:pPr>
            <w:r>
              <w:rPr>
                <w:rFonts w:hint="eastAsia" w:ascii="宋体" w:hAnsi="宋体" w:eastAsia="宋体" w:cs="宋体"/>
                <w:sz w:val="18"/>
                <w:szCs w:val="18"/>
              </w:rPr>
              <w:t>H份额：Y87059</w:t>
            </w:r>
          </w:p>
          <w:p>
            <w:pPr>
              <w:spacing w:line="200" w:lineRule="exact"/>
              <w:rPr>
                <w:rFonts w:hint="eastAsia" w:ascii="宋体" w:hAnsi="宋体" w:eastAsia="宋体" w:cs="宋体"/>
                <w:sz w:val="18"/>
              </w:rPr>
            </w:pPr>
            <w:r>
              <w:rPr>
                <w:rFonts w:hint="eastAsia" w:ascii="宋体" w:hAnsi="宋体" w:eastAsia="宋体" w:cs="宋体"/>
                <w:sz w:val="18"/>
                <w:szCs w:val="18"/>
              </w:rPr>
              <w:t>I份额：Y88059</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全国</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人民币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本理财产品规模上限为100亿元。理财产品管理人有权对上述规模上限根据实际业务需求进行调整。</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根据理财产品管理人对理财产品的内部风险评估，本理财产品风险等级为</w:t>
            </w:r>
            <w:r>
              <w:rPr>
                <w:rFonts w:hint="eastAsia" w:ascii="宋体" w:hAnsi="宋体" w:eastAsia="宋体" w:cs="宋体"/>
                <w:b/>
                <w:sz w:val="18"/>
                <w:szCs w:val="18"/>
              </w:rPr>
              <w:t>中低风险</w:t>
            </w:r>
            <w:r>
              <w:rPr>
                <w:rFonts w:hint="eastAsia" w:ascii="宋体" w:hAnsi="宋体" w:eastAsia="宋体" w:cs="宋体"/>
                <w:sz w:val="18"/>
                <w:szCs w:val="18"/>
              </w:rPr>
              <w:t>（本风险等级为管理人内部风险评估结果，仅供参考）。</w:t>
            </w:r>
          </w:p>
          <w:p>
            <w:pPr>
              <w:spacing w:line="200" w:lineRule="exact"/>
              <w:rPr>
                <w:rFonts w:hint="eastAsia" w:ascii="宋体" w:hAnsi="宋体" w:eastAsia="宋体" w:cs="宋体"/>
                <w:sz w:val="18"/>
              </w:rPr>
            </w:pPr>
            <w:r>
              <w:rPr>
                <w:rFonts w:hint="eastAsia" w:ascii="宋体" w:hAnsi="宋体" w:eastAsia="宋体"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符合相关法律法规、监管规定要求的，经销售机构的风险承受能力评估体系评定为适合的个人和机构投资者。</w:t>
            </w:r>
          </w:p>
          <w:p>
            <w:pPr>
              <w:spacing w:line="200" w:lineRule="exact"/>
              <w:rPr>
                <w:rFonts w:hint="eastAsia" w:ascii="宋体" w:hAnsi="宋体" w:eastAsia="宋体" w:cs="宋体"/>
                <w:sz w:val="18"/>
              </w:rPr>
            </w:pPr>
            <w:r>
              <w:rPr>
                <w:rFonts w:hint="eastAsia" w:ascii="宋体" w:hAnsi="宋体" w:eastAsia="宋体" w:cs="宋体"/>
                <w:sz w:val="18"/>
                <w:szCs w:val="18"/>
              </w:rPr>
              <w:t>A份额：除B、C、D、E、F、G、H、I份额以外的所有客户（详见“销售机构”条款）。</w:t>
            </w:r>
          </w:p>
          <w:p>
            <w:pPr>
              <w:spacing w:line="200" w:lineRule="exact"/>
              <w:rPr>
                <w:rFonts w:hint="eastAsia" w:ascii="宋体" w:hAnsi="宋体" w:eastAsia="宋体" w:cs="宋体"/>
                <w:sz w:val="18"/>
              </w:rPr>
            </w:pPr>
            <w:r>
              <w:rPr>
                <w:rFonts w:hint="eastAsia" w:ascii="宋体" w:hAnsi="宋体" w:eastAsia="宋体" w:cs="宋体"/>
                <w:sz w:val="18"/>
                <w:szCs w:val="18"/>
              </w:rPr>
              <w:t>B份额：南京银行股份有限公司（大众客群）、温州银行股份有限公司、汉口银行股份有限公司（20万元起购）、河北银行股份有限公司（常规客户）、江苏常熟农村商业银行股份有限公司（社保卡专项客户）、江苏苏州农村商业银行股份有限公司（社保卡专项客户）、苏州银行股份有限公司（零售客群）、日照银行股份有限公司（普通客户）、宁波东海股份有限公司（社保卡专项客户）、齐鲁银行股份有限公司（白金/私行客户。白金客户：零售金融资产100万以上客户、私行客户：零售金融资产600万以上客户）、天津农村商业银行股份有限公司（社保卡专项客户）、云南红塔银行股份有限公司（普通客户）、兴业银行股份有限公司（普通客户）、江苏如皋农村商业银行股份有限公司（代发客户）。</w:t>
            </w:r>
          </w:p>
          <w:p>
            <w:pPr>
              <w:spacing w:line="200" w:lineRule="exact"/>
              <w:rPr>
                <w:rFonts w:hint="eastAsia" w:ascii="宋体" w:hAnsi="宋体" w:eastAsia="宋体" w:cs="宋体"/>
                <w:sz w:val="18"/>
              </w:rPr>
            </w:pPr>
            <w:r>
              <w:rPr>
                <w:rFonts w:hint="eastAsia" w:ascii="宋体" w:hAnsi="宋体" w:eastAsia="宋体" w:cs="宋体"/>
                <w:sz w:val="18"/>
                <w:szCs w:val="18"/>
              </w:rPr>
              <w:t>C份额：南京银行股份有限公司（新客户、新资金（5万）客户）、青岛银行股份有限公司、江苏张家港农村商业银行股份有限公司、河北银行股份有限公司（10万以上客户）、江苏江南农村商业银行股份有限公司（专项客群）、郑州银行股份有限公司、苏州银行股份有限公司（零售专项客群）、日照银行股份有限公司（特邀客户）、天津农村商业银行股份有限公司（社保卡专项客户）、云南红塔银行股份有限公司（新客）、兰州银行股份有限公司、甘肃银行股份有限公司、桂林银行股份有限公司（普通客户）、宁波通商银行股份有限公司（对公专项客户）、兴业银行股份有限公司（新客）、江苏泰兴农村商业银行股份有限公司、江苏靖江农村商业银行股份有限公司、江苏南通农村商业银行股份有限公司（企业客户专享）、江苏兴化农村商业银行股份有限公司、江苏紫金农村商业银行股份有限公司（起点金额30万）、江苏如东农村商业银行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D份额：南京银行股份有限公司（金卡（不含）以下级别客户）、苏州银行股份有限公司（对公客群）、宁波通商股份有限公司（专项客户）、江苏扬州农村商业银行股份有限公司（新客）。</w:t>
            </w:r>
          </w:p>
          <w:p>
            <w:pPr>
              <w:spacing w:line="200" w:lineRule="exact"/>
              <w:rPr>
                <w:rFonts w:hint="eastAsia" w:ascii="宋体" w:hAnsi="宋体" w:eastAsia="宋体" w:cs="宋体"/>
                <w:sz w:val="18"/>
              </w:rPr>
            </w:pPr>
            <w:r>
              <w:rPr>
                <w:rFonts w:hint="eastAsia" w:ascii="宋体" w:hAnsi="宋体" w:eastAsia="宋体" w:cs="宋体"/>
                <w:sz w:val="18"/>
                <w:szCs w:val="18"/>
              </w:rPr>
              <w:t>E份额：南京银行股份有限公司特邀客户。</w:t>
            </w:r>
          </w:p>
          <w:p>
            <w:pPr>
              <w:spacing w:line="200" w:lineRule="exact"/>
              <w:rPr>
                <w:rFonts w:hint="eastAsia" w:ascii="宋体" w:hAnsi="宋体" w:eastAsia="宋体" w:cs="宋体"/>
                <w:sz w:val="18"/>
              </w:rPr>
            </w:pPr>
            <w:r>
              <w:rPr>
                <w:rFonts w:hint="eastAsia" w:ascii="宋体" w:hAnsi="宋体" w:eastAsia="宋体" w:cs="宋体"/>
                <w:sz w:val="18"/>
                <w:szCs w:val="18"/>
              </w:rPr>
              <w:t>F份额：桂林银行股份有限公司（社保卡专项客户）。</w:t>
            </w:r>
          </w:p>
          <w:p>
            <w:pPr>
              <w:spacing w:line="200" w:lineRule="exact"/>
              <w:rPr>
                <w:rFonts w:hint="eastAsia" w:ascii="宋体" w:hAnsi="宋体" w:eastAsia="宋体" w:cs="宋体"/>
                <w:sz w:val="18"/>
              </w:rPr>
            </w:pPr>
            <w:r>
              <w:rPr>
                <w:rFonts w:hint="eastAsia" w:ascii="宋体" w:hAnsi="宋体" w:eastAsia="宋体" w:cs="宋体"/>
                <w:sz w:val="18"/>
                <w:szCs w:val="18"/>
              </w:rPr>
              <w:t>G份额：河北银行股份有限公司（分行专供）。</w:t>
            </w:r>
          </w:p>
          <w:p>
            <w:pPr>
              <w:spacing w:line="200" w:lineRule="exact"/>
              <w:rPr>
                <w:rFonts w:hint="eastAsia" w:ascii="宋体" w:hAnsi="宋体" w:eastAsia="宋体" w:cs="宋体"/>
                <w:sz w:val="18"/>
              </w:rPr>
            </w:pPr>
            <w:r>
              <w:rPr>
                <w:rFonts w:hint="eastAsia" w:ascii="宋体" w:hAnsi="宋体" w:eastAsia="宋体" w:cs="宋体"/>
                <w:sz w:val="18"/>
                <w:szCs w:val="18"/>
              </w:rPr>
              <w:t>H份额：交通银行股份有限公司。</w:t>
            </w:r>
          </w:p>
          <w:p>
            <w:pPr>
              <w:spacing w:line="200" w:lineRule="exact"/>
              <w:rPr>
                <w:rFonts w:hint="eastAsia" w:ascii="宋体" w:hAnsi="宋体" w:eastAsia="宋体" w:cs="宋体"/>
                <w:sz w:val="18"/>
              </w:rPr>
            </w:pPr>
            <w:r>
              <w:rPr>
                <w:rFonts w:hint="eastAsia" w:ascii="宋体" w:hAnsi="宋体" w:eastAsia="宋体" w:cs="宋体"/>
                <w:sz w:val="18"/>
                <w:szCs w:val="18"/>
              </w:rPr>
              <w:t>I份额：台州银行股份有限公司。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注：本产品不同份额针对不同的销售机构及客群进行销售，设置有不同的销售费和管理费。</w:t>
            </w:r>
          </w:p>
          <w:p>
            <w:pPr>
              <w:spacing w:line="200" w:lineRule="exact"/>
              <w:rPr>
                <w:rFonts w:hint="eastAsia" w:ascii="宋体" w:hAnsi="宋体" w:eastAsia="宋体" w:cs="宋体"/>
                <w:sz w:val="18"/>
              </w:rPr>
            </w:pPr>
            <w:r>
              <w:rPr>
                <w:rFonts w:hint="eastAsia" w:ascii="宋体" w:hAnsi="宋体" w:eastAsia="宋体" w:cs="宋体"/>
                <w:b/>
                <w:sz w:val="18"/>
                <w:szCs w:val="18"/>
              </w:rPr>
              <w:t>南京银行股份有限公司特邀客户：</w:t>
            </w:r>
            <w:r>
              <w:rPr>
                <w:rFonts w:hint="eastAsia" w:ascii="宋体" w:hAnsi="宋体" w:eastAsia="宋体" w:cs="宋体"/>
                <w:sz w:val="18"/>
                <w:szCs w:val="18"/>
              </w:rPr>
              <w:t>是指单笔金额100万起的特邀公司类客户。</w:t>
            </w:r>
          </w:p>
          <w:p>
            <w:pPr>
              <w:spacing w:line="200" w:lineRule="exact"/>
              <w:rPr>
                <w:rFonts w:hint="eastAsia" w:ascii="宋体" w:hAnsi="宋体" w:eastAsia="宋体" w:cs="宋体"/>
                <w:sz w:val="18"/>
              </w:rPr>
            </w:pPr>
            <w:r>
              <w:rPr>
                <w:rFonts w:hint="eastAsia" w:ascii="宋体" w:hAnsi="宋体" w:eastAsia="宋体" w:cs="宋体"/>
                <w:b/>
                <w:sz w:val="18"/>
                <w:szCs w:val="18"/>
              </w:rPr>
              <w:t>南京银行股份有限公司新客</w:t>
            </w:r>
            <w:r>
              <w:rPr>
                <w:rFonts w:hint="eastAsia" w:ascii="宋体" w:hAnsi="宋体" w:eastAsia="宋体" w:cs="宋体"/>
                <w:sz w:val="18"/>
                <w:szCs w:val="18"/>
              </w:rPr>
              <w:t>是指2024年理财年日均余额为0的客户。</w:t>
            </w:r>
          </w:p>
          <w:p>
            <w:pPr>
              <w:spacing w:line="200" w:lineRule="exact"/>
              <w:rPr>
                <w:rFonts w:hint="eastAsia" w:ascii="宋体" w:hAnsi="宋体" w:eastAsia="宋体" w:cs="宋体"/>
                <w:sz w:val="18"/>
              </w:rPr>
            </w:pPr>
            <w:r>
              <w:rPr>
                <w:rFonts w:hint="eastAsia" w:ascii="宋体" w:hAnsi="宋体" w:eastAsia="宋体" w:cs="宋体"/>
                <w:b/>
                <w:sz w:val="18"/>
                <w:szCs w:val="18"/>
              </w:rPr>
              <w:t>新资金（5万）</w:t>
            </w:r>
            <w:r>
              <w:rPr>
                <w:rFonts w:hint="eastAsia" w:ascii="宋体" w:hAnsi="宋体" w:eastAsia="宋体" w:cs="宋体"/>
                <w:sz w:val="18"/>
                <w:szCs w:val="18"/>
              </w:rPr>
              <w:t>是指金融资产余额较上月月日均增长5万元及以上的客户。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A份额/B份额/C份额/D份额/F份额/G份额/H份额/I份额：</w:t>
            </w:r>
          </w:p>
          <w:p>
            <w:pPr>
              <w:spacing w:line="200" w:lineRule="exact"/>
              <w:rPr>
                <w:rFonts w:hint="eastAsia" w:ascii="宋体" w:hAnsi="宋体" w:eastAsia="宋体" w:cs="宋体"/>
                <w:sz w:val="18"/>
              </w:rPr>
            </w:pPr>
            <w:r>
              <w:rPr>
                <w:rFonts w:hint="eastAsia" w:ascii="宋体" w:hAnsi="宋体" w:eastAsia="宋体" w:cs="宋体"/>
                <w:sz w:val="18"/>
                <w:szCs w:val="18"/>
              </w:rPr>
              <w:t>个人投资者投资起点金额1元人民币，以1元的整数倍递增；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E份额：</w:t>
            </w:r>
          </w:p>
          <w:p>
            <w:pPr>
              <w:spacing w:line="200" w:lineRule="exact"/>
              <w:rPr>
                <w:rFonts w:hint="eastAsia" w:ascii="宋体" w:hAnsi="宋体" w:eastAsia="宋体" w:cs="宋体"/>
                <w:sz w:val="18"/>
              </w:rPr>
            </w:pPr>
            <w:r>
              <w:rPr>
                <w:rFonts w:hint="eastAsia" w:ascii="宋体" w:hAnsi="宋体" w:eastAsia="宋体" w:cs="宋体"/>
                <w:sz w:val="18"/>
                <w:szCs w:val="18"/>
              </w:rPr>
              <w:t>机构投资者投资起点金额100万元人民币，以1元的整数倍递增；</w:t>
            </w:r>
          </w:p>
          <w:p>
            <w:pPr>
              <w:spacing w:line="200" w:lineRule="exact"/>
              <w:rPr>
                <w:rFonts w:hint="eastAsia" w:ascii="宋体" w:hAnsi="宋体" w:eastAsia="宋体" w:cs="宋体"/>
                <w:sz w:val="18"/>
              </w:rPr>
            </w:pPr>
            <w:r>
              <w:rPr>
                <w:rFonts w:hint="eastAsia" w:ascii="宋体" w:hAnsi="宋体" w:eastAsia="宋体" w:cs="宋体"/>
                <w:sz w:val="18"/>
                <w:szCs w:val="18"/>
              </w:rPr>
              <w:t>后续在符合监管政策规定的条件下，理财产品管理人有权对上述投资起点金额和递增金额进行调整,并在调整日前至少3个工作日进行信息披露。</w:t>
            </w:r>
          </w:p>
          <w:p>
            <w:pPr>
              <w:spacing w:line="200" w:lineRule="exact"/>
              <w:rPr>
                <w:rFonts w:hint="eastAsia" w:ascii="宋体" w:hAnsi="宋体" w:eastAsia="宋体" w:cs="宋体"/>
                <w:sz w:val="18"/>
              </w:rPr>
            </w:pPr>
            <w:r>
              <w:rPr>
                <w:rFonts w:hint="eastAsia" w:ascii="宋体" w:hAnsi="宋体" w:eastAsia="宋体" w:cs="宋体"/>
                <w:sz w:val="18"/>
                <w:szCs w:val="18"/>
              </w:rPr>
              <w:t>代销机构可根据其销售需要对投资起点金额、递增金额进行重新设定，投资者通过代销机构购买本理财产品的，以该代销机构最终披露的投资起点金额、递增金额为准。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A份额/B份额/C份额/D份额/F份额/G份额/H份额/I份额：</w:t>
            </w:r>
          </w:p>
          <w:p>
            <w:pPr>
              <w:spacing w:line="200" w:lineRule="exact"/>
              <w:rPr>
                <w:rFonts w:hint="eastAsia" w:ascii="宋体" w:hAnsi="宋体" w:eastAsia="宋体" w:cs="宋体"/>
                <w:sz w:val="18"/>
              </w:rPr>
            </w:pPr>
            <w:r>
              <w:rPr>
                <w:rFonts w:hint="eastAsia" w:ascii="宋体" w:hAnsi="宋体" w:eastAsia="宋体" w:cs="宋体"/>
                <w:sz w:val="18"/>
                <w:szCs w:val="18"/>
              </w:rPr>
              <w:t>暂不设置单个投资者持有金额上限；</w:t>
            </w:r>
          </w:p>
          <w:p>
            <w:pPr>
              <w:spacing w:line="200" w:lineRule="exact"/>
              <w:rPr>
                <w:rFonts w:hint="eastAsia" w:ascii="宋体" w:hAnsi="宋体" w:eastAsia="宋体" w:cs="宋体"/>
                <w:sz w:val="18"/>
              </w:rPr>
            </w:pPr>
            <w:r>
              <w:rPr>
                <w:rFonts w:hint="eastAsia" w:ascii="宋体" w:hAnsi="宋体" w:eastAsia="宋体" w:cs="宋体"/>
                <w:sz w:val="18"/>
                <w:szCs w:val="18"/>
              </w:rPr>
              <w:t>E份额：</w:t>
            </w:r>
          </w:p>
          <w:p>
            <w:pPr>
              <w:spacing w:line="200" w:lineRule="exact"/>
              <w:rPr>
                <w:rFonts w:hint="eastAsia" w:ascii="宋体" w:hAnsi="宋体" w:eastAsia="宋体" w:cs="宋体"/>
                <w:sz w:val="18"/>
              </w:rPr>
            </w:pPr>
            <w:r>
              <w:rPr>
                <w:rFonts w:hint="eastAsia" w:ascii="宋体" w:hAnsi="宋体" w:eastAsia="宋体" w:cs="宋体"/>
                <w:sz w:val="18"/>
                <w:szCs w:val="18"/>
              </w:rPr>
              <w:t>机构投资者：单个投资者持有金额上限3亿；</w:t>
            </w:r>
          </w:p>
          <w:p>
            <w:pPr>
              <w:spacing w:line="200" w:lineRule="exact"/>
              <w:jc w:val="left"/>
              <w:rPr>
                <w:rFonts w:hint="eastAsia" w:ascii="宋体" w:hAnsi="宋体" w:eastAsia="宋体" w:cs="宋体"/>
                <w:sz w:val="18"/>
              </w:rPr>
            </w:pPr>
            <w:r>
              <w:rPr>
                <w:rFonts w:hint="eastAsia" w:ascii="宋体" w:hAnsi="宋体" w:eastAsia="宋体" w:cs="宋体"/>
                <w:sz w:val="18"/>
                <w:szCs w:val="18"/>
              </w:rPr>
              <w:t>注：1.管理人有权对上述单个投资者持有金额上限进行调整或取消，并在调整或取消前至少3个工作日公告。</w:t>
            </w:r>
          </w:p>
          <w:p>
            <w:pPr>
              <w:spacing w:line="200" w:lineRule="exact"/>
              <w:jc w:val="left"/>
              <w:rPr>
                <w:rFonts w:hint="eastAsia" w:ascii="宋体" w:hAnsi="宋体" w:eastAsia="宋体" w:cs="宋体"/>
                <w:sz w:val="18"/>
              </w:rPr>
            </w:pPr>
            <w:r>
              <w:rPr>
                <w:rFonts w:hint="eastAsia" w:ascii="宋体" w:hAnsi="宋体" w:eastAsia="宋体"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sz w:val="18"/>
              </w:rPr>
            </w:pPr>
            <w:r>
              <w:rPr>
                <w:rFonts w:hint="eastAsia" w:ascii="宋体" w:hAnsi="宋体" w:eastAsia="宋体" w:cs="宋体"/>
                <w:kern w:val="0"/>
                <w:sz w:val="18"/>
                <w:szCs w:val="18"/>
              </w:rPr>
              <w:t>2024年11月27日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2024年11月27日—实际到期日（</w:t>
            </w:r>
            <w:r>
              <w:rPr>
                <w:rFonts w:hint="eastAsia" w:ascii="宋体" w:hAnsi="宋体" w:eastAsia="宋体" w:cs="宋体"/>
                <w:b/>
                <w:sz w:val="18"/>
                <w:szCs w:val="18"/>
              </w:rPr>
              <w:t>如名义到期日遇国家法定节假日，管理人可结合国家法定节假日安排进行调整。</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99天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2025年03月06日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本理财产品存续期间不进行分红。</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到期资金将于实际到期日后5个工作日内划入投资者授权指定账户，实际到期日后至投资者收益划到投资者授权指定账户之前不计任何收益。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本理财产品投资于固定收益类资产的比例不低于80%,投资于非标准化债权类资产的比例不高于50%。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4、同业借款：资产类型为南银理财有限责任公司向持牌金融机构发放的同业借款，期限不超过1年，融资人为江苏金融租赁股份有限公司。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A份额：业绩比较基准为2.5%(年化)。</w:t>
            </w:r>
          </w:p>
          <w:p>
            <w:pPr>
              <w:spacing w:line="200" w:lineRule="exact"/>
              <w:rPr>
                <w:rFonts w:hint="eastAsia" w:ascii="宋体" w:hAnsi="宋体" w:eastAsia="宋体" w:cs="宋体"/>
                <w:sz w:val="18"/>
              </w:rPr>
            </w:pPr>
            <w:r>
              <w:rPr>
                <w:rFonts w:hint="eastAsia" w:ascii="宋体" w:hAnsi="宋体" w:eastAsia="宋体" w:cs="宋体"/>
                <w:sz w:val="18"/>
                <w:szCs w:val="18"/>
              </w:rPr>
              <w:t>B份额：业绩比较基准为2.6%(年化)。</w:t>
            </w:r>
          </w:p>
          <w:p>
            <w:pPr>
              <w:spacing w:line="200" w:lineRule="exact"/>
              <w:rPr>
                <w:rFonts w:hint="eastAsia" w:ascii="宋体" w:hAnsi="宋体" w:eastAsia="宋体" w:cs="宋体"/>
                <w:sz w:val="18"/>
              </w:rPr>
            </w:pPr>
            <w:r>
              <w:rPr>
                <w:rFonts w:hint="eastAsia" w:ascii="宋体" w:hAnsi="宋体" w:eastAsia="宋体" w:cs="宋体"/>
                <w:sz w:val="18"/>
                <w:szCs w:val="18"/>
              </w:rPr>
              <w:t>C份额：业绩比较基准为2.7%(年化)。</w:t>
            </w:r>
          </w:p>
          <w:p>
            <w:pPr>
              <w:spacing w:line="200" w:lineRule="exact"/>
              <w:rPr>
                <w:rFonts w:hint="eastAsia" w:ascii="宋体" w:hAnsi="宋体" w:eastAsia="宋体" w:cs="宋体"/>
                <w:sz w:val="18"/>
              </w:rPr>
            </w:pPr>
            <w:r>
              <w:rPr>
                <w:rFonts w:hint="eastAsia" w:ascii="宋体" w:hAnsi="宋体" w:eastAsia="宋体" w:cs="宋体"/>
                <w:sz w:val="18"/>
                <w:szCs w:val="18"/>
              </w:rPr>
              <w:t>D份额：业绩比较基准为2.9%(年化)。</w:t>
            </w:r>
          </w:p>
          <w:p>
            <w:pPr>
              <w:spacing w:line="200" w:lineRule="exact"/>
              <w:rPr>
                <w:rFonts w:hint="eastAsia" w:ascii="宋体" w:hAnsi="宋体" w:eastAsia="宋体" w:cs="宋体"/>
                <w:sz w:val="18"/>
              </w:rPr>
            </w:pPr>
            <w:r>
              <w:rPr>
                <w:rFonts w:hint="eastAsia" w:ascii="宋体" w:hAnsi="宋体" w:eastAsia="宋体" w:cs="宋体"/>
                <w:sz w:val="18"/>
                <w:szCs w:val="18"/>
              </w:rPr>
              <w:t>E份额：业绩比较基准为2.7%(年化)。</w:t>
            </w:r>
          </w:p>
          <w:p>
            <w:pPr>
              <w:spacing w:line="200" w:lineRule="exact"/>
              <w:rPr>
                <w:rFonts w:hint="eastAsia" w:ascii="宋体" w:hAnsi="宋体" w:eastAsia="宋体" w:cs="宋体"/>
                <w:sz w:val="18"/>
              </w:rPr>
            </w:pPr>
            <w:r>
              <w:rPr>
                <w:rFonts w:hint="eastAsia" w:ascii="宋体" w:hAnsi="宋体" w:eastAsia="宋体" w:cs="宋体"/>
                <w:sz w:val="18"/>
                <w:szCs w:val="18"/>
              </w:rPr>
              <w:t>F份额：业绩比较基准为2.65%(年化)。</w:t>
            </w:r>
          </w:p>
          <w:p>
            <w:pPr>
              <w:spacing w:line="200" w:lineRule="exact"/>
              <w:rPr>
                <w:rFonts w:hint="eastAsia" w:ascii="宋体" w:hAnsi="宋体" w:eastAsia="宋体" w:cs="宋体"/>
                <w:sz w:val="18"/>
              </w:rPr>
            </w:pPr>
            <w:r>
              <w:rPr>
                <w:rFonts w:hint="eastAsia" w:ascii="宋体" w:hAnsi="宋体" w:eastAsia="宋体" w:cs="宋体"/>
                <w:sz w:val="18"/>
                <w:szCs w:val="18"/>
              </w:rPr>
              <w:t>G份额：业绩比较基准为2.65%(年化)。</w:t>
            </w:r>
          </w:p>
          <w:p>
            <w:pPr>
              <w:spacing w:line="200" w:lineRule="exact"/>
              <w:rPr>
                <w:rFonts w:hint="eastAsia" w:ascii="宋体" w:hAnsi="宋体" w:eastAsia="宋体" w:cs="宋体"/>
                <w:sz w:val="18"/>
              </w:rPr>
            </w:pPr>
            <w:r>
              <w:rPr>
                <w:rFonts w:hint="eastAsia" w:ascii="宋体" w:hAnsi="宋体" w:eastAsia="宋体" w:cs="宋体"/>
                <w:sz w:val="18"/>
                <w:szCs w:val="18"/>
              </w:rPr>
              <w:t>H份额：业绩比较基准为2.6%(年化)。</w:t>
            </w:r>
          </w:p>
          <w:p>
            <w:pPr>
              <w:spacing w:line="200" w:lineRule="exact"/>
              <w:rPr>
                <w:rFonts w:hint="eastAsia" w:ascii="宋体" w:hAnsi="宋体" w:eastAsia="宋体" w:cs="宋体"/>
                <w:sz w:val="18"/>
              </w:rPr>
            </w:pPr>
            <w:r>
              <w:rPr>
                <w:rFonts w:hint="eastAsia" w:ascii="宋体" w:hAnsi="宋体" w:eastAsia="宋体" w:cs="宋体"/>
                <w:sz w:val="18"/>
                <w:szCs w:val="18"/>
              </w:rPr>
              <w:t>I份额：业绩比较基准为2.75%(年化)。</w:t>
            </w:r>
          </w:p>
          <w:p>
            <w:pPr>
              <w:spacing w:line="200" w:lineRule="exact"/>
              <w:rPr>
                <w:rFonts w:hint="eastAsia" w:ascii="宋体" w:hAnsi="宋体" w:eastAsia="宋体" w:cs="宋体"/>
                <w:sz w:val="18"/>
              </w:rPr>
            </w:pPr>
            <w:r>
              <w:rPr>
                <w:rFonts w:hint="eastAsia" w:ascii="宋体" w:hAnsi="宋体" w:eastAsia="宋体" w:cs="宋体"/>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sz w:val="18"/>
              </w:rPr>
            </w:pPr>
            <w:r>
              <w:rPr>
                <w:rFonts w:hint="eastAsia" w:ascii="宋体" w:hAnsi="宋体" w:eastAsia="宋体"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b/>
                <w:sz w:val="18"/>
                <w:szCs w:val="18"/>
              </w:rPr>
              <w:t>认/申购费：本理财产品暂不收取认/申购费。</w:t>
            </w:r>
          </w:p>
          <w:p>
            <w:pPr>
              <w:spacing w:line="200" w:lineRule="exact"/>
            </w:pPr>
            <w:r>
              <w:rPr>
                <w:rFonts w:ascii="方正黑体_GBK" w:hAnsi="方正黑体_GBK" w:eastAsia="方正黑体_GBK" w:cs="宋体"/>
                <w:b/>
                <w:sz w:val="18"/>
                <w:szCs w:val="18"/>
              </w:rPr>
              <w:t>赎回费：本理财产品暂不收取赎回费。</w:t>
            </w:r>
          </w:p>
          <w:p>
            <w:pPr>
              <w:spacing w:line="200" w:lineRule="exact"/>
            </w:pPr>
            <w:r>
              <w:rPr>
                <w:rFonts w:ascii="方正黑体_GBK" w:hAnsi="方正黑体_GBK" w:eastAsia="方正黑体_GBK" w:cs="宋体"/>
                <w:b/>
                <w:sz w:val="18"/>
                <w:szCs w:val="18"/>
              </w:rPr>
              <w:t>销售费：本理财产品按前一日理财产品资产净值收取销售费，按日计提。</w:t>
            </w:r>
          </w:p>
          <w:p>
            <w:pPr>
              <w:spacing w:line="200" w:lineRule="exact"/>
            </w:pPr>
            <w:r>
              <w:rPr>
                <w:rFonts w:ascii="方正黑体_GBK" w:hAnsi="方正黑体_GBK" w:eastAsia="方正黑体_GBK" w:cs="宋体"/>
                <w:b/>
                <w:sz w:val="18"/>
                <w:szCs w:val="18"/>
              </w:rPr>
              <w:t>A份额：销售费年化0.2%</w:t>
            </w:r>
          </w:p>
          <w:p>
            <w:pPr>
              <w:spacing w:line="200" w:lineRule="exact"/>
            </w:pPr>
            <w:r>
              <w:rPr>
                <w:rFonts w:ascii="方正黑体_GBK" w:hAnsi="方正黑体_GBK" w:eastAsia="方正黑体_GBK" w:cs="宋体"/>
                <w:b/>
                <w:sz w:val="18"/>
                <w:szCs w:val="18"/>
              </w:rPr>
              <w:t>B份额：销售费年化0.2%</w:t>
            </w:r>
          </w:p>
          <w:p>
            <w:pPr>
              <w:spacing w:line="200" w:lineRule="exact"/>
            </w:pPr>
            <w:r>
              <w:rPr>
                <w:rFonts w:ascii="方正黑体_GBK" w:hAnsi="方正黑体_GBK" w:eastAsia="方正黑体_GBK" w:cs="宋体"/>
                <w:b/>
                <w:sz w:val="18"/>
                <w:szCs w:val="18"/>
              </w:rPr>
              <w:t>C份额：销售费年化0.1%</w:t>
            </w:r>
          </w:p>
          <w:p>
            <w:pPr>
              <w:spacing w:line="200" w:lineRule="exact"/>
            </w:pPr>
            <w:r>
              <w:rPr>
                <w:rFonts w:ascii="方正黑体_GBK" w:hAnsi="方正黑体_GBK" w:eastAsia="方正黑体_GBK" w:cs="宋体"/>
                <w:b/>
                <w:sz w:val="18"/>
                <w:szCs w:val="18"/>
              </w:rPr>
              <w:t>D份额：销售费年化0%</w:t>
            </w:r>
          </w:p>
          <w:p>
            <w:pPr>
              <w:spacing w:line="200" w:lineRule="exact"/>
            </w:pPr>
            <w:r>
              <w:rPr>
                <w:rFonts w:ascii="方正黑体_GBK" w:hAnsi="方正黑体_GBK" w:eastAsia="方正黑体_GBK" w:cs="宋体"/>
                <w:b/>
                <w:sz w:val="18"/>
                <w:szCs w:val="18"/>
              </w:rPr>
              <w:t>E份额：销售费年化0.1%</w:t>
            </w:r>
          </w:p>
          <w:p>
            <w:pPr>
              <w:spacing w:line="200" w:lineRule="exact"/>
            </w:pPr>
            <w:r>
              <w:rPr>
                <w:rFonts w:ascii="方正黑体_GBK" w:hAnsi="方正黑体_GBK" w:eastAsia="方正黑体_GBK" w:cs="宋体"/>
                <w:b/>
                <w:sz w:val="18"/>
                <w:szCs w:val="18"/>
              </w:rPr>
              <w:t>F份额：销售费年化0.15%</w:t>
            </w:r>
          </w:p>
          <w:p>
            <w:pPr>
              <w:spacing w:line="200" w:lineRule="exact"/>
            </w:pPr>
            <w:r>
              <w:rPr>
                <w:rFonts w:ascii="方正黑体_GBK" w:hAnsi="方正黑体_GBK" w:eastAsia="方正黑体_GBK" w:cs="宋体"/>
                <w:b/>
                <w:sz w:val="18"/>
                <w:szCs w:val="18"/>
              </w:rPr>
              <w:t>G份额：销售费年化0.15%</w:t>
            </w:r>
          </w:p>
          <w:p>
            <w:pPr>
              <w:spacing w:line="200" w:lineRule="exact"/>
            </w:pPr>
            <w:r>
              <w:rPr>
                <w:rFonts w:ascii="方正黑体_GBK" w:hAnsi="方正黑体_GBK" w:eastAsia="方正黑体_GBK" w:cs="宋体"/>
                <w:b/>
                <w:sz w:val="18"/>
                <w:szCs w:val="18"/>
              </w:rPr>
              <w:t>H份额：销售费年化0.3%</w:t>
            </w:r>
          </w:p>
          <w:p>
            <w:pPr>
              <w:spacing w:line="200" w:lineRule="exact"/>
            </w:pPr>
            <w:r>
              <w:rPr>
                <w:rFonts w:ascii="方正黑体_GBK" w:hAnsi="方正黑体_GBK" w:eastAsia="方正黑体_GBK" w:cs="宋体"/>
                <w:b/>
                <w:sz w:val="18"/>
                <w:szCs w:val="18"/>
              </w:rPr>
              <w:t>I份额：销售费年化0.1%</w:t>
            </w:r>
          </w:p>
          <w:p>
            <w:pPr>
              <w:spacing w:line="200" w:lineRule="exact"/>
            </w:pPr>
            <w:r>
              <w:rPr>
                <w:rFonts w:ascii="方正黑体_GBK" w:hAnsi="方正黑体_GBK" w:eastAsia="方正黑体_GBK" w:cs="宋体"/>
                <w:b/>
                <w:sz w:val="18"/>
                <w:szCs w:val="18"/>
              </w:rPr>
              <w:t>每日计提的销售费=前一日理财产品资产净值×年化销售费率÷365</w:t>
            </w:r>
          </w:p>
          <w:p>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pPr>
              <w:spacing w:line="200" w:lineRule="exact"/>
            </w:pPr>
            <w:r>
              <w:rPr>
                <w:rFonts w:ascii="方正黑体_GBK" w:hAnsi="方正黑体_GBK" w:eastAsia="方正黑体_GBK" w:cs="宋体"/>
                <w:b/>
                <w:sz w:val="18"/>
                <w:szCs w:val="18"/>
              </w:rPr>
              <w:t>A份额：固定管理费年化0.21%</w:t>
            </w:r>
          </w:p>
          <w:p>
            <w:pPr>
              <w:spacing w:line="200" w:lineRule="exact"/>
            </w:pPr>
            <w:r>
              <w:rPr>
                <w:rFonts w:ascii="方正黑体_GBK" w:hAnsi="方正黑体_GBK" w:eastAsia="方正黑体_GBK" w:cs="宋体"/>
                <w:b/>
                <w:sz w:val="18"/>
                <w:szCs w:val="18"/>
              </w:rPr>
              <w:t>B份额：固定管理费年化0.11%</w:t>
            </w:r>
          </w:p>
          <w:p>
            <w:pPr>
              <w:spacing w:line="200" w:lineRule="exact"/>
            </w:pPr>
            <w:r>
              <w:rPr>
                <w:rFonts w:ascii="方正黑体_GBK" w:hAnsi="方正黑体_GBK" w:eastAsia="方正黑体_GBK" w:cs="宋体"/>
                <w:b/>
                <w:sz w:val="18"/>
                <w:szCs w:val="18"/>
              </w:rPr>
              <w:t>C份额：固定管理费年化0.11%</w:t>
            </w:r>
          </w:p>
          <w:p>
            <w:pPr>
              <w:spacing w:line="200" w:lineRule="exact"/>
            </w:pPr>
            <w:r>
              <w:rPr>
                <w:rFonts w:ascii="方正黑体_GBK" w:hAnsi="方正黑体_GBK" w:eastAsia="方正黑体_GBK" w:cs="宋体"/>
                <w:b/>
                <w:sz w:val="18"/>
                <w:szCs w:val="18"/>
              </w:rPr>
              <w:t>D份额：固定管理费年化0.01%</w:t>
            </w:r>
          </w:p>
          <w:p>
            <w:pPr>
              <w:spacing w:line="200" w:lineRule="exact"/>
            </w:pPr>
            <w:r>
              <w:rPr>
                <w:rFonts w:ascii="方正黑体_GBK" w:hAnsi="方正黑体_GBK" w:eastAsia="方正黑体_GBK" w:cs="宋体"/>
                <w:b/>
                <w:sz w:val="18"/>
                <w:szCs w:val="18"/>
              </w:rPr>
              <w:t>E份额：固定管理费年化0.11%</w:t>
            </w:r>
          </w:p>
          <w:p>
            <w:pPr>
              <w:spacing w:line="200" w:lineRule="exact"/>
            </w:pPr>
            <w:r>
              <w:rPr>
                <w:rFonts w:ascii="方正黑体_GBK" w:hAnsi="方正黑体_GBK" w:eastAsia="方正黑体_GBK" w:cs="宋体"/>
                <w:b/>
                <w:sz w:val="18"/>
                <w:szCs w:val="18"/>
              </w:rPr>
              <w:t>F份额：固定管理费年化0.11%</w:t>
            </w:r>
          </w:p>
          <w:p>
            <w:pPr>
              <w:spacing w:line="200" w:lineRule="exact"/>
            </w:pPr>
            <w:r>
              <w:rPr>
                <w:rFonts w:ascii="方正黑体_GBK" w:hAnsi="方正黑体_GBK" w:eastAsia="方正黑体_GBK" w:cs="宋体"/>
                <w:b/>
                <w:sz w:val="18"/>
                <w:szCs w:val="18"/>
              </w:rPr>
              <w:t>G份额：固定管理费年化0.11%</w:t>
            </w:r>
          </w:p>
          <w:p>
            <w:pPr>
              <w:spacing w:line="200" w:lineRule="exact"/>
            </w:pPr>
            <w:r>
              <w:rPr>
                <w:rFonts w:ascii="方正黑体_GBK" w:hAnsi="方正黑体_GBK" w:eastAsia="方正黑体_GBK" w:cs="宋体"/>
                <w:b/>
                <w:sz w:val="18"/>
                <w:szCs w:val="18"/>
              </w:rPr>
              <w:t>H份额：固定管理费年化0.01%</w:t>
            </w:r>
          </w:p>
          <w:p>
            <w:pPr>
              <w:spacing w:line="200" w:lineRule="exact"/>
            </w:pPr>
            <w:r>
              <w:rPr>
                <w:rFonts w:ascii="方正黑体_GBK" w:hAnsi="方正黑体_GBK" w:eastAsia="方正黑体_GBK" w:cs="宋体"/>
                <w:b/>
                <w:sz w:val="18"/>
                <w:szCs w:val="18"/>
              </w:rPr>
              <w:t>I份额：固定管理费年化0.06%</w:t>
            </w:r>
          </w:p>
          <w:p>
            <w:pPr>
              <w:spacing w:line="200" w:lineRule="exact"/>
            </w:pPr>
            <w:r>
              <w:rPr>
                <w:rFonts w:ascii="方正黑体_GBK" w:hAnsi="方正黑体_GBK" w:eastAsia="方正黑体_GBK" w:cs="宋体"/>
                <w:b/>
                <w:sz w:val="18"/>
                <w:szCs w:val="18"/>
              </w:rPr>
              <w:t>每日计提的固定管理费=前一日理财产品资产净值×年化固定管理费率÷365</w:t>
            </w:r>
          </w:p>
          <w:p>
            <w:pPr>
              <w:spacing w:line="200" w:lineRule="exact"/>
            </w:pPr>
            <w:r>
              <w:rPr>
                <w:rFonts w:ascii="方正黑体_GBK" w:hAnsi="方正黑体_GBK" w:eastAsia="方正黑体_GBK" w:cs="宋体"/>
                <w:b/>
                <w:sz w:val="18"/>
                <w:szCs w:val="18"/>
              </w:rPr>
              <w:t>托管费：本理财产品按前一日理财产品资产净值收取年化0.02%的托管费，按日计提。</w:t>
            </w:r>
          </w:p>
          <w:p>
            <w:pPr>
              <w:spacing w:line="200" w:lineRule="exact"/>
            </w:pPr>
            <w:r>
              <w:rPr>
                <w:rFonts w:ascii="方正黑体_GBK" w:hAnsi="方正黑体_GBK" w:eastAsia="方正黑体_GBK" w:cs="宋体"/>
                <w:b/>
                <w:sz w:val="18"/>
                <w:szCs w:val="18"/>
              </w:rPr>
              <w:t>每日计提的托管费=前一日理财产品资产净值×年化托管费率÷365</w:t>
            </w:r>
          </w:p>
          <w:p>
            <w:pPr>
              <w:spacing w:line="200" w:lineRule="exact"/>
            </w:pPr>
            <w:r>
              <w:rPr>
                <w:rFonts w:ascii="方正黑体_GBK" w:hAnsi="方正黑体_GBK" w:eastAsia="方正黑体_GBK" w:cs="宋体"/>
                <w:b/>
                <w:sz w:val="18"/>
                <w:szCs w:val="18"/>
              </w:rPr>
              <w:t>业绩报酬：</w:t>
            </w:r>
          </w:p>
          <w:p>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A份额：到期兑付时，当期产品投资的实际资产组合收益（扣除销售费、固定管理费、托管费等相关费用）超过2.5%（年化，即产品该份额对应的业绩报酬计提基准）时，超过部分管理人将按60%收取业绩报酬。</w:t>
            </w:r>
          </w:p>
          <w:p>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B份额：到期兑付时，当期产品投资的实际资产组合收益（扣除销售费、固定管理费、托管费等相关费用）超过2.6%（年化，即产品该份额对应的业绩报酬计提基准）时，超过部分管理人将按60%收取业绩报酬。</w:t>
            </w:r>
          </w:p>
          <w:p>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C份额：到期兑付时，当期产品投资的实际资产组合收益（扣除销售费、固定管理费、托管费等相关费用）超过2.7%（年化，即产品该份额对应的业绩报酬计提基准）时，超过部分管理人将按60%收取业绩报酬。</w:t>
            </w:r>
          </w:p>
          <w:p>
            <w:pPr>
              <w:spacing w:line="200" w:lineRule="exact"/>
            </w:pPr>
            <w:r>
              <w:rPr>
                <w:rFonts w:ascii="方正黑体_GBK" w:hAnsi="方正黑体_GBK" w:eastAsia="方正黑体_GBK" w:cs="宋体"/>
                <w:b/>
                <w:sz w:val="18"/>
                <w:szCs w:val="18"/>
              </w:rPr>
              <w:t>D份额：到期兑付时，当期产品投资的实际资产组合收益（扣除销售费、固定管理费、托管费等相关费用）超过2.9%（年化，即产品该份额对应的业绩报酬计提基准）时，超过部分管理人将按60%收取业绩报酬。</w:t>
            </w:r>
          </w:p>
          <w:p>
            <w:pPr>
              <w:spacing w:line="200" w:lineRule="exact"/>
            </w:pPr>
            <w:r>
              <w:rPr>
                <w:rFonts w:ascii="方正黑体_GBK" w:hAnsi="方正黑体_GBK" w:eastAsia="方正黑体_GBK" w:cs="宋体"/>
                <w:b/>
                <w:sz w:val="18"/>
                <w:szCs w:val="18"/>
              </w:rPr>
              <w:t>E份额：到期兑付时，当期产品投资的实际资产组合收益（扣除销售费、固定管理费、托管费等相关费用）超过2.7%（年化，即产品该份额对应的业绩报酬计提基准）时，超过部分管理人将按60%收取业绩报酬。</w:t>
            </w:r>
          </w:p>
          <w:p>
            <w:pPr>
              <w:spacing w:line="200" w:lineRule="exact"/>
            </w:pPr>
            <w:r>
              <w:rPr>
                <w:rFonts w:ascii="方正黑体_GBK" w:hAnsi="方正黑体_GBK" w:eastAsia="方正黑体_GBK" w:cs="宋体"/>
                <w:b/>
                <w:sz w:val="18"/>
                <w:szCs w:val="18"/>
              </w:rPr>
              <w:t>F份额：到期兑付时，当期产品投资的实际资产组合收益（扣除销售费、固定管理费、托管费等相关费用）超过2.65%（年化，即产品该份额对应的业绩报酬计提基准）时，超过部分管理人将按60%收取业绩报酬。</w:t>
            </w:r>
          </w:p>
          <w:p>
            <w:pPr>
              <w:spacing w:line="200" w:lineRule="exact"/>
            </w:pPr>
            <w:r>
              <w:rPr>
                <w:rFonts w:ascii="方正黑体_GBK" w:hAnsi="方正黑体_GBK" w:eastAsia="方正黑体_GBK" w:cs="宋体"/>
                <w:b/>
                <w:sz w:val="18"/>
                <w:szCs w:val="18"/>
              </w:rPr>
              <w:t>G份额：到期兑付时，当期产品投资的实际资产组合收益（扣除销售费、固定管理费、托管费等相关费用）超过2.65%（年化，即产品该份额对应的业绩报酬计提基准）时，超过部分管理人将按60%收取业绩报酬。</w:t>
            </w:r>
          </w:p>
          <w:p>
            <w:pPr>
              <w:spacing w:line="200" w:lineRule="exact"/>
            </w:pPr>
            <w:r>
              <w:rPr>
                <w:rFonts w:ascii="方正黑体_GBK" w:hAnsi="方正黑体_GBK" w:eastAsia="方正黑体_GBK" w:cs="宋体"/>
                <w:b/>
                <w:sz w:val="18"/>
                <w:szCs w:val="18"/>
              </w:rPr>
              <w:t>H份额：到期兑付时，当期产品投资的实际资产组合收益（扣除销售费、固定管理费、托管费等相关费用）超过2.6%（年化，即产品该份额对应的业绩报酬计提基准）时，超过部分管理人将按60%收取业绩报酬。</w:t>
            </w:r>
          </w:p>
          <w:p>
            <w:pPr>
              <w:spacing w:line="200" w:lineRule="exact"/>
            </w:pPr>
            <w:r>
              <w:rPr>
                <w:rFonts w:ascii="方正黑体_GBK" w:hAnsi="方正黑体_GBK" w:eastAsia="方正黑体_GBK" w:cs="宋体"/>
                <w:b/>
                <w:sz w:val="18"/>
                <w:szCs w:val="18"/>
              </w:rPr>
              <w:t>I份额：到期兑付时，当期产品投资的实际资产组合收益（扣除销售费、固定管理费、托管费等相关费用）超过2.75%（年化，即产品该份额对应的业绩报酬计提基准）时，超过部分管理人将按60%收取业绩报酬。</w:t>
            </w:r>
          </w:p>
          <w:p>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spacing w:line="200" w:lineRule="exact"/>
            </w:pPr>
            <w:r>
              <w:rPr>
                <w:rFonts w:ascii="方正黑体_GBK" w:hAnsi="方正黑体_GBK" w:eastAsia="方正黑体_GBK" w:cs="宋体"/>
                <w:b/>
                <w:sz w:val="18"/>
                <w:szCs w:val="18"/>
              </w:rPr>
              <w:t>计算本区间业绩报酬的公式如下：</w:t>
            </w:r>
          </w:p>
          <w:p>
            <w:pPr>
              <w:spacing w:line="200" w:lineRule="exact"/>
            </w:pPr>
            <w:r>
              <w:rPr>
                <w:rFonts w:ascii="方正黑体_GBK" w:hAnsi="方正黑体_GBK" w:eastAsia="方正黑体_GBK" w:cs="宋体"/>
                <w:b/>
                <w:sz w:val="18"/>
                <w:szCs w:val="18"/>
              </w:rPr>
              <w:t>A={B-C*D*(1+E*F/365)}*G。</w:t>
            </w:r>
          </w:p>
          <w:p>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具体详见本理财产品风险揭示书。</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sz w:val="18"/>
                <w:szCs w:val="18"/>
              </w:rPr>
              <w:t>本理财产品销售机构为南京银行股份有限公司、兴业银行股份有限公司、江苏太仓农村商业银行股份有限公司、青岛银行股份有限公司、汉口银行股份有限公司、江苏常熟农村商业银行股份有限公司、江苏苏州农村商业银行股份有限公司、泰安银行股份有限公司、宁波东海银行股份有限公司、齐鲁银行股份有限公司、贵阳银行股份有限公司、云南红塔银行股份有限公司、中原银行股份有限公司、九江银行股份有限公司、天津农村商业银行股份有限公司、江苏紫金农村商业银行股份有限公司、温州银行股份有限公司、江苏金湖农村商业银行股份有限公司、苏州银行股份有限公司、蒙商银行股份有限公司、江苏江南农村商业银行股份有限公司、桂林银行股份有限公司、富邦华一银行有限公司、宁波通商银行股份有限公司、日照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河北银行股份有限公司、郑州银行股份有限公司、江苏姜堰农村商业银行股份有限公司、山西银行股份有限公司、江苏如东农村商业银行股份有限公司、北京银行股份有限公司、兰州银行股份有限公司、东营银行股份有限公司、江苏沛县农村商业银行股份有限公司、潍坊银行股份有限公司、交通银行股份有限公司、甘肃银行股份有限公司、台州银行股份有限公司。管理人有权调整本理财产品的销售机构并进行信息披露。</w:t>
            </w:r>
          </w:p>
          <w:p>
            <w:pPr>
              <w:spacing w:line="200" w:lineRule="exact"/>
              <w:jc w:val="left"/>
            </w:pPr>
            <w:r>
              <w:rPr>
                <w:rFonts w:ascii="方正黑体_GBK" w:hAnsi="方正黑体_GBK" w:eastAsia="方正黑体_GBK" w:cs="宋体"/>
                <w:sz w:val="18"/>
                <w:szCs w:val="18"/>
              </w:rPr>
              <w:t>销售机构主要职责如下：</w:t>
            </w:r>
          </w:p>
          <w:p>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pPr>
              <w:spacing w:line="200" w:lineRule="exact"/>
              <w:jc w:val="left"/>
            </w:pPr>
            <w:r>
              <w:rPr>
                <w:rFonts w:ascii="方正黑体_GBK" w:hAnsi="方正黑体_GBK" w:eastAsia="方正黑体_GBK" w:cs="宋体"/>
                <w:sz w:val="18"/>
                <w:szCs w:val="18"/>
              </w:rPr>
              <w:t>3.妥善保管投资者理财产品销售相关资料，保管年限不低于20年；</w:t>
            </w:r>
          </w:p>
          <w:p>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pPr>
              <w:spacing w:line="200" w:lineRule="exact"/>
              <w:jc w:val="left"/>
            </w:pPr>
            <w:r>
              <w:rPr>
                <w:rFonts w:ascii="方正黑体_GBK" w:hAnsi="方正黑体_GBK" w:eastAsia="方正黑体_GBK" w:cs="宋体"/>
                <w:sz w:val="18"/>
                <w:szCs w:val="18"/>
              </w:rPr>
              <w:t>5.建立健全投资者权益保护管理体系，加强投资者适当性管理；</w:t>
            </w:r>
          </w:p>
          <w:p>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本理财产品托管人为南京银行股份有限公司，主要职责如下：</w:t>
            </w:r>
          </w:p>
          <w:p>
            <w:pPr>
              <w:spacing w:line="200" w:lineRule="exact"/>
            </w:pPr>
            <w:r>
              <w:rPr>
                <w:rFonts w:ascii="方正黑体_GBK" w:hAnsi="方正黑体_GBK" w:eastAsia="方正黑体_GBK" w:cs="宋体"/>
                <w:sz w:val="18"/>
                <w:szCs w:val="18"/>
              </w:rPr>
              <w:t>1.安全保管理财产品财产；</w:t>
            </w:r>
          </w:p>
          <w:p>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pPr>
              <w:spacing w:line="200" w:lineRule="exact"/>
            </w:pPr>
            <w:r>
              <w:rPr>
                <w:rFonts w:ascii="方正黑体_GBK" w:hAnsi="方正黑体_GBK" w:eastAsia="方正黑体_GBK" w:cs="宋体"/>
                <w:sz w:val="18"/>
                <w:szCs w:val="18"/>
              </w:rPr>
              <w:t>3.按照托管协议约定和管理人的投资指令，及时办理清算、交割事宜；</w:t>
            </w:r>
          </w:p>
          <w:p>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spacing w:line="200" w:lineRule="exact"/>
            </w:pPr>
            <w:r>
              <w:rPr>
                <w:rFonts w:ascii="方正黑体_GBK" w:hAnsi="方正黑体_GBK" w:eastAsia="方正黑体_GBK" w:cs="宋体"/>
                <w:sz w:val="18"/>
                <w:szCs w:val="18"/>
              </w:rPr>
              <w:t>7.理财托管业务活动的记录、账册、报表和其他相关资料保存20年以上；</w:t>
            </w:r>
          </w:p>
          <w:p>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上述投资合作机构主要职责对应如下，具体职责以管理人与投资合作机构签署的合同为准。</w:t>
            </w:r>
          </w:p>
          <w:p>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百瑞信托有限责任公司、大家资产管理有限责任公司、光大永明资产管理股份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pPr>
              <w:spacing w:line="200" w:lineRule="exact"/>
            </w:pPr>
            <w:r>
              <w:rPr>
                <w:rFonts w:ascii="方正黑体_GBK" w:hAnsi="方正黑体_GBK" w:eastAsia="方正黑体_GBK" w:cs="宋体"/>
                <w:sz w:val="18"/>
                <w:szCs w:val="18"/>
              </w:rPr>
              <w:t>上述投资合作机构简介：</w:t>
            </w:r>
          </w:p>
          <w:p>
            <w:pPr>
              <w:spacing w:line="200" w:lineRule="exact"/>
            </w:pPr>
            <w:r>
              <w:rPr>
                <w:rFonts w:ascii="方正黑体_GBK" w:hAnsi="方正黑体_GBK" w:eastAsia="方正黑体_GBK" w:cs="宋体"/>
                <w:sz w:val="18"/>
                <w:szCs w:val="18"/>
              </w:rPr>
              <w:t>百瑞信托有限责任公司成立于2002年10月16日，注册资本金400000万元人民币。</w:t>
            </w:r>
          </w:p>
          <w:p>
            <w:pPr>
              <w:spacing w:line="200" w:lineRule="exact"/>
            </w:pPr>
            <w:r>
              <w:rPr>
                <w:rFonts w:ascii="方正黑体_GBK" w:hAnsi="方正黑体_GBK" w:eastAsia="方正黑体_GBK" w:cs="宋体"/>
                <w:sz w:val="18"/>
                <w:szCs w:val="18"/>
              </w:rPr>
              <w:t>大家资产管理有限责任公司成立于2011年05月20日，注册资本金6亿元人民币。</w:t>
            </w:r>
          </w:p>
          <w:p>
            <w:pPr>
              <w:spacing w:line="200" w:lineRule="exact"/>
            </w:pPr>
            <w:r>
              <w:rPr>
                <w:rFonts w:ascii="方正黑体_GBK" w:hAnsi="方正黑体_GBK" w:eastAsia="方正黑体_GBK" w:cs="宋体"/>
                <w:sz w:val="18"/>
                <w:szCs w:val="18"/>
              </w:rPr>
              <w:t>光大永明资产管理股份有限公司成立于2012年03月02日，注册资本金5亿元。</w:t>
            </w:r>
          </w:p>
          <w:p>
            <w:pPr>
              <w:spacing w:line="200" w:lineRule="exact"/>
            </w:pPr>
            <w:r>
              <w:rPr>
                <w:rFonts w:ascii="方正黑体_GBK" w:hAnsi="方正黑体_GBK" w:eastAsia="方正黑体_GBK" w:cs="宋体"/>
                <w:sz w:val="18"/>
                <w:szCs w:val="18"/>
              </w:rPr>
              <w:t>国投泰康信托有限公司成立于1986年06月26日，注册资本金267,054.5454万人民币。</w:t>
            </w:r>
          </w:p>
          <w:p>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pPr>
              <w:spacing w:line="200" w:lineRule="exact"/>
            </w:pPr>
            <w:r>
              <w:rPr>
                <w:rFonts w:ascii="方正黑体_GBK" w:hAnsi="方正黑体_GBK" w:eastAsia="方正黑体_GBK" w:cs="宋体"/>
                <w:sz w:val="18"/>
                <w:szCs w:val="18"/>
              </w:rPr>
              <w:t>华鑫国际信托有限公司成立于1984年06月01日，注册资本金73.95亿元。</w:t>
            </w:r>
          </w:p>
          <w:p>
            <w:pPr>
              <w:spacing w:line="200" w:lineRule="exact"/>
            </w:pPr>
            <w:r>
              <w:rPr>
                <w:rFonts w:ascii="方正黑体_GBK" w:hAnsi="方正黑体_GBK" w:eastAsia="方正黑体_GBK" w:cs="宋体"/>
                <w:sz w:val="18"/>
                <w:szCs w:val="18"/>
              </w:rPr>
              <w:t>建信保险资产管理有限公司成立于2016年04月27日，注册资本金3亿元。</w:t>
            </w:r>
          </w:p>
          <w:p>
            <w:pPr>
              <w:spacing w:line="200" w:lineRule="exact"/>
            </w:pPr>
            <w:r>
              <w:rPr>
                <w:rFonts w:ascii="方正黑体_GBK" w:hAnsi="方正黑体_GBK" w:eastAsia="方正黑体_GBK" w:cs="宋体"/>
                <w:sz w:val="18"/>
                <w:szCs w:val="18"/>
              </w:rPr>
              <w:t>江苏省国际信托有限责任公司成立于1992年06月01日，注册资本金87.60亿元。</w:t>
            </w:r>
          </w:p>
          <w:p>
            <w:pPr>
              <w:spacing w:line="200" w:lineRule="exact"/>
            </w:pPr>
            <w:r>
              <w:rPr>
                <w:rFonts w:ascii="方正黑体_GBK" w:hAnsi="方正黑体_GBK" w:eastAsia="方正黑体_GBK" w:cs="宋体"/>
                <w:sz w:val="18"/>
                <w:szCs w:val="18"/>
              </w:rPr>
              <w:t>交银国际信托有限公司成立于1983年11月23日，注册资本金57.65亿元。</w:t>
            </w:r>
          </w:p>
          <w:p>
            <w:pPr>
              <w:spacing w:line="200" w:lineRule="exact"/>
            </w:pPr>
            <w:r>
              <w:rPr>
                <w:rFonts w:ascii="方正黑体_GBK" w:hAnsi="方正黑体_GBK" w:eastAsia="方正黑体_GBK" w:cs="宋体"/>
                <w:sz w:val="18"/>
                <w:szCs w:val="18"/>
              </w:rPr>
              <w:t>中粮信托有限责任公司成立于2009年07月27日，注册资本金28.3亿元。</w:t>
            </w:r>
          </w:p>
          <w:p>
            <w:pPr>
              <w:spacing w:line="200" w:lineRule="exact"/>
            </w:pPr>
            <w:r>
              <w:rPr>
                <w:rFonts w:ascii="方正黑体_GBK" w:hAnsi="方正黑体_GBK" w:eastAsia="方正黑体_GBK" w:cs="宋体"/>
                <w:sz w:val="18"/>
                <w:szCs w:val="18"/>
              </w:rPr>
              <w:t>鑫元基金管理有限公司成立于2013年08月29日，注册资本金17亿元。</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南银理财珠联璧合鑫逸稳三个月59期封闭式公募人民币理财产品</w:t>
      </w:r>
      <w:r>
        <w:rPr>
          <w:rFonts w:hint="eastAsia" w:ascii="方正黑体_GBK" w:hAnsi="方正黑体_GBK" w:eastAsia="方正黑体_GBK"/>
          <w:vanish w:val="0"/>
          <w:color w:val="3D3D3D"/>
          <w:kern w:val="0"/>
          <w:sz w:val="15"/>
          <w:szCs w:val="15"/>
        </w:rPr>
        <w:t>。</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pPr>
        <w:spacing w:line="200" w:lineRule="exact"/>
        <w:ind w:firstLine="300"/>
        <w:jc w:val="both"/>
      </w:pPr>
      <w:r>
        <w:rPr>
          <w:rFonts w:ascii="方正黑体_GBK" w:hAnsi="方正黑体_GBK" w:eastAsia="方正黑体_GBK" w:cs="宋体"/>
          <w:sz w:val="15"/>
          <w:szCs w:val="20"/>
        </w:rPr>
        <w:t>（一）估值日</w:t>
      </w:r>
    </w:p>
    <w:p>
      <w:pPr>
        <w:spacing w:line="200" w:lineRule="exact"/>
        <w:ind w:firstLine="300"/>
        <w:jc w:val="both"/>
      </w:pPr>
      <w:r>
        <w:rPr>
          <w:rFonts w:ascii="方正黑体_GBK" w:hAnsi="方正黑体_GBK" w:eastAsia="方正黑体_GBK" w:cs="宋体"/>
          <w:sz w:val="15"/>
          <w:szCs w:val="20"/>
        </w:rPr>
        <w:t>本理财产品每个工作日进行估值。</w:t>
      </w:r>
    </w:p>
    <w:p>
      <w:pPr>
        <w:spacing w:line="200" w:lineRule="exact"/>
        <w:ind w:firstLine="300"/>
        <w:jc w:val="both"/>
      </w:pPr>
      <w:r>
        <w:rPr>
          <w:rFonts w:ascii="方正黑体_GBK" w:hAnsi="方正黑体_GBK" w:eastAsia="方正黑体_GBK" w:cs="宋体"/>
          <w:sz w:val="15"/>
          <w:szCs w:val="20"/>
        </w:rPr>
        <w:t>（二）估值对象</w:t>
      </w:r>
    </w:p>
    <w:p>
      <w:pPr>
        <w:spacing w:line="200" w:lineRule="exact"/>
        <w:ind w:firstLine="300"/>
        <w:jc w:val="both"/>
      </w:pPr>
      <w:r>
        <w:rPr>
          <w:rFonts w:ascii="方正黑体_GBK" w:hAnsi="方正黑体_GBK" w:eastAsia="方正黑体_GBK" w:cs="宋体"/>
          <w:sz w:val="15"/>
          <w:szCs w:val="20"/>
        </w:rPr>
        <w:t>本理财产品所拥有的所有资产及负债。</w:t>
      </w:r>
    </w:p>
    <w:p>
      <w:pPr>
        <w:spacing w:line="200" w:lineRule="exact"/>
        <w:ind w:firstLine="300"/>
        <w:jc w:val="both"/>
      </w:pPr>
      <w:r>
        <w:rPr>
          <w:rFonts w:ascii="方正黑体_GBK" w:hAnsi="方正黑体_GBK" w:eastAsia="方正黑体_GBK" w:cs="宋体"/>
          <w:sz w:val="15"/>
          <w:szCs w:val="20"/>
        </w:rPr>
        <w:t>（三）估值目的</w:t>
      </w:r>
    </w:p>
    <w:p>
      <w:pPr>
        <w:spacing w:line="200" w:lineRule="exact"/>
        <w:ind w:firstLine="300"/>
        <w:jc w:val="both"/>
      </w:pPr>
      <w:r>
        <w:rPr>
          <w:rFonts w:ascii="方正黑体_GBK" w:hAnsi="方正黑体_GBK" w:eastAsia="方正黑体_GBK" w:cs="宋体"/>
          <w:sz w:val="15"/>
          <w:szCs w:val="20"/>
        </w:rPr>
        <w:t>客观、准确反映理财产品的价值。</w:t>
      </w:r>
    </w:p>
    <w:p>
      <w:pPr>
        <w:spacing w:line="200" w:lineRule="exact"/>
        <w:ind w:firstLine="300"/>
        <w:jc w:val="both"/>
      </w:pPr>
      <w:r>
        <w:rPr>
          <w:rFonts w:ascii="方正黑体_GBK" w:hAnsi="方正黑体_GBK" w:eastAsia="方正黑体_GBK" w:cs="宋体"/>
          <w:sz w:val="15"/>
          <w:szCs w:val="20"/>
        </w:rPr>
        <w:t>（四）估值原则</w:t>
      </w:r>
    </w:p>
    <w:p>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pPr>
        <w:spacing w:line="200" w:lineRule="exact"/>
        <w:ind w:firstLine="300"/>
        <w:jc w:val="both"/>
      </w:pPr>
      <w:r>
        <w:rPr>
          <w:rFonts w:ascii="方正黑体_GBK" w:hAnsi="方正黑体_GBK" w:eastAsia="方正黑体_GBK" w:cs="宋体"/>
          <w:sz w:val="15"/>
          <w:szCs w:val="20"/>
        </w:rPr>
        <w:t>（五）估值方法</w:t>
      </w:r>
    </w:p>
    <w:p>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pPr>
        <w:spacing w:line="200" w:lineRule="exact"/>
        <w:ind w:firstLine="300"/>
      </w:pPr>
      <w:r>
        <w:rPr>
          <w:rFonts w:ascii="方正黑体_GBK" w:hAnsi="方正黑体_GBK" w:eastAsia="方正黑体_GBK" w:cs="宋体"/>
          <w:color w:val="000000"/>
          <w:sz w:val="15"/>
          <w:szCs w:val="20"/>
        </w:rPr>
        <w:t>1.银行存款、回购等货币市场工具</w:t>
      </w:r>
    </w:p>
    <w:p>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pPr>
        <w:spacing w:line="200" w:lineRule="exact"/>
        <w:ind w:firstLine="300"/>
      </w:pPr>
      <w:r>
        <w:rPr>
          <w:rFonts w:ascii="方正黑体_GBK" w:hAnsi="方正黑体_GBK" w:eastAsia="方正黑体_GBK" w:cs="宋体"/>
          <w:color w:val="000000"/>
          <w:sz w:val="15"/>
          <w:szCs w:val="20"/>
        </w:rPr>
        <w:t>2.债券类资产</w:t>
      </w:r>
    </w:p>
    <w:p>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spacing w:line="200" w:lineRule="exact"/>
        <w:ind w:firstLine="300"/>
      </w:pPr>
      <w:r>
        <w:rPr>
          <w:rFonts w:ascii="方正黑体_GBK" w:hAnsi="方正黑体_GBK" w:eastAsia="方正黑体_GBK" w:cs="宋体"/>
          <w:color w:val="000000"/>
          <w:sz w:val="15"/>
          <w:szCs w:val="20"/>
        </w:rPr>
        <w:t>3.非标准化债权类资产</w:t>
      </w:r>
    </w:p>
    <w:p>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spacing w:line="200" w:lineRule="exact"/>
        <w:ind w:firstLine="300"/>
      </w:pPr>
      <w:r>
        <w:rPr>
          <w:rFonts w:ascii="方正黑体_GBK" w:hAnsi="方正黑体_GBK" w:eastAsia="方正黑体_GBK" w:cs="宋体"/>
          <w:color w:val="000000"/>
          <w:sz w:val="15"/>
          <w:szCs w:val="20"/>
        </w:rPr>
        <w:t>4.证券投资基金</w:t>
      </w:r>
    </w:p>
    <w:p>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spacing w:line="200" w:lineRule="exact"/>
        <w:ind w:firstLine="300"/>
      </w:pPr>
      <w:r>
        <w:rPr>
          <w:rFonts w:ascii="方正黑体_GBK" w:hAnsi="方正黑体_GBK" w:eastAsia="方正黑体_GBK" w:cs="宋体"/>
          <w:color w:val="000000"/>
          <w:sz w:val="15"/>
          <w:szCs w:val="20"/>
        </w:rPr>
        <w:t>5.股权类资产</w:t>
      </w:r>
    </w:p>
    <w:p>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6.资管计划、信托计划等资产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pPr>
        <w:spacing w:line="200" w:lineRule="exact"/>
        <w:ind w:firstLine="300"/>
      </w:pPr>
      <w:r>
        <w:rPr>
          <w:rFonts w:ascii="方正黑体_GBK" w:hAnsi="方正黑体_GBK" w:eastAsia="方正黑体_GBK" w:cs="宋体"/>
          <w:color w:val="000000"/>
          <w:sz w:val="15"/>
          <w:szCs w:val="20"/>
        </w:rPr>
        <w:t>7.其他资产</w:t>
      </w:r>
    </w:p>
    <w:p>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pPr>
        <w:spacing w:line="200" w:lineRule="exact"/>
        <w:ind w:firstLine="300"/>
        <w:jc w:val="both"/>
      </w:pPr>
      <w:r>
        <w:rPr>
          <w:rFonts w:ascii="方正黑体_GBK" w:hAnsi="方正黑体_GBK" w:eastAsia="方正黑体_GBK" w:cs="宋体"/>
          <w:sz w:val="15"/>
          <w:szCs w:val="20"/>
        </w:rPr>
        <w:t>（六）估值错误及暂停估值</w:t>
      </w:r>
    </w:p>
    <w:p>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1E9A32DA"/>
    <w:rsid w:val="51E825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uiPriority w:val="0"/>
    <w:pPr>
      <w:ind w:left="1680"/>
    </w:pPr>
  </w:style>
  <w:style w:type="paragraph" w:styleId="6">
    <w:name w:val="toc 3"/>
    <w:basedOn w:val="1"/>
    <w:next w:val="1"/>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uiPriority w:val="0"/>
  </w:style>
  <w:style w:type="paragraph" w:styleId="10">
    <w:name w:val="toc 4"/>
    <w:basedOn w:val="1"/>
    <w:next w:val="1"/>
    <w:qFormat/>
    <w:uiPriority w:val="0"/>
    <w:pPr>
      <w:ind w:left="1260"/>
    </w:pPr>
  </w:style>
  <w:style w:type="paragraph" w:styleId="11">
    <w:name w:val="toc 2"/>
    <w:basedOn w:val="1"/>
    <w:next w:val="1"/>
    <w:uiPriority w:val="0"/>
    <w:pPr>
      <w:ind w:left="420"/>
    </w:pPr>
  </w:style>
  <w:style w:type="character" w:styleId="14">
    <w:name w:val="Strong"/>
    <w:uiPriority w:val="0"/>
    <w:rPr>
      <w:b/>
    </w:rPr>
  </w:style>
  <w:style w:type="paragraph" w:customStyle="1" w:styleId="15">
    <w:name w:val="Normalafc60e9d"/>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451433d1"/>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d6f24c10"/>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edd7829a"/>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32d92147"/>
    <w:uiPriority w:val="0"/>
  </w:style>
  <w:style w:type="paragraph" w:customStyle="1" w:styleId="20">
    <w:name w:val="toc 1ad38cf9c"/>
    <w:basedOn w:val="15"/>
    <w:next w:val="1"/>
    <w:uiPriority w:val="0"/>
  </w:style>
  <w:style w:type="paragraph" w:customStyle="1" w:styleId="21">
    <w:name w:val="toc 29430b177"/>
    <w:basedOn w:val="15"/>
    <w:next w:val="1"/>
    <w:qFormat/>
    <w:uiPriority w:val="0"/>
    <w:pPr>
      <w:ind w:left="420"/>
    </w:pPr>
  </w:style>
  <w:style w:type="paragraph" w:customStyle="1" w:styleId="22">
    <w:name w:val="toc 3113e6740"/>
    <w:basedOn w:val="15"/>
    <w:next w:val="1"/>
    <w:uiPriority w:val="0"/>
    <w:pPr>
      <w:ind w:left="840"/>
    </w:pPr>
  </w:style>
  <w:style w:type="paragraph" w:customStyle="1" w:styleId="23">
    <w:name w:val="toc 47fdef309"/>
    <w:basedOn w:val="15"/>
    <w:next w:val="1"/>
    <w:uiPriority w:val="0"/>
    <w:pPr>
      <w:ind w:left="1260"/>
    </w:pPr>
  </w:style>
  <w:style w:type="paragraph" w:customStyle="1" w:styleId="24">
    <w:name w:val="toc 58a0b4957"/>
    <w:basedOn w:val="15"/>
    <w:next w:val="1"/>
    <w:uiPriority w:val="0"/>
    <w:pPr>
      <w:ind w:left="1680"/>
    </w:pPr>
  </w:style>
  <w:style w:type="paragraph" w:customStyle="1" w:styleId="25">
    <w:name w:val="header23cfcc7c"/>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c02068f4"/>
    <w:basedOn w:val="15"/>
    <w:qFormat/>
    <w:uiPriority w:val="0"/>
    <w:pPr>
      <w:tabs>
        <w:tab w:val="center" w:pos="4153"/>
        <w:tab w:val="right" w:pos="8307"/>
      </w:tabs>
      <w:adjustRightInd/>
      <w:snapToGrid w:val="0"/>
      <w:contextualSpacing w:val="0"/>
      <w:jc w:val="left"/>
    </w:pPr>
    <w:rPr>
      <w:sz w:val="18"/>
    </w:rPr>
  </w:style>
  <w:style w:type="character" w:customStyle="1" w:styleId="27">
    <w:name w:val="Strong99522f0f"/>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82ec83d6"/>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9814d429"/>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b209a60f"/>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3906ba4c"/>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4554fb68"/>
    <w:uiPriority w:val="0"/>
  </w:style>
  <w:style w:type="paragraph" w:customStyle="1" w:styleId="34">
    <w:name w:val="Normal Indent3984f8d0"/>
    <w:basedOn w:val="29"/>
    <w:uiPriority w:val="0"/>
    <w:pPr>
      <w:ind w:firstLine="200" w:firstLineChars="200"/>
    </w:pPr>
  </w:style>
  <w:style w:type="paragraph" w:customStyle="1" w:styleId="35">
    <w:name w:val="toc 5070685cc"/>
    <w:basedOn w:val="29"/>
    <w:next w:val="1"/>
    <w:uiPriority w:val="0"/>
    <w:pPr>
      <w:ind w:left="1680"/>
    </w:pPr>
  </w:style>
  <w:style w:type="paragraph" w:customStyle="1" w:styleId="36">
    <w:name w:val="toc 374c98c19"/>
    <w:basedOn w:val="29"/>
    <w:next w:val="1"/>
    <w:uiPriority w:val="0"/>
    <w:pPr>
      <w:ind w:left="840"/>
    </w:pPr>
  </w:style>
  <w:style w:type="paragraph" w:customStyle="1" w:styleId="37">
    <w:name w:val="footerc729ddfd"/>
    <w:basedOn w:val="29"/>
    <w:qFormat/>
    <w:uiPriority w:val="0"/>
    <w:pPr>
      <w:tabs>
        <w:tab w:val="center" w:pos="4153"/>
        <w:tab w:val="right" w:pos="8307"/>
      </w:tabs>
      <w:adjustRightInd/>
      <w:snapToGrid w:val="0"/>
      <w:contextualSpacing w:val="0"/>
      <w:jc w:val="left"/>
    </w:pPr>
    <w:rPr>
      <w:sz w:val="18"/>
    </w:rPr>
  </w:style>
  <w:style w:type="paragraph" w:customStyle="1" w:styleId="38">
    <w:name w:val="header5f717f27"/>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c405fece"/>
    <w:basedOn w:val="29"/>
    <w:next w:val="1"/>
    <w:uiPriority w:val="0"/>
  </w:style>
  <w:style w:type="paragraph" w:customStyle="1" w:styleId="40">
    <w:name w:val="toc 4a4c938ff"/>
    <w:basedOn w:val="29"/>
    <w:next w:val="1"/>
    <w:uiPriority w:val="0"/>
    <w:pPr>
      <w:ind w:left="1260"/>
    </w:pPr>
  </w:style>
  <w:style w:type="paragraph" w:customStyle="1" w:styleId="41">
    <w:name w:val="toc 2e0a6776d"/>
    <w:basedOn w:val="29"/>
    <w:next w:val="1"/>
    <w:qFormat/>
    <w:uiPriority w:val="0"/>
    <w:pPr>
      <w:ind w:left="420"/>
    </w:pPr>
  </w:style>
  <w:style w:type="paragraph" w:customStyle="1" w:styleId="42">
    <w:name w:val="Normal (Web)85057c23"/>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ba24e9f0ba24e9f0"/>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0930dfbf0930dfbf"/>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d437d0b9d437d0b9"/>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2576ef382576ef38"/>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b28d4187b28d4187"/>
    <w:uiPriority w:val="0"/>
  </w:style>
  <w:style w:type="paragraph" w:customStyle="1" w:styleId="49">
    <w:name w:val="引文目录1f7a3bc8cf7a3bc8c"/>
    <w:basedOn w:val="44"/>
    <w:next w:val="1"/>
    <w:uiPriority w:val="0"/>
    <w:pPr>
      <w:ind w:left="200" w:leftChars="200"/>
    </w:pPr>
  </w:style>
  <w:style w:type="paragraph" w:customStyle="1" w:styleId="50">
    <w:name w:val="toc 5f9210939f9210939"/>
    <w:basedOn w:val="44"/>
    <w:next w:val="1"/>
    <w:uiPriority w:val="0"/>
    <w:pPr>
      <w:ind w:left="1680"/>
    </w:pPr>
  </w:style>
  <w:style w:type="paragraph" w:customStyle="1" w:styleId="51">
    <w:name w:val="toc 355a4408655a44086"/>
    <w:basedOn w:val="44"/>
    <w:next w:val="1"/>
    <w:uiPriority w:val="0"/>
    <w:pPr>
      <w:ind w:left="840"/>
    </w:pPr>
  </w:style>
  <w:style w:type="paragraph" w:customStyle="1" w:styleId="52">
    <w:name w:val="footerb9f8f429b9f8f429"/>
    <w:basedOn w:val="44"/>
    <w:uiPriority w:val="0"/>
    <w:pPr>
      <w:tabs>
        <w:tab w:val="center" w:pos="4153"/>
        <w:tab w:val="right" w:pos="8307"/>
      </w:tabs>
      <w:adjustRightInd/>
      <w:snapToGrid w:val="0"/>
      <w:contextualSpacing w:val="0"/>
      <w:jc w:val="left"/>
    </w:pPr>
    <w:rPr>
      <w:sz w:val="18"/>
    </w:rPr>
  </w:style>
  <w:style w:type="paragraph" w:customStyle="1" w:styleId="53">
    <w:name w:val="header04875c3904875c39"/>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b564c554b564c554"/>
    <w:basedOn w:val="44"/>
    <w:next w:val="1"/>
    <w:uiPriority w:val="0"/>
  </w:style>
  <w:style w:type="paragraph" w:customStyle="1" w:styleId="55">
    <w:name w:val="toc 450578bf950578bf9"/>
    <w:basedOn w:val="44"/>
    <w:next w:val="1"/>
    <w:uiPriority w:val="0"/>
    <w:pPr>
      <w:ind w:left="1260"/>
    </w:pPr>
  </w:style>
  <w:style w:type="paragraph" w:customStyle="1" w:styleId="56">
    <w:name w:val="toc 28b149b368b149b36"/>
    <w:basedOn w:val="44"/>
    <w:next w:val="1"/>
    <w:uiPriority w:val="0"/>
    <w:pPr>
      <w:ind w:left="420"/>
    </w:pPr>
  </w:style>
  <w:style w:type="paragraph" w:customStyle="1" w:styleId="57">
    <w:name w:val="列出段落1a28897fea28897fe"/>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10</Pages>
  <Words>24375</Words>
  <Characters>25043</Characters>
  <Lines>77</Lines>
  <Paragraphs>27</Paragraphs>
  <TotalTime>9</TotalTime>
  <ScaleCrop>false</ScaleCrop>
  <LinksUpToDate>false</LinksUpToDate>
  <CharactersWithSpaces>25208</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2024-11-19T02:12:13Z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C9EE9089219A4AAD92628944C13D3AB3_13</vt:lpwstr>
  </property>
</Properties>
</file>