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南银理财珠联璧合鑫逸稳两年98期封闭式公募人民币理财产品</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2024年11月20日起代销</w:t>
      </w:r>
      <w:r>
        <w:rPr>
          <w:rFonts w:hint="eastAsia" w:ascii="仿宋_GB2312" w:hAnsi="仿宋_GB2312" w:eastAsia="仿宋_GB2312" w:cs="仿宋_GB2312"/>
          <w:color w:val="FF0000"/>
          <w:sz w:val="32"/>
          <w:szCs w:val="32"/>
          <w:lang w:eastAsia="zh-CN"/>
        </w:rPr>
        <w:t>南银理财有限责任公司</w:t>
      </w:r>
      <w:r>
        <w:rPr>
          <w:rFonts w:hint="eastAsia" w:ascii="仿宋_GB2312" w:hAnsi="微软雅黑" w:eastAsia="仿宋_GB2312" w:cs="宋体"/>
          <w:sz w:val="32"/>
          <w:szCs w:val="32"/>
          <w:lang w:eastAsia="zh-CN"/>
        </w:rPr>
        <w:t>发行的珠联璧合鑫逸稳两年98期封闭式公募人民币理财产品</w:t>
      </w:r>
      <w:r>
        <w:rPr>
          <w:rFonts w:hint="eastAsia" w:ascii="仿宋_GB2312" w:hAnsi="微软雅黑" w:eastAsia="仿宋_GB2312" w:cs="宋体"/>
          <w:sz w:val="32"/>
          <w:szCs w:val="32"/>
        </w:rPr>
        <w:t>，</w:t>
      </w:r>
      <w:r>
        <w:rPr>
          <w:rFonts w:hint="eastAsia" w:ascii="仿宋_GB2312" w:hAnsi="微软雅黑" w:eastAsia="仿宋_GB2312" w:cs="宋体"/>
          <w:color w:val="000000"/>
          <w:sz w:val="32"/>
          <w:szCs w:val="32"/>
        </w:rPr>
        <w:t>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0.3%</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7"/>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南银理财珠联璧合鑫逸稳两年98期封闭式公募人民币理财产品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ZZ700322400507</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Z7003224000229(投资者可依据该编码在中国理财网www.chinawealth.com.cn查询理财产品相关信息）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A份额：Y60098</w:t>
            </w:r>
          </w:p>
          <w:p>
            <w:pPr>
              <w:spacing w:line="200" w:lineRule="exact"/>
              <w:rPr>
                <w:rFonts w:hint="eastAsia" w:ascii="宋体" w:hAnsi="宋体" w:eastAsia="宋体" w:cs="宋体"/>
                <w:sz w:val="18"/>
              </w:rPr>
            </w:pPr>
            <w:r>
              <w:rPr>
                <w:rFonts w:hint="eastAsia" w:ascii="宋体" w:hAnsi="宋体" w:eastAsia="宋体" w:cs="宋体"/>
                <w:sz w:val="18"/>
                <w:szCs w:val="18"/>
              </w:rPr>
              <w:t>B份额：Y61098</w:t>
            </w:r>
          </w:p>
          <w:p>
            <w:pPr>
              <w:spacing w:line="200" w:lineRule="exact"/>
              <w:rPr>
                <w:rFonts w:hint="eastAsia" w:ascii="宋体" w:hAnsi="宋体" w:eastAsia="宋体" w:cs="宋体"/>
                <w:sz w:val="18"/>
              </w:rPr>
            </w:pPr>
            <w:r>
              <w:rPr>
                <w:rFonts w:hint="eastAsia" w:ascii="宋体" w:hAnsi="宋体" w:eastAsia="宋体" w:cs="宋体"/>
                <w:sz w:val="18"/>
                <w:szCs w:val="18"/>
              </w:rPr>
              <w:t>C份额：Y62098</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lang w:eastAsia="zh-CN"/>
              </w:rPr>
            </w:pPr>
            <w:r>
              <w:rPr>
                <w:rFonts w:hint="eastAsia" w:ascii="宋体" w:hAnsi="宋体" w:eastAsia="宋体" w:cs="宋体"/>
                <w:caps w:val="0"/>
                <w:smallCaps w:val="0"/>
                <w:snapToGrid/>
                <w:vanish w:val="0"/>
                <w:color w:val="auto"/>
                <w:kern w:val="0"/>
                <w:sz w:val="18"/>
                <w:szCs w:val="18"/>
                <w:vertAlign w:val="baseline"/>
                <w:lang w:eastAsia="zh-CN"/>
              </w:rPr>
              <w:t>A份额：业绩比较基准为年化2.5%-3.3% 。</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lang w:eastAsia="zh-CN"/>
              </w:rPr>
            </w:pPr>
            <w:r>
              <w:rPr>
                <w:rFonts w:hint="eastAsia" w:ascii="宋体" w:hAnsi="宋体" w:eastAsia="宋体" w:cs="宋体"/>
                <w:caps w:val="0"/>
                <w:smallCaps w:val="0"/>
                <w:snapToGrid/>
                <w:vanish w:val="0"/>
                <w:color w:val="auto"/>
                <w:kern w:val="0"/>
                <w:sz w:val="18"/>
                <w:szCs w:val="18"/>
                <w:vertAlign w:val="baseline"/>
                <w:lang w:eastAsia="zh-CN"/>
              </w:rPr>
              <w:t>A份额：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lang w:eastAsia="zh-CN"/>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szCs w:val="18"/>
                <w:lang w:eastAsia="zh-CN"/>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lang w:eastAsia="zh-CN"/>
              </w:rPr>
            </w:pPr>
            <w:r>
              <w:rPr>
                <w:rFonts w:hint="eastAsia" w:ascii="宋体" w:hAnsi="宋体" w:eastAsia="宋体" w:cs="宋体"/>
                <w:sz w:val="18"/>
                <w:lang w:eastAsia="zh-CN"/>
              </w:rPr>
              <w:t>A份额：Y60098</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360" w:lineRule="auto"/>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b/>
                <w:caps w:val="0"/>
                <w:smallCaps w:val="0"/>
                <w:snapToGrid/>
                <w:vanish w:val="0"/>
                <w:color w:val="auto"/>
                <w:kern w:val="0"/>
                <w:sz w:val="18"/>
                <w:szCs w:val="18"/>
                <w:vertAlign w:val="baseline"/>
              </w:rPr>
            </w:pPr>
            <w:r>
              <w:rPr>
                <w:rFonts w:hint="eastAsia" w:ascii="宋体" w:hAnsi="宋体" w:eastAsia="宋体" w:cs="宋体"/>
                <w:b/>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b/>
                <w:sz w:val="18"/>
              </w:rPr>
            </w:pPr>
            <w:r>
              <w:rPr>
                <w:rFonts w:hint="eastAsia" w:ascii="宋体" w:hAnsi="宋体" w:eastAsia="宋体" w:cs="宋体"/>
                <w:b/>
                <w:kern w:val="0"/>
                <w:sz w:val="18"/>
                <w:szCs w:val="18"/>
              </w:rPr>
              <w:t>2024年11月27日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b/>
                <w:caps w:val="0"/>
                <w:smallCaps w:val="0"/>
                <w:snapToGrid/>
                <w:vanish w:val="0"/>
                <w:color w:val="auto"/>
                <w:kern w:val="0"/>
                <w:sz w:val="18"/>
                <w:szCs w:val="18"/>
                <w:vertAlign w:val="baseline"/>
              </w:rPr>
            </w:pPr>
            <w:r>
              <w:rPr>
                <w:rFonts w:hint="eastAsia" w:ascii="宋体" w:hAnsi="宋体" w:eastAsia="宋体" w:cs="宋体"/>
                <w:b/>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b/>
                <w:sz w:val="18"/>
              </w:rPr>
            </w:pPr>
            <w:r>
              <w:rPr>
                <w:rFonts w:hint="eastAsia" w:ascii="宋体" w:hAnsi="宋体" w:eastAsia="宋体" w:cs="宋体"/>
                <w:b/>
                <w:sz w:val="18"/>
                <w:szCs w:val="18"/>
              </w:rPr>
              <w:t>2024年11月27日—实际到期日（如名义到期日遇国家法定节假日，管理人可结合国家法定节假日安排进行调整。若未出现以上情形，则实际到期日即为名义到期日，存续期限749天；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2026年12月16日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b w:val="0"/>
                <w:caps w:val="0"/>
                <w:smallCaps w:val="0"/>
                <w:snapToGrid/>
                <w:vanish w:val="0"/>
                <w:color w:val="auto"/>
                <w:kern w:val="0"/>
                <w:sz w:val="18"/>
                <w:szCs w:val="18"/>
                <w:vertAlign w:val="baseline"/>
              </w:rPr>
            </w:pPr>
            <w:r>
              <w:rPr>
                <w:rFonts w:hint="eastAsia" w:ascii="宋体" w:hAnsi="宋体" w:eastAsia="宋体" w:cs="宋体"/>
                <w:b w:val="0"/>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b w:val="0"/>
                <w:sz w:val="18"/>
              </w:rPr>
            </w:pPr>
            <w:r>
              <w:rPr>
                <w:rFonts w:hint="eastAsia" w:ascii="宋体" w:hAnsi="宋体" w:eastAsia="宋体" w:cs="宋体"/>
                <w:b w:val="0"/>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b w:val="0"/>
                <w:caps w:val="0"/>
                <w:smallCaps w:val="0"/>
                <w:snapToGrid/>
                <w:vanish w:val="0"/>
                <w:color w:val="auto"/>
                <w:kern w:val="0"/>
                <w:sz w:val="18"/>
                <w:szCs w:val="18"/>
                <w:vertAlign w:val="baseline"/>
              </w:rPr>
            </w:pPr>
            <w:r>
              <w:rPr>
                <w:rFonts w:hint="eastAsia" w:ascii="宋体" w:hAnsi="宋体" w:eastAsia="宋体" w:cs="宋体"/>
                <w:b w:val="0"/>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b w:val="0"/>
                <w:sz w:val="18"/>
              </w:rPr>
            </w:pPr>
            <w:r>
              <w:rPr>
                <w:rFonts w:hint="eastAsia" w:ascii="宋体" w:hAnsi="宋体" w:eastAsia="宋体" w:cs="宋体"/>
                <w:b w:val="0"/>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A份额：业绩比较基准为年化2.5%-3.3%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B份额：业绩比较基准为年化2.6%-3.4%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C份额：业绩比较基准为年化2.7%-3.5%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adjustRightInd/>
        <w:snapToGrid/>
        <w:spacing w:after="0"/>
        <w:ind w:firstLine="640" w:firstLineChars="20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4.如有其他未尽事宜以私人银行部解释为准。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1.南银理财珠联璧合鑫逸稳两年98期封闭式公募人民币理财产品风险揭示书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2.南银理财珠联璧合鑫逸稳两年98期封闭式公募人民币理财产品说明书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3.南银理财产品销售协议书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4.南银理财投资者权益须知</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5.南银理财产品投资协议书</w:t>
      </w:r>
    </w:p>
    <w:p>
      <w:pPr>
        <w:adjustRightInd/>
        <w:snapToGrid/>
        <w:spacing w:after="0"/>
        <w:ind w:firstLine="640" w:firstLineChars="200"/>
        <w:rPr>
          <w:rFonts w:hint="default" w:ascii="仿宋_GB2312" w:hAnsi="微软雅黑" w:eastAsia="仿宋_GB2312" w:cs="宋体"/>
          <w:color w:val="000000"/>
          <w:sz w:val="32"/>
          <w:szCs w:val="32"/>
          <w:lang w:val="en-US"/>
        </w:rPr>
      </w:pPr>
      <w:r>
        <w:rPr>
          <w:rFonts w:hint="eastAsia" w:ascii="仿宋_GB2312" w:hAnsi="微软雅黑" w:eastAsia="仿宋_GB2312" w:cs="宋体"/>
          <w:color w:val="000000"/>
          <w:sz w:val="32"/>
          <w:szCs w:val="32"/>
          <w:lang w:eastAsia="zh-CN"/>
        </w:rPr>
        <w:t>6.机构客户理财风险承受能力评估表</w:t>
      </w:r>
      <w:r>
        <w:rPr>
          <w:rFonts w:hint="default" w:ascii="仿宋_GB2312" w:hAnsi="微软雅黑" w:eastAsia="仿宋_GB2312" w:cs="宋体"/>
          <w:color w:val="000000"/>
          <w:sz w:val="32"/>
          <w:szCs w:val="32"/>
          <w:lang w:val="en-US"/>
        </w:rPr>
        <w:t xml:space="preserve"> </w:t>
      </w: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5760"/>
        <w:jc w:val="right"/>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adjustRightInd/>
        <w:snapToGrid/>
        <w:spacing w:after="0"/>
        <w:jc w:val="right"/>
        <w:rPr>
          <w:rFonts w:hint="eastAsia" w:ascii="宋体" w:hAnsi="宋体" w:eastAsia="宋体" w:cs="宋体"/>
          <w:b/>
          <w:color w:val="000000"/>
          <w:sz w:val="18"/>
          <w:szCs w:val="32"/>
          <w:lang w:val="en-US" w:eastAsia="zh-CN"/>
        </w:rPr>
      </w:pPr>
      <w:r>
        <w:rPr>
          <w:rFonts w:hint="eastAsia" w:ascii="仿宋_GB2312" w:hAnsi="微软雅黑" w:eastAsia="仿宋_GB2312" w:cs="宋体"/>
          <w:color w:val="000000"/>
          <w:sz w:val="32"/>
          <w:szCs w:val="32"/>
          <w:lang w:val="en-US" w:eastAsia="zh-CN"/>
        </w:rPr>
        <w:t>2024年11月19日A份额：业绩比较基准为年化2.5%-3.3% 。A份额：业绩比较基准为年化2.5%-3.3% 。A份额：业绩比较基准为年化2.5%-3.3% 。</w:t>
      </w:r>
      <w:bookmarkStart w:id="0" w:name="_GoBack"/>
      <w:bookmarkEnd w:id="0"/>
    </w:p>
    <w:sectPr>
      <w:head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34"/>
      <w:jc w:val="right"/>
      <w:rPr>
        <w:rFonts w:ascii="宋体" w:hAnsi="宋体" w:eastAsia="宋体" w:cs="宋体"/>
        <w:sz w:val="18"/>
        <w:szCs w:val="18"/>
      </w:rPr>
    </w:pPr>
    <w:r>
      <w:rPr>
        <w:rFonts w:ascii="Arial" w:hAnsi="Arial" w:eastAsia="Arial" w:cs="Arial"/>
        <w:sz w:val="21"/>
        <w:szCs w:val="21"/>
      </w:rPr>
      <w:pict>
        <v:shape id="_x0000_s71682" o:spid="_x0000_s71682" style="position:absolute;left:0pt;margin-left:88.6pt;margin-top:55.2pt;height:0.5pt;width:418.3pt;mso-position-horizontal-relative:page;mso-position-vertical-relative:page;z-index:251659264;mso-width-relative:page;mso-height-relative:page;" fillcolor="#000000" filled="t" stroked="f" coordsize="8365,10" o:allowincell="f" path="m0,9l8365,9,8365,0,0,0,0,9xe">
          <v:path/>
          <v:fill on="t" focussize="0,0"/>
          <v:stroke on="f"/>
          <v:imagedata o:title=""/>
          <o:lock v:ext="edit"/>
        </v:shape>
      </w:pict>
    </w:r>
    <w:r>
      <w:rPr>
        <w:rFonts w:ascii="宋体" w:hAnsi="宋体" w:eastAsia="宋体" w:cs="宋体"/>
        <w:spacing w:val="6"/>
        <w:sz w:val="18"/>
        <w:szCs w:val="18"/>
      </w:rPr>
      <w:t>南银理财</w:t>
    </w:r>
    <w:r>
      <w:rPr>
        <w:rFonts w:ascii="宋体" w:hAnsi="宋体" w:eastAsia="宋体" w:cs="宋体"/>
        <w:spacing w:val="5"/>
        <w:sz w:val="18"/>
        <w:szCs w:val="18"/>
      </w:rPr>
      <w:t>理</w:t>
    </w:r>
    <w:r>
      <w:rPr>
        <w:rFonts w:ascii="宋体" w:hAnsi="宋体" w:eastAsia="宋体" w:cs="宋体"/>
        <w:spacing w:val="3"/>
        <w:sz w:val="18"/>
        <w:szCs w:val="18"/>
      </w:rPr>
      <w:t>财产品销售文件(</w:t>
    </w:r>
    <w:r>
      <w:rPr>
        <w:rFonts w:ascii="Times New Roman" w:hAnsi="Times New Roman" w:eastAsia="Times New Roman" w:cs="Times New Roman"/>
        <w:spacing w:val="3"/>
        <w:sz w:val="18"/>
        <w:szCs w:val="18"/>
      </w:rPr>
      <w:t>2021</w:t>
    </w:r>
    <w:r>
      <w:rPr>
        <w:rFonts w:ascii="宋体" w:hAnsi="宋体" w:eastAsia="宋体" w:cs="宋体"/>
        <w:spacing w:val="3"/>
        <w:sz w:val="18"/>
        <w:szCs w:val="18"/>
      </w:rPr>
      <w:t>第</w:t>
    </w:r>
    <w:r>
      <w:rPr>
        <w:rFonts w:ascii="Times New Roman" w:hAnsi="Times New Roman" w:eastAsia="Times New Roman" w:cs="Times New Roman"/>
        <w:spacing w:val="3"/>
        <w:sz w:val="18"/>
        <w:szCs w:val="18"/>
      </w:rPr>
      <w:t>2</w:t>
    </w:r>
    <w:r>
      <w:rPr>
        <w:rFonts w:ascii="宋体" w:hAnsi="宋体" w:eastAsia="宋体" w:cs="宋体"/>
        <w:spacing w:val="3"/>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70"/>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4D2CAE"/>
    <w:rsid w:val="005100BA"/>
    <w:rsid w:val="005168C5"/>
    <w:rsid w:val="005218F6"/>
    <w:rsid w:val="00522DB4"/>
    <w:rsid w:val="00523BDD"/>
    <w:rsid w:val="00536DF2"/>
    <w:rsid w:val="00543782"/>
    <w:rsid w:val="00556398"/>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899"/>
    <w:rsid w:val="00F01F77"/>
    <w:rsid w:val="00F02F9C"/>
    <w:rsid w:val="00F04234"/>
    <w:rsid w:val="00F15448"/>
    <w:rsid w:val="00F21AAA"/>
    <w:rsid w:val="00F340F3"/>
    <w:rsid w:val="00F535DE"/>
    <w:rsid w:val="00F56107"/>
    <w:rsid w:val="00F634A7"/>
    <w:rsid w:val="00F805F0"/>
    <w:rsid w:val="00F957A8"/>
    <w:rsid w:val="00F97C18"/>
    <w:rsid w:val="00FA233C"/>
    <w:rsid w:val="00FC73A4"/>
    <w:rsid w:val="00FD35EB"/>
    <w:rsid w:val="00FE0475"/>
    <w:rsid w:val="00FE272F"/>
    <w:rsid w:val="00FF20E5"/>
    <w:rsid w:val="00FF3EEA"/>
    <w:rsid w:val="074A2176"/>
    <w:rsid w:val="07527F15"/>
    <w:rsid w:val="0AB33FF3"/>
    <w:rsid w:val="0AE5765F"/>
    <w:rsid w:val="0B432900"/>
    <w:rsid w:val="12657D03"/>
    <w:rsid w:val="1DD9366C"/>
    <w:rsid w:val="2D804DBE"/>
    <w:rsid w:val="3A435410"/>
    <w:rsid w:val="3B550E9F"/>
    <w:rsid w:val="3E3871C6"/>
    <w:rsid w:val="4B702A6C"/>
    <w:rsid w:val="4DF0097A"/>
    <w:rsid w:val="5A3469C0"/>
    <w:rsid w:val="5AEC1BD4"/>
    <w:rsid w:val="5D341A1F"/>
    <w:rsid w:val="5E5B4F52"/>
    <w:rsid w:val="61070171"/>
    <w:rsid w:val="63F34D6C"/>
    <w:rsid w:val="648B4C13"/>
    <w:rsid w:val="66D83D00"/>
    <w:rsid w:val="6BDB2263"/>
    <w:rsid w:val="6F05279D"/>
    <w:rsid w:val="74B24C69"/>
    <w:rsid w:val="77161D39"/>
    <w:rsid w:val="77C13657"/>
    <w:rsid w:val="79E85921"/>
    <w:rsid w:val="7A720337"/>
    <w:rsid w:val="7B580565"/>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pPr>
      <w:spacing w:after="0" w:line="240" w:lineRule="auto"/>
    </w:pPr>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f267fe3b"/>
    <w:next w:val="5"/>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1029</Words>
  <Characters>5871</Characters>
  <Lines>48</Lines>
  <Paragraphs>13</Paragraphs>
  <TotalTime>0</TotalTime>
  <ScaleCrop>false</ScaleCrop>
  <LinksUpToDate>false</LinksUpToDate>
  <CharactersWithSpaces>6887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User</cp:lastModifiedBy>
  <cp:lastPrinted>2022-09-15T07:23:00Z</cp:lastPrinted>
  <dcterms:modified xsi:type="dcterms:W3CDTF">2024-11-19T02:20:20Z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