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jc w:val="center"/>
        <w:rPr>
          <w:rFonts w:ascii="宋体" w:hAnsi="宋体" w:eastAsia="宋体" w:cs="宋体"/>
          <w:sz w:val="24"/>
          <w:szCs w:val="24"/>
        </w:rPr>
      </w:pPr>
      <w:r>
        <w:rPr>
          <w:rFonts w:hint="eastAsia" w:ascii="宋体" w:hAnsi="宋体" w:eastAsia="宋体" w:cs="宋体"/>
          <w:b/>
          <w:bCs/>
          <w:sz w:val="36"/>
        </w:rPr>
        <w:t>关于代销</w:t>
      </w:r>
      <w:r>
        <w:rPr>
          <w:rFonts w:hint="eastAsia" w:ascii="宋体" w:hAnsi="宋体" w:eastAsia="宋体" w:cs="宋体"/>
          <w:b/>
          <w:bCs/>
          <w:sz w:val="36"/>
          <w:lang w:eastAsia="zh-CN"/>
        </w:rPr>
        <w:t>南银理财珠联璧合鑫逸稳半年101期封闭式公募人民币理财产品</w:t>
      </w:r>
      <w:r>
        <w:rPr>
          <w:rFonts w:hint="eastAsia" w:ascii="宋体" w:hAnsi="宋体" w:eastAsia="宋体" w:cs="宋体"/>
          <w:b/>
          <w:bCs/>
          <w:sz w:val="36"/>
        </w:rPr>
        <w:t>的通知</w:t>
      </w:r>
    </w:p>
    <w:p>
      <w:pPr>
        <w:adjustRightInd/>
        <w:snapToGrid/>
        <w:spacing w:after="0" w:line="555" w:lineRule="atLeast"/>
        <w:rPr>
          <w:rFonts w:ascii="仿宋_GB2312" w:hAnsi="微软雅黑" w:eastAsia="仿宋_GB2312" w:cs="宋体"/>
          <w:color w:val="000000"/>
          <w:sz w:val="32"/>
          <w:szCs w:val="32"/>
        </w:rPr>
      </w:pPr>
    </w:p>
    <w:p>
      <w:pPr>
        <w:adjustRightInd/>
        <w:snapToGrid/>
        <w:spacing w:after="0" w:line="555" w:lineRule="atLeast"/>
        <w:rPr>
          <w:rFonts w:ascii="微软雅黑" w:hAnsi="微软雅黑" w:cs="宋体"/>
          <w:color w:val="000000"/>
          <w:sz w:val="30"/>
          <w:szCs w:val="30"/>
        </w:rPr>
      </w:pPr>
      <w:r>
        <w:rPr>
          <w:rFonts w:hint="eastAsia" w:ascii="仿宋_GB2312" w:hAnsi="微软雅黑" w:eastAsia="仿宋_GB2312" w:cs="宋体"/>
          <w:color w:val="000000"/>
          <w:sz w:val="32"/>
          <w:szCs w:val="32"/>
        </w:rPr>
        <w:t>各分(支)行、总行营业部：</w:t>
      </w:r>
    </w:p>
    <w:p>
      <w:pPr>
        <w:adjustRightInd/>
        <w:snapToGrid/>
        <w:spacing w:after="0"/>
        <w:ind w:firstLine="630"/>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我行</w:t>
      </w:r>
      <w:r>
        <w:rPr>
          <w:rFonts w:hint="eastAsia" w:ascii="仿宋_GB2312" w:hAnsi="微软雅黑" w:eastAsia="仿宋_GB2312" w:cs="宋体"/>
          <w:sz w:val="32"/>
          <w:szCs w:val="32"/>
        </w:rPr>
        <w:t>将于</w:t>
      </w:r>
      <w:r>
        <w:rPr>
          <w:rFonts w:hint="eastAsia" w:ascii="仿宋_GB2312" w:hAnsi="微软雅黑" w:eastAsia="仿宋_GB2312" w:cs="宋体"/>
          <w:sz w:val="32"/>
          <w:szCs w:val="32"/>
          <w:lang w:eastAsia="zh-CN"/>
        </w:rPr>
        <w:t>2024年11月20日起代销</w:t>
      </w:r>
      <w:r>
        <w:rPr>
          <w:rFonts w:hint="eastAsia" w:ascii="仿宋_GB2312" w:hAnsi="仿宋_GB2312" w:eastAsia="仿宋_GB2312" w:cs="仿宋_GB2312"/>
          <w:color w:val="FF0000"/>
          <w:sz w:val="32"/>
          <w:szCs w:val="32"/>
          <w:lang w:eastAsia="zh-CN"/>
        </w:rPr>
        <w:t>南银理财有限责任公司</w:t>
      </w:r>
      <w:r>
        <w:rPr>
          <w:rFonts w:hint="eastAsia" w:ascii="仿宋_GB2312" w:hAnsi="微软雅黑" w:eastAsia="仿宋_GB2312" w:cs="宋体"/>
          <w:sz w:val="32"/>
          <w:szCs w:val="32"/>
          <w:lang w:eastAsia="zh-CN"/>
        </w:rPr>
        <w:t>发行的珠联璧合鑫逸稳半年101期封闭式公募人民币理财产品</w:t>
      </w:r>
      <w:r>
        <w:rPr>
          <w:rFonts w:hint="eastAsia" w:ascii="仿宋_GB2312" w:hAnsi="微软雅黑" w:eastAsia="仿宋_GB2312" w:cs="宋体"/>
          <w:sz w:val="32"/>
          <w:szCs w:val="32"/>
        </w:rPr>
        <w:t>，</w:t>
      </w:r>
      <w:r>
        <w:rPr>
          <w:rFonts w:hint="eastAsia" w:ascii="仿宋_GB2312" w:hAnsi="微软雅黑" w:eastAsia="仿宋_GB2312" w:cs="宋体"/>
          <w:color w:val="000000"/>
          <w:sz w:val="32"/>
          <w:szCs w:val="32"/>
        </w:rPr>
        <w:t>目前</w:t>
      </w:r>
      <w:r>
        <w:rPr>
          <w:rFonts w:hint="eastAsia" w:ascii="仿宋_GB2312" w:hAnsi="微软雅黑" w:eastAsia="仿宋_GB2312" w:cs="宋体"/>
          <w:b/>
          <w:color w:val="FF0000"/>
          <w:sz w:val="32"/>
          <w:szCs w:val="32"/>
        </w:rPr>
        <w:t>对公客户</w:t>
      </w:r>
      <w:r>
        <w:rPr>
          <w:rFonts w:hint="eastAsia" w:ascii="仿宋_GB2312" w:hAnsi="微软雅黑" w:eastAsia="仿宋_GB2312" w:cs="宋体"/>
          <w:color w:val="000000"/>
          <w:sz w:val="32"/>
          <w:szCs w:val="32"/>
        </w:rPr>
        <w:t>可在</w:t>
      </w:r>
      <w:r>
        <w:rPr>
          <w:rFonts w:hint="eastAsia" w:ascii="仿宋_GB2312" w:hAnsi="微软雅黑" w:eastAsia="仿宋_GB2312" w:cs="宋体"/>
          <w:b/>
          <w:color w:val="FF0000"/>
          <w:sz w:val="32"/>
          <w:szCs w:val="32"/>
        </w:rPr>
        <w:t>柜面、网银</w:t>
      </w:r>
      <w:r>
        <w:rPr>
          <w:rFonts w:hint="eastAsia" w:ascii="仿宋_GB2312" w:hAnsi="微软雅黑" w:eastAsia="仿宋_GB2312" w:cs="宋体"/>
          <w:color w:val="000000"/>
          <w:sz w:val="32"/>
          <w:szCs w:val="32"/>
        </w:rPr>
        <w:t>销售，</w:t>
      </w:r>
      <w:r>
        <w:rPr>
          <w:rFonts w:hint="eastAsia" w:ascii="仿宋_GB2312" w:hAnsi="微软雅黑" w:eastAsia="仿宋_GB2312" w:cs="宋体"/>
          <w:b/>
          <w:color w:val="FF0000"/>
          <w:sz w:val="32"/>
          <w:szCs w:val="32"/>
        </w:rPr>
        <w:t>个人客户</w:t>
      </w:r>
      <w:r>
        <w:rPr>
          <w:rFonts w:hint="eastAsia" w:ascii="仿宋_GB2312" w:hAnsi="微软雅黑" w:eastAsia="仿宋_GB2312" w:cs="宋体"/>
          <w:color w:val="000000"/>
          <w:sz w:val="32"/>
          <w:szCs w:val="32"/>
        </w:rPr>
        <w:t>只在</w:t>
      </w:r>
      <w:r>
        <w:rPr>
          <w:rFonts w:hint="eastAsia" w:ascii="仿宋_GB2312" w:hAnsi="微软雅黑" w:eastAsia="仿宋_GB2312" w:cs="宋体"/>
          <w:b/>
          <w:color w:val="FF0000"/>
          <w:sz w:val="32"/>
          <w:szCs w:val="32"/>
        </w:rPr>
        <w:t>手机银行</w:t>
      </w:r>
      <w:r>
        <w:rPr>
          <w:rFonts w:hint="eastAsia" w:ascii="仿宋_GB2312" w:hAnsi="微软雅黑" w:eastAsia="仿宋_GB2312" w:cs="宋体"/>
          <w:color w:val="000000"/>
          <w:sz w:val="32"/>
          <w:szCs w:val="32"/>
        </w:rPr>
        <w:t>销售。该产品</w:t>
      </w:r>
      <w:r>
        <w:rPr>
          <w:rFonts w:hint="eastAsia" w:ascii="仿宋_GB2312" w:hAnsi="微软雅黑" w:eastAsia="仿宋_GB2312" w:cs="宋体"/>
          <w:b/>
          <w:color w:val="FF0000"/>
          <w:sz w:val="32"/>
          <w:szCs w:val="32"/>
        </w:rPr>
        <w:t>销售服务费率</w:t>
      </w:r>
      <w:r>
        <w:rPr>
          <w:rFonts w:hint="eastAsia" w:ascii="仿宋_GB2312" w:hAnsi="微软雅黑" w:eastAsia="仿宋_GB2312" w:cs="宋体"/>
          <w:b/>
          <w:color w:val="FF0000"/>
          <w:sz w:val="32"/>
          <w:szCs w:val="32"/>
          <w:lang w:eastAsia="zh-CN"/>
        </w:rPr>
        <w:t>0.3%</w:t>
      </w:r>
      <w:r>
        <w:rPr>
          <w:rFonts w:hint="eastAsia" w:ascii="仿宋_GB2312" w:hAnsi="微软雅黑" w:eastAsia="仿宋_GB2312" w:cs="宋体"/>
          <w:b/>
          <w:color w:val="FF0000"/>
          <w:sz w:val="32"/>
          <w:szCs w:val="32"/>
        </w:rPr>
        <w:t>/年</w:t>
      </w:r>
      <w:r>
        <w:rPr>
          <w:rFonts w:hint="eastAsia" w:ascii="仿宋_GB2312" w:hAnsi="微软雅黑" w:eastAsia="仿宋_GB2312" w:cs="宋体"/>
          <w:color w:val="000000"/>
          <w:sz w:val="32"/>
          <w:szCs w:val="32"/>
        </w:rPr>
        <w:t>。部分要素如下：</w:t>
      </w:r>
    </w:p>
    <w:p>
      <w:pPr>
        <w:pStyle w:val="17"/>
        <w:keepNext w:val="0"/>
        <w:keepLines w:val="0"/>
        <w:pageBreakBefore w:val="0"/>
        <w:widowControl/>
        <w:suppressLineNumbers w:val="0"/>
        <w:suppressAutoHyphens w:val="0"/>
        <w:spacing w:line="200" w:lineRule="exact"/>
        <w:ind w:firstLine="0"/>
        <w:jc w:val="both"/>
        <w:textAlignment w:val="baseline"/>
        <w:rPr>
          <w:rFonts w:hint="eastAsia" w:ascii="宋体" w:hAnsi="宋体" w:eastAsia="宋体" w:cs="宋体"/>
          <w:b/>
          <w:bCs w:val="0"/>
          <w:caps w:val="0"/>
          <w:smallCaps w:val="0"/>
          <w:snapToGrid/>
          <w:vanish w:val="0"/>
          <w:color w:val="3D3D3D"/>
          <w:kern w:val="0"/>
          <w:sz w:val="18"/>
          <w:szCs w:val="15"/>
          <w:vertAlign w:val="baseline"/>
        </w:rPr>
      </w:pPr>
    </w:p>
    <w:tbl>
      <w:tblPr>
        <w:tblStyle w:val="7"/>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南银理财珠联璧合鑫逸稳半年101期封闭式公募人民币理财产品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ZZ700322400496</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Z7003224000232(投资者可依据该编码在中国理财网www.chinawealth.com.cn查询理财产品相关信息）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hint="eastAsia" w:ascii="宋体" w:hAnsi="宋体" w:eastAsia="宋体" w:cs="宋体"/>
                <w:caps w:val="0"/>
                <w:smallCaps w:val="0"/>
                <w:snapToGrid/>
                <w:vanish w:val="0"/>
                <w:color w:val="auto"/>
                <w:kern w:val="0"/>
                <w:sz w:val="18"/>
                <w:szCs w:val="18"/>
                <w:vertAlign w:val="baseline"/>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szCs w:val="18"/>
                <w:lang w:eastAsia="zh-CN"/>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仿宋" w:hAnsi="仿宋" w:eastAsia="仿宋" w:cs="仿宋"/>
                <w:b/>
                <w:caps w:val="0"/>
                <w:smallCaps w:val="0"/>
                <w:snapToGrid/>
                <w:vanish w:val="0"/>
                <w:color w:val="FF0000"/>
                <w:kern w:val="0"/>
                <w:sz w:val="22"/>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仿宋" w:hAnsi="仿宋" w:eastAsia="仿宋" w:cs="仿宋"/>
                <w:b/>
                <w:color w:val="FF0000"/>
                <w:sz w:val="22"/>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仿宋" w:hAnsi="仿宋" w:eastAsia="仿宋" w:cs="仿宋"/>
                <w:b/>
                <w:caps w:val="0"/>
                <w:smallCaps w:val="0"/>
                <w:snapToGrid/>
                <w:vanish w:val="0"/>
                <w:color w:val="FF0000"/>
                <w:kern w:val="0"/>
                <w:sz w:val="22"/>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仿宋" w:hAnsi="仿宋" w:eastAsia="仿宋" w:cs="仿宋"/>
                <w:b/>
                <w:color w:val="FF0000"/>
                <w:sz w:val="22"/>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仿宋" w:hAnsi="仿宋" w:eastAsia="仿宋" w:cs="仿宋"/>
                <w:b/>
                <w:caps w:val="0"/>
                <w:smallCaps w:val="0"/>
                <w:snapToGrid/>
                <w:vanish w:val="0"/>
                <w:color w:val="FF0000"/>
                <w:kern w:val="0"/>
                <w:sz w:val="22"/>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仿宋" w:hAnsi="仿宋" w:eastAsia="仿宋" w:cs="仿宋"/>
                <w:b/>
                <w:color w:val="FF0000"/>
                <w:sz w:val="22"/>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仿宋" w:hAnsi="仿宋" w:eastAsia="仿宋" w:cs="仿宋"/>
                <w:b/>
                <w:caps w:val="0"/>
                <w:smallCaps w:val="0"/>
                <w:snapToGrid/>
                <w:vanish w:val="0"/>
                <w:color w:val="FF0000"/>
                <w:kern w:val="0"/>
                <w:sz w:val="22"/>
                <w:szCs w:val="18"/>
                <w:vertAlign w:val="baseline"/>
              </w:rPr>
            </w:pPr>
            <w:r>
              <w:rPr>
                <w:rFonts w:hint="eastAsia" w:ascii="仿宋" w:hAnsi="仿宋" w:eastAsia="仿宋" w:cs="仿宋"/>
                <w:b/>
                <w:caps w:val="0"/>
                <w:smallCaps w:val="0"/>
                <w:snapToGrid/>
                <w:vanish w:val="0"/>
                <w:color w:val="FF0000"/>
                <w:kern w:val="0"/>
                <w:sz w:val="22"/>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仿宋" w:hAnsi="仿宋" w:eastAsia="仿宋" w:cs="仿宋"/>
                <w:b/>
                <w:color w:val="FF0000"/>
                <w:sz w:val="22"/>
              </w:rPr>
            </w:pPr>
            <w:r>
              <w:rPr>
                <w:rFonts w:hint="eastAsia" w:ascii="仿宋" w:hAnsi="仿宋" w:eastAsia="仿宋" w:cs="仿宋"/>
                <w:b/>
                <w:color w:val="FF0000"/>
                <w:sz w:val="22"/>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rPr>
                <w:rFonts w:hint="eastAsia" w:ascii="仿宋" w:hAnsi="仿宋" w:eastAsia="仿宋" w:cs="仿宋"/>
                <w:b/>
                <w:color w:val="FF0000"/>
                <w:sz w:val="22"/>
              </w:rPr>
            </w:pPr>
            <w:r>
              <w:rPr>
                <w:rFonts w:hint="eastAsia" w:ascii="仿宋" w:hAnsi="仿宋" w:eastAsia="仿宋" w:cs="仿宋"/>
                <w:b/>
                <w:color w:val="FF0000"/>
                <w:sz w:val="22"/>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仿宋" w:hAnsi="仿宋" w:eastAsia="仿宋" w:cs="仿宋"/>
                <w:b/>
                <w:caps w:val="0"/>
                <w:smallCaps w:val="0"/>
                <w:snapToGrid/>
                <w:vanish w:val="0"/>
                <w:color w:val="FF0000"/>
                <w:kern w:val="0"/>
                <w:sz w:val="22"/>
                <w:szCs w:val="18"/>
                <w:vertAlign w:val="baseline"/>
              </w:rPr>
            </w:pPr>
            <w:r>
              <w:rPr>
                <w:rFonts w:hint="eastAsia" w:ascii="仿宋" w:hAnsi="仿宋" w:eastAsia="仿宋" w:cs="仿宋"/>
                <w:b/>
                <w:caps w:val="0"/>
                <w:smallCaps w:val="0"/>
                <w:snapToGrid/>
                <w:vanish w:val="0"/>
                <w:color w:val="FF0000"/>
                <w:kern w:val="0"/>
                <w:sz w:val="22"/>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仿宋" w:hAnsi="仿宋" w:eastAsia="仿宋" w:cs="仿宋"/>
                <w:b/>
                <w:color w:val="FF0000"/>
                <w:sz w:val="22"/>
              </w:rPr>
            </w:pPr>
            <w:r>
              <w:rPr>
                <w:rFonts w:hint="eastAsia" w:ascii="仿宋" w:hAnsi="仿宋" w:eastAsia="仿宋" w:cs="仿宋"/>
                <w:b/>
                <w:color w:val="FF0000"/>
                <w:sz w:val="22"/>
                <w:szCs w:val="18"/>
              </w:rPr>
              <w:t>2024年11月20日 09:00—2024年11月26日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仿宋" w:hAnsi="仿宋" w:eastAsia="仿宋" w:cs="仿宋"/>
                <w:b/>
                <w:caps w:val="0"/>
                <w:smallCaps w:val="0"/>
                <w:snapToGrid/>
                <w:vanish w:val="0"/>
                <w:color w:val="FF0000"/>
                <w:kern w:val="0"/>
                <w:sz w:val="22"/>
                <w:szCs w:val="18"/>
                <w:vertAlign w:val="baseline"/>
              </w:rPr>
            </w:pPr>
            <w:r>
              <w:rPr>
                <w:rFonts w:hint="eastAsia" w:ascii="仿宋" w:hAnsi="仿宋" w:eastAsia="仿宋" w:cs="仿宋"/>
                <w:b/>
                <w:caps w:val="0"/>
                <w:smallCaps w:val="0"/>
                <w:snapToGrid/>
                <w:vanish w:val="0"/>
                <w:color w:val="FF0000"/>
                <w:kern w:val="0"/>
                <w:sz w:val="22"/>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仿宋" w:hAnsi="仿宋" w:eastAsia="仿宋" w:cs="仿宋"/>
                <w:b/>
                <w:color w:val="FF0000"/>
                <w:sz w:val="22"/>
              </w:rPr>
            </w:pPr>
            <w:r>
              <w:rPr>
                <w:rFonts w:hint="eastAsia" w:ascii="仿宋" w:hAnsi="仿宋" w:eastAsia="仿宋" w:cs="仿宋"/>
                <w:b/>
                <w:color w:val="FF0000"/>
                <w:sz w:val="22"/>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仿宋" w:hAnsi="仿宋" w:eastAsia="仿宋" w:cs="仿宋"/>
                <w:b/>
                <w:caps w:val="0"/>
                <w:smallCaps w:val="0"/>
                <w:snapToGrid/>
                <w:vanish w:val="0"/>
                <w:color w:val="FF0000"/>
                <w:kern w:val="0"/>
                <w:sz w:val="22"/>
                <w:szCs w:val="18"/>
                <w:vertAlign w:val="baseline"/>
              </w:rPr>
            </w:pPr>
            <w:r>
              <w:rPr>
                <w:rFonts w:hint="eastAsia" w:ascii="仿宋" w:hAnsi="仿宋" w:eastAsia="仿宋" w:cs="仿宋"/>
                <w:b/>
                <w:caps w:val="0"/>
                <w:smallCaps w:val="0"/>
                <w:snapToGrid/>
                <w:vanish w:val="0"/>
                <w:color w:val="FF0000"/>
                <w:kern w:val="0"/>
                <w:sz w:val="22"/>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仿宋" w:hAnsi="仿宋" w:eastAsia="仿宋" w:cs="仿宋"/>
                <w:b/>
                <w:color w:val="FF0000"/>
                <w:kern w:val="0"/>
                <w:sz w:val="22"/>
                <w:szCs w:val="18"/>
              </w:rPr>
            </w:pPr>
            <w:r>
              <w:rPr>
                <w:rFonts w:hint="eastAsia" w:ascii="仿宋" w:hAnsi="仿宋" w:eastAsia="仿宋" w:cs="仿宋"/>
                <w:b/>
                <w:color w:val="FF0000"/>
                <w:kern w:val="0"/>
                <w:sz w:val="22"/>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仿宋" w:hAnsi="仿宋" w:eastAsia="仿宋" w:cs="仿宋"/>
                <w:b/>
                <w:caps w:val="0"/>
                <w:smallCaps w:val="0"/>
                <w:snapToGrid/>
                <w:vanish w:val="0"/>
                <w:color w:val="FF0000"/>
                <w:kern w:val="0"/>
                <w:sz w:val="22"/>
                <w:szCs w:val="18"/>
                <w:vertAlign w:val="baseline"/>
              </w:rPr>
            </w:pPr>
            <w:r>
              <w:rPr>
                <w:rFonts w:hint="eastAsia" w:ascii="仿宋" w:hAnsi="仿宋" w:eastAsia="仿宋" w:cs="仿宋"/>
                <w:b/>
                <w:caps w:val="0"/>
                <w:smallCaps w:val="0"/>
                <w:snapToGrid/>
                <w:vanish w:val="0"/>
                <w:color w:val="FF0000"/>
                <w:kern w:val="0"/>
                <w:sz w:val="22"/>
                <w:szCs w:val="18"/>
                <w:vertAlign w:val="baseline"/>
                <w:lang w:eastAsia="zh-CN"/>
              </w:rPr>
              <w:t>A份额：Y70101</w:t>
            </w:r>
            <w:r>
              <w:rPr>
                <w:rFonts w:hint="eastAsia" w:ascii="仿宋" w:hAnsi="仿宋" w:eastAsia="仿宋" w:cs="仿宋"/>
                <w:b/>
                <w:caps w:val="0"/>
                <w:smallCaps w:val="0"/>
                <w:snapToGrid/>
                <w:vanish w:val="0"/>
                <w:color w:val="FF0000"/>
                <w:kern w:val="0"/>
                <w:sz w:val="22"/>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仿宋" w:hAnsi="仿宋" w:eastAsia="仿宋" w:cs="仿宋"/>
                <w:b/>
                <w:color w:val="FF0000"/>
                <w:kern w:val="0"/>
                <w:sz w:val="22"/>
                <w:szCs w:val="18"/>
                <w:lang w:eastAsia="zh-CN"/>
              </w:rPr>
            </w:pPr>
            <w:r>
              <w:rPr>
                <w:rFonts w:hint="eastAsia" w:ascii="仿宋" w:hAnsi="仿宋" w:eastAsia="仿宋" w:cs="仿宋"/>
                <w:b/>
                <w:color w:val="FF0000"/>
                <w:kern w:val="0"/>
                <w:sz w:val="22"/>
                <w:szCs w:val="18"/>
                <w:lang w:eastAsia="zh-CN"/>
              </w:rPr>
              <w:t>A份额：</w:t>
            </w:r>
          </w:p>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仿宋" w:hAnsi="仿宋" w:eastAsia="仿宋" w:cs="仿宋"/>
                <w:b/>
                <w:color w:val="FF0000"/>
                <w:sz w:val="22"/>
              </w:rPr>
            </w:pPr>
            <w:r>
              <w:rPr>
                <w:rFonts w:hint="eastAsia" w:ascii="仿宋" w:hAnsi="仿宋" w:eastAsia="仿宋" w:cs="仿宋"/>
                <w:b/>
                <w:color w:val="FF0000"/>
                <w:kern w:val="0"/>
                <w:sz w:val="22"/>
                <w:szCs w:val="18"/>
              </w:rPr>
              <w:t>2024年11月27日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仿宋" w:hAnsi="仿宋" w:eastAsia="仿宋" w:cs="仿宋"/>
                <w:b/>
                <w:caps w:val="0"/>
                <w:smallCaps w:val="0"/>
                <w:snapToGrid/>
                <w:vanish w:val="0"/>
                <w:color w:val="FF0000"/>
                <w:kern w:val="0"/>
                <w:sz w:val="22"/>
                <w:szCs w:val="18"/>
                <w:vertAlign w:val="baseline"/>
              </w:rPr>
            </w:pPr>
            <w:r>
              <w:rPr>
                <w:rFonts w:hint="eastAsia" w:ascii="仿宋" w:hAnsi="仿宋" w:eastAsia="仿宋" w:cs="仿宋"/>
                <w:b/>
                <w:caps w:val="0"/>
                <w:smallCaps w:val="0"/>
                <w:snapToGrid/>
                <w:vanish w:val="0"/>
                <w:color w:val="FF0000"/>
                <w:kern w:val="0"/>
                <w:sz w:val="22"/>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仿宋" w:hAnsi="仿宋" w:eastAsia="仿宋" w:cs="仿宋"/>
                <w:b/>
                <w:color w:val="FF0000"/>
                <w:sz w:val="22"/>
              </w:rPr>
            </w:pPr>
            <w:r>
              <w:rPr>
                <w:rFonts w:hint="eastAsia" w:ascii="仿宋" w:hAnsi="仿宋" w:eastAsia="仿宋" w:cs="仿宋"/>
                <w:b/>
                <w:color w:val="FF0000"/>
                <w:sz w:val="22"/>
                <w:szCs w:val="18"/>
              </w:rPr>
              <w:t>2024年11月27日—实际到期日（如名义到期日遇国家法定节假日，管理人可结合国家法定节假日安排进行调整。若未出现以上情形，则实际到期日即为名义到期日，存续期限196天；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仿宋" w:hAnsi="仿宋" w:eastAsia="仿宋" w:cs="仿宋"/>
                <w:b/>
                <w:caps w:val="0"/>
                <w:smallCaps w:val="0"/>
                <w:snapToGrid/>
                <w:vanish w:val="0"/>
                <w:color w:val="FF0000"/>
                <w:kern w:val="0"/>
                <w:sz w:val="22"/>
                <w:szCs w:val="18"/>
                <w:vertAlign w:val="baseline"/>
              </w:rPr>
            </w:pPr>
            <w:r>
              <w:rPr>
                <w:rFonts w:hint="eastAsia" w:ascii="仿宋" w:hAnsi="仿宋" w:eastAsia="仿宋" w:cs="仿宋"/>
                <w:b/>
                <w:caps w:val="0"/>
                <w:smallCaps w:val="0"/>
                <w:snapToGrid/>
                <w:vanish w:val="0"/>
                <w:color w:val="FF0000"/>
                <w:kern w:val="0"/>
                <w:sz w:val="22"/>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仿宋" w:hAnsi="仿宋" w:eastAsia="仿宋" w:cs="仿宋"/>
                <w:b/>
                <w:caps w:val="0"/>
                <w:smallCaps w:val="0"/>
                <w:snapToGrid/>
                <w:vanish w:val="0"/>
                <w:color w:val="FF0000"/>
                <w:kern w:val="0"/>
                <w:sz w:val="22"/>
                <w:szCs w:val="18"/>
                <w:vertAlign w:val="baseline"/>
              </w:rPr>
            </w:pPr>
            <w:r>
              <w:rPr>
                <w:rFonts w:hint="eastAsia" w:ascii="仿宋" w:hAnsi="仿宋" w:eastAsia="仿宋" w:cs="仿宋"/>
                <w:b/>
                <w:caps w:val="0"/>
                <w:smallCaps w:val="0"/>
                <w:snapToGrid/>
                <w:vanish w:val="0"/>
                <w:color w:val="FF0000"/>
                <w:kern w:val="0"/>
                <w:sz w:val="22"/>
                <w:szCs w:val="18"/>
                <w:vertAlign w:val="baseline"/>
              </w:rPr>
              <w:t>2025年06月11日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仿宋" w:hAnsi="仿宋" w:eastAsia="仿宋" w:cs="仿宋"/>
                <w:b/>
                <w:caps w:val="0"/>
                <w:smallCaps w:val="0"/>
                <w:snapToGrid/>
                <w:vanish w:val="0"/>
                <w:color w:val="FF0000"/>
                <w:kern w:val="0"/>
                <w:sz w:val="22"/>
                <w:szCs w:val="18"/>
                <w:vertAlign w:val="baseline"/>
              </w:rPr>
            </w:pPr>
            <w:r>
              <w:rPr>
                <w:rFonts w:hint="eastAsia" w:ascii="仿宋" w:hAnsi="仿宋" w:eastAsia="仿宋" w:cs="仿宋"/>
                <w:b/>
                <w:color w:val="FF0000"/>
                <w:kern w:val="0"/>
                <w:sz w:val="22"/>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仿宋" w:hAnsi="仿宋" w:eastAsia="仿宋" w:cs="仿宋"/>
                <w:b/>
                <w:color w:val="FF0000"/>
                <w:sz w:val="22"/>
              </w:rPr>
            </w:pPr>
            <w:r>
              <w:rPr>
                <w:rFonts w:hint="eastAsia" w:ascii="仿宋" w:hAnsi="仿宋" w:eastAsia="仿宋" w:cs="仿宋"/>
                <w:b/>
                <w:color w:val="FF0000"/>
                <w:sz w:val="22"/>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本理财产品存续期间不进行分红。</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到期资金将于实际到期日后5个工作日内划入投资者授权指定账户，实际到期日后至投资者收益划到投资者授权指定账户之前不计任何收益。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sz w:val="18"/>
              </w:rPr>
            </w:pPr>
            <w:r>
              <w:rPr>
                <w:rFonts w:hint="eastAsia" w:ascii="宋体" w:hAnsi="宋体" w:eastAsia="宋体" w:cs="宋体"/>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本理财产品投资于固定收益类资产的比例不低于80%,投资于非标准化债权类资产的比例不高于50%。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4、同业借款：资产类型为南银理财有限责任公司向持牌金融机构发放的同业借款，期限不超过1年，融资人为江苏金融租赁股份有限公司。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A份额：业绩比较基准为2.5%(年化)。</w:t>
            </w:r>
          </w:p>
          <w:p>
            <w:pPr>
              <w:spacing w:line="200" w:lineRule="exact"/>
              <w:rPr>
                <w:rFonts w:hint="eastAsia" w:ascii="宋体" w:hAnsi="宋体" w:eastAsia="宋体" w:cs="宋体"/>
                <w:sz w:val="18"/>
              </w:rPr>
            </w:pPr>
            <w:r>
              <w:rPr>
                <w:rFonts w:hint="eastAsia" w:ascii="宋体" w:hAnsi="宋体" w:eastAsia="宋体" w:cs="宋体"/>
                <w:sz w:val="18"/>
                <w:szCs w:val="18"/>
              </w:rPr>
              <w:t>B份额：业绩比较基准为2.6%(年化)。</w:t>
            </w:r>
          </w:p>
          <w:p>
            <w:pPr>
              <w:spacing w:line="200" w:lineRule="exact"/>
              <w:rPr>
                <w:rFonts w:hint="eastAsia" w:ascii="宋体" w:hAnsi="宋体" w:eastAsia="宋体" w:cs="宋体"/>
                <w:sz w:val="18"/>
              </w:rPr>
            </w:pPr>
            <w:r>
              <w:rPr>
                <w:rFonts w:hint="eastAsia" w:ascii="宋体" w:hAnsi="宋体" w:eastAsia="宋体" w:cs="宋体"/>
                <w:sz w:val="18"/>
                <w:szCs w:val="18"/>
              </w:rPr>
              <w:t>C份额：业绩比较基准为2.7%(年化)。</w:t>
            </w:r>
          </w:p>
          <w:p>
            <w:pPr>
              <w:spacing w:line="200" w:lineRule="exact"/>
              <w:rPr>
                <w:rFonts w:hint="eastAsia" w:ascii="宋体" w:hAnsi="宋体" w:eastAsia="宋体" w:cs="宋体"/>
                <w:b w:val="0"/>
                <w:sz w:val="18"/>
              </w:rPr>
            </w:pPr>
            <w:r>
              <w:rPr>
                <w:rFonts w:hint="eastAsia" w:ascii="宋体" w:hAnsi="宋体" w:eastAsia="宋体" w:cs="宋体"/>
                <w:b w:val="0"/>
                <w:sz w:val="18"/>
                <w:szCs w:val="18"/>
              </w:rPr>
              <w:t>D份额：业绩比较基准为2.8%(年化)。</w:t>
            </w:r>
          </w:p>
          <w:p>
            <w:pPr>
              <w:spacing w:line="200" w:lineRule="exact"/>
              <w:rPr>
                <w:rFonts w:hint="eastAsia" w:ascii="宋体" w:hAnsi="宋体" w:eastAsia="宋体" w:cs="宋体"/>
                <w:sz w:val="18"/>
              </w:rPr>
            </w:pPr>
            <w:r>
              <w:rPr>
                <w:rFonts w:hint="eastAsia" w:ascii="宋体" w:hAnsi="宋体" w:eastAsia="宋体" w:cs="宋体"/>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bCs/>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认/申购费：本理财产品暂不收取认/申购费。</w:t>
            </w:r>
          </w:p>
          <w:p>
            <w:pPr>
              <w:spacing w:line="200" w:lineRule="exact"/>
              <w:rPr>
                <w:rFonts w:hint="eastAsia" w:ascii="宋体" w:hAnsi="宋体" w:eastAsia="宋体" w:cs="宋体"/>
                <w:sz w:val="18"/>
              </w:rPr>
            </w:pPr>
            <w:r>
              <w:rPr>
                <w:rFonts w:hint="eastAsia" w:ascii="宋体" w:hAnsi="宋体" w:eastAsia="宋体" w:cs="宋体"/>
                <w:b/>
                <w:sz w:val="18"/>
                <w:szCs w:val="18"/>
              </w:rPr>
              <w:t>赎回费：本理财产品暂不收取赎回费。</w:t>
            </w:r>
          </w:p>
          <w:p>
            <w:pPr>
              <w:spacing w:line="200" w:lineRule="exact"/>
              <w:rPr>
                <w:rFonts w:hint="eastAsia" w:ascii="宋体" w:hAnsi="宋体" w:eastAsia="宋体" w:cs="宋体"/>
                <w:sz w:val="18"/>
              </w:rPr>
            </w:pPr>
            <w:r>
              <w:rPr>
                <w:rFonts w:hint="eastAsia" w:ascii="宋体" w:hAnsi="宋体" w:eastAsia="宋体" w:cs="宋体"/>
                <w:b/>
                <w:sz w:val="18"/>
                <w:szCs w:val="18"/>
              </w:rPr>
              <w:t>销售费：本理财产品按前一日理财产品资产净值收取销售费，按日计提。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A份额：销售费年化0.2%</w:t>
            </w:r>
          </w:p>
          <w:p>
            <w:pPr>
              <w:spacing w:line="200" w:lineRule="exact"/>
              <w:rPr>
                <w:rFonts w:hint="eastAsia" w:ascii="宋体" w:hAnsi="宋体" w:eastAsia="宋体" w:cs="宋体"/>
                <w:sz w:val="18"/>
              </w:rPr>
            </w:pPr>
            <w:r>
              <w:rPr>
                <w:rFonts w:hint="eastAsia" w:ascii="宋体" w:hAnsi="宋体" w:eastAsia="宋体" w:cs="宋体"/>
                <w:b/>
                <w:sz w:val="18"/>
                <w:szCs w:val="18"/>
              </w:rPr>
              <w:t>B份额：销售费年化0.15%</w:t>
            </w:r>
          </w:p>
          <w:p>
            <w:pPr>
              <w:spacing w:line="200" w:lineRule="exact"/>
              <w:rPr>
                <w:rFonts w:hint="eastAsia" w:ascii="宋体" w:hAnsi="宋体" w:eastAsia="宋体" w:cs="宋体"/>
                <w:sz w:val="18"/>
              </w:rPr>
            </w:pPr>
            <w:r>
              <w:rPr>
                <w:rFonts w:hint="eastAsia" w:ascii="宋体" w:hAnsi="宋体" w:eastAsia="宋体" w:cs="宋体"/>
                <w:b/>
                <w:sz w:val="18"/>
                <w:szCs w:val="18"/>
              </w:rPr>
              <w:t>C份额：销售费年化0.05%</w:t>
            </w:r>
          </w:p>
          <w:p>
            <w:pPr>
              <w:spacing w:line="200" w:lineRule="exact"/>
              <w:rPr>
                <w:rFonts w:hint="eastAsia" w:ascii="宋体" w:hAnsi="宋体" w:eastAsia="宋体" w:cs="宋体"/>
                <w:sz w:val="18"/>
              </w:rPr>
            </w:pPr>
            <w:r>
              <w:rPr>
                <w:rFonts w:hint="eastAsia" w:ascii="宋体" w:hAnsi="宋体" w:eastAsia="宋体" w:cs="宋体"/>
                <w:b/>
                <w:sz w:val="18"/>
                <w:szCs w:val="18"/>
              </w:rPr>
              <w:t>D份额：销售费年化0%</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每日计提的销售费=前一日理财产品资产净值×年化销售费率÷365</w:t>
            </w:r>
          </w:p>
          <w:p>
            <w:pPr>
              <w:spacing w:line="200" w:lineRule="exact"/>
              <w:rPr>
                <w:rFonts w:hint="eastAsia" w:ascii="宋体" w:hAnsi="宋体" w:eastAsia="宋体" w:cs="宋体"/>
                <w:sz w:val="18"/>
              </w:rPr>
            </w:pPr>
            <w:r>
              <w:rPr>
                <w:rFonts w:hint="eastAsia" w:ascii="宋体" w:hAnsi="宋体" w:eastAsia="宋体" w:cs="宋体"/>
                <w:b/>
                <w:sz w:val="18"/>
                <w:szCs w:val="18"/>
              </w:rPr>
              <w:t>固定管理费：本理财产品按前一日理财产品资产净值收取固定管理费，按日计提。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A份额：固定管理费年化0.2%</w:t>
            </w:r>
          </w:p>
          <w:p>
            <w:pPr>
              <w:spacing w:line="200" w:lineRule="exact"/>
              <w:rPr>
                <w:rFonts w:hint="eastAsia" w:ascii="宋体" w:hAnsi="宋体" w:eastAsia="宋体" w:cs="宋体"/>
                <w:sz w:val="18"/>
              </w:rPr>
            </w:pPr>
            <w:r>
              <w:rPr>
                <w:rFonts w:hint="eastAsia" w:ascii="宋体" w:hAnsi="宋体" w:eastAsia="宋体" w:cs="宋体"/>
                <w:b/>
                <w:sz w:val="18"/>
                <w:szCs w:val="18"/>
              </w:rPr>
              <w:t>B份额：固定管理费年化0.15%</w:t>
            </w:r>
          </w:p>
          <w:p>
            <w:pPr>
              <w:spacing w:line="200" w:lineRule="exact"/>
              <w:rPr>
                <w:rFonts w:hint="eastAsia" w:ascii="宋体" w:hAnsi="宋体" w:eastAsia="宋体" w:cs="宋体"/>
                <w:sz w:val="18"/>
              </w:rPr>
            </w:pPr>
            <w:r>
              <w:rPr>
                <w:rFonts w:hint="eastAsia" w:ascii="宋体" w:hAnsi="宋体" w:eastAsia="宋体" w:cs="宋体"/>
                <w:b/>
                <w:sz w:val="18"/>
                <w:szCs w:val="18"/>
              </w:rPr>
              <w:t>C份额：固定管理费年化0.15%</w:t>
            </w:r>
          </w:p>
          <w:p>
            <w:pPr>
              <w:spacing w:line="200" w:lineRule="exact"/>
              <w:rPr>
                <w:rFonts w:hint="eastAsia" w:ascii="宋体" w:hAnsi="宋体" w:eastAsia="宋体" w:cs="宋体"/>
                <w:sz w:val="18"/>
              </w:rPr>
            </w:pPr>
            <w:r>
              <w:rPr>
                <w:rFonts w:hint="eastAsia" w:ascii="宋体" w:hAnsi="宋体" w:eastAsia="宋体" w:cs="宋体"/>
                <w:b/>
                <w:sz w:val="18"/>
                <w:szCs w:val="18"/>
              </w:rPr>
              <w:t>D份额：固定管理费年化0.1%</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每日计提的固定管理费=前一日理财产品资产净值×年化固定管理费率÷365</w:t>
            </w:r>
          </w:p>
          <w:p>
            <w:pPr>
              <w:spacing w:line="200" w:lineRule="exact"/>
              <w:rPr>
                <w:rFonts w:hint="eastAsia" w:ascii="宋体" w:hAnsi="宋体" w:eastAsia="宋体" w:cs="宋体"/>
                <w:sz w:val="18"/>
              </w:rPr>
            </w:pPr>
            <w:r>
              <w:rPr>
                <w:rFonts w:hint="eastAsia" w:ascii="宋体" w:hAnsi="宋体" w:eastAsia="宋体" w:cs="宋体"/>
                <w:b/>
                <w:sz w:val="18"/>
                <w:szCs w:val="18"/>
              </w:rPr>
              <w:t>托管费：本理财产品按前一日理财产品资产净值收取年化0.02%的托管费，按日计提。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每日计提的托管费=前一日理财产品资产净值×年化托管费率÷365</w:t>
            </w:r>
          </w:p>
          <w:p>
            <w:pPr>
              <w:spacing w:line="200" w:lineRule="exact"/>
              <w:rPr>
                <w:rFonts w:hint="eastAsia" w:ascii="宋体" w:hAnsi="宋体" w:eastAsia="宋体" w:cs="宋体"/>
                <w:sz w:val="18"/>
              </w:rPr>
            </w:pPr>
            <w:r>
              <w:rPr>
                <w:rFonts w:hint="eastAsia" w:ascii="宋体" w:hAnsi="宋体" w:eastAsia="宋体" w:cs="宋体"/>
                <w:b/>
                <w:sz w:val="18"/>
                <w:szCs w:val="18"/>
              </w:rPr>
              <w:t>业绩报酬：</w:t>
            </w:r>
          </w:p>
          <w:p>
            <w:pPr>
              <w:spacing w:line="200" w:lineRule="exact"/>
              <w:rPr>
                <w:rFonts w:hint="eastAsia" w:ascii="宋体" w:hAnsi="宋体" w:eastAsia="宋体" w:cs="宋体"/>
                <w:sz w:val="18"/>
              </w:rPr>
            </w:pPr>
            <w:r>
              <w:rPr>
                <w:rFonts w:hint="eastAsia" w:ascii="宋体" w:hAnsi="宋体" w:eastAsia="宋体" w:cs="宋体"/>
                <w:b/>
                <w:sz w:val="18"/>
                <w:szCs w:val="18"/>
              </w:rPr>
              <w:t>A份额：到期兑付时，当期产品投资的实际资产组合收益（扣除销售费、固定管理费、托管费等相关费用）超过2.5%（年化，即产品该份额对应的业绩报酬计提基准）时，超过部分管理人将按60%收取业绩报酬。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lang w:eastAsia="zh-CN"/>
              </w:rPr>
              <w:t>A份额：业绩比较基准为2.5%(年化)。</w:t>
            </w:r>
            <w:r>
              <w:rPr>
                <w:rFonts w:hint="eastAsia" w:ascii="宋体" w:hAnsi="宋体" w:eastAsia="宋体" w:cs="宋体"/>
                <w:b/>
                <w:sz w:val="18"/>
                <w:szCs w:val="18"/>
              </w:rPr>
              <w:t>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rPr>
                <w:rFonts w:hint="eastAsia" w:ascii="宋体" w:hAnsi="宋体" w:eastAsia="宋体" w:cs="宋体"/>
                <w:sz w:val="18"/>
              </w:rPr>
            </w:pPr>
            <w:r>
              <w:rPr>
                <w:rFonts w:hint="eastAsia" w:ascii="宋体" w:hAnsi="宋体" w:eastAsia="宋体"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注：1.根据财政部《资产管理产品相关会计处理规定》（财会〔2022〕14号）“将当期发生的管理人报酬计入当期损益”的相关规定，本理财产品将每日计提暂估的业绩报酬（如有）。</w:t>
            </w:r>
          </w:p>
          <w:p>
            <w:pPr>
              <w:spacing w:line="200" w:lineRule="exact"/>
              <w:rPr>
                <w:rFonts w:hint="eastAsia" w:ascii="宋体" w:hAnsi="宋体" w:eastAsia="宋体" w:cs="宋体"/>
                <w:sz w:val="18"/>
              </w:rPr>
            </w:pPr>
            <w:r>
              <w:rPr>
                <w:rFonts w:hint="eastAsia" w:ascii="宋体" w:hAnsi="宋体" w:eastAsia="宋体"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rPr>
                <w:rFonts w:hint="eastAsia" w:ascii="宋体" w:hAnsi="宋体" w:eastAsia="宋体" w:cs="宋体"/>
                <w:sz w:val="18"/>
              </w:rPr>
            </w:pPr>
            <w:r>
              <w:rPr>
                <w:rFonts w:hint="eastAsia" w:ascii="宋体" w:hAnsi="宋体" w:eastAsia="宋体" w:cs="宋体"/>
                <w:b/>
                <w:sz w:val="18"/>
                <w:szCs w:val="18"/>
              </w:rPr>
              <w:t>计算本区间业绩报酬的公式如下：</w:t>
            </w:r>
          </w:p>
          <w:p>
            <w:pPr>
              <w:spacing w:line="200" w:lineRule="exact"/>
              <w:rPr>
                <w:rFonts w:hint="eastAsia" w:ascii="宋体" w:hAnsi="宋体" w:eastAsia="宋体" w:cs="宋体"/>
                <w:sz w:val="18"/>
              </w:rPr>
            </w:pPr>
            <w:r>
              <w:rPr>
                <w:rFonts w:hint="eastAsia" w:ascii="宋体" w:hAnsi="宋体" w:eastAsia="宋体" w:cs="宋体"/>
                <w:b/>
                <w:sz w:val="18"/>
                <w:szCs w:val="18"/>
              </w:rPr>
              <w:t>A={B-C*D*(1+E*F/365)}*G。</w:t>
            </w:r>
          </w:p>
          <w:p>
            <w:pPr>
              <w:spacing w:line="200" w:lineRule="exact"/>
              <w:rPr>
                <w:rFonts w:hint="eastAsia" w:ascii="宋体" w:hAnsi="宋体" w:eastAsia="宋体" w:cs="宋体"/>
                <w:sz w:val="18"/>
              </w:rPr>
            </w:pPr>
            <w:r>
              <w:rPr>
                <w:rFonts w:hint="eastAsia" w:ascii="宋体" w:hAnsi="宋体" w:eastAsia="宋体"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bl>
    <w:p>
      <w:pPr>
        <w:adjustRightInd/>
        <w:snapToGrid/>
        <w:spacing w:after="0"/>
        <w:ind w:firstLine="630"/>
        <w:jc w:val="center"/>
        <w:rPr>
          <w:rFonts w:ascii="仿宋_GB2312" w:hAnsi="微软雅黑" w:eastAsia="仿宋_GB2312" w:cs="宋体"/>
          <w:color w:val="FF0000"/>
          <w:sz w:val="32"/>
          <w:szCs w:val="32"/>
        </w:rPr>
      </w:pPr>
      <w:r>
        <w:rPr>
          <w:rFonts w:hint="eastAsia" w:ascii="仿宋_GB2312" w:hAnsi="微软雅黑" w:eastAsia="仿宋_GB2312" w:cs="宋体"/>
          <w:color w:val="FF0000"/>
          <w:sz w:val="32"/>
          <w:szCs w:val="32"/>
        </w:rPr>
        <w:t>（更多具体要素请详阅产品说明书）</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注意事项：</w:t>
      </w:r>
    </w:p>
    <w:p>
      <w:pPr>
        <w:ind w:firstLine="640" w:firstLineChars="200"/>
        <w:rPr>
          <w:rFonts w:ascii="微软雅黑" w:hAnsi="微软雅黑" w:cs="宋体"/>
          <w:color w:val="000000"/>
          <w:sz w:val="30"/>
          <w:szCs w:val="30"/>
        </w:rPr>
      </w:pPr>
      <w:r>
        <w:rPr>
          <w:rFonts w:hint="eastAsia" w:ascii="仿宋_GB2312" w:hAnsi="微软雅黑" w:eastAsia="仿宋_GB2312" w:cs="宋体"/>
          <w:color w:val="000000"/>
          <w:sz w:val="32"/>
          <w:szCs w:val="32"/>
        </w:rPr>
        <w:t>1.该产品销售要求参照我行自营理财销售相关规定执行。</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2.相关产品销售文件见附件。</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3.</w:t>
      </w:r>
      <w:r>
        <w:rPr>
          <w:rFonts w:hint="eastAsia" w:ascii="仿宋_GB2312" w:hAnsi="微软雅黑" w:eastAsia="仿宋_GB2312" w:cs="宋体"/>
          <w:color w:val="FF0000"/>
          <w:sz w:val="32"/>
          <w:szCs w:val="32"/>
        </w:rPr>
        <w:t>紫金农商银行对本产品的风险评级为中低风险</w:t>
      </w:r>
      <w:r>
        <w:rPr>
          <w:rFonts w:ascii="仿宋_GB2312" w:hAnsi="微软雅黑" w:eastAsia="仿宋_GB2312" w:cs="宋体"/>
          <w:color w:val="FF0000"/>
          <w:sz w:val="32"/>
          <w:szCs w:val="32"/>
        </w:rPr>
        <w:t>。</w:t>
      </w:r>
    </w:p>
    <w:p>
      <w:pPr>
        <w:adjustRightInd/>
        <w:snapToGrid/>
        <w:spacing w:after="0"/>
        <w:ind w:firstLine="361" w:firstLineChars="200"/>
        <w:rPr>
          <w:rFonts w:hint="eastAsia" w:ascii="宋体" w:hAnsi="宋体" w:eastAsia="宋体" w:cs="宋体"/>
          <w:b/>
          <w:color w:val="000000"/>
          <w:sz w:val="18"/>
          <w:szCs w:val="32"/>
          <w:lang w:eastAsia="zh-CN"/>
        </w:rPr>
      </w:pPr>
      <w:bookmarkStart w:id="0" w:name="_GoBack"/>
      <w:r>
        <w:rPr>
          <w:rFonts w:hint="eastAsia" w:ascii="宋体" w:hAnsi="宋体" w:eastAsia="宋体" w:cs="宋体"/>
          <w:b/>
          <w:color w:val="000000"/>
          <w:sz w:val="18"/>
          <w:szCs w:val="32"/>
          <w:lang w:eastAsia="zh-CN"/>
        </w:rPr>
        <w:t>逸稳半年101期封闭式公募人民币理财产品风险揭示书</w:t>
      </w:r>
    </w:p>
    <w:p>
      <w:pPr>
        <w:adjustRightInd/>
        <w:snapToGrid/>
        <w:spacing w:after="0"/>
        <w:ind w:firstLine="361" w:firstLineChars="200"/>
        <w:rPr>
          <w:rFonts w:hint="eastAsia" w:ascii="宋体" w:hAnsi="宋体" w:eastAsia="宋体" w:cs="宋体"/>
          <w:b/>
          <w:color w:val="000000"/>
          <w:sz w:val="18"/>
          <w:szCs w:val="32"/>
          <w:lang w:eastAsia="zh-CN"/>
        </w:rPr>
      </w:pPr>
      <w:r>
        <w:rPr>
          <w:rFonts w:hint="eastAsia" w:ascii="宋体" w:hAnsi="宋体" w:eastAsia="宋体" w:cs="宋体"/>
          <w:b/>
          <w:color w:val="000000"/>
          <w:sz w:val="18"/>
          <w:szCs w:val="32"/>
          <w:lang w:eastAsia="zh-CN"/>
        </w:rPr>
        <w:t>2.南银理财珠联璧合鑫逸稳半年101期封闭式公募人民币理财产品说明书</w:t>
      </w:r>
    </w:p>
    <w:p>
      <w:pPr>
        <w:adjustRightInd/>
        <w:snapToGrid/>
        <w:spacing w:after="0"/>
        <w:ind w:firstLine="361" w:firstLineChars="200"/>
        <w:rPr>
          <w:rFonts w:hint="eastAsia" w:ascii="宋体" w:hAnsi="宋体" w:eastAsia="宋体" w:cs="宋体"/>
          <w:b/>
          <w:color w:val="000000"/>
          <w:sz w:val="18"/>
          <w:szCs w:val="32"/>
          <w:lang w:eastAsia="zh-CN"/>
        </w:rPr>
      </w:pPr>
      <w:r>
        <w:rPr>
          <w:rFonts w:hint="eastAsia" w:ascii="宋体" w:hAnsi="宋体" w:eastAsia="宋体" w:cs="宋体"/>
          <w:b/>
          <w:color w:val="000000"/>
          <w:sz w:val="18"/>
          <w:szCs w:val="32"/>
          <w:lang w:eastAsia="zh-CN"/>
        </w:rPr>
        <w:t>3.南银理财产品销售协议书</w:t>
      </w:r>
    </w:p>
    <w:p>
      <w:pPr>
        <w:adjustRightInd/>
        <w:snapToGrid/>
        <w:spacing w:after="0"/>
        <w:ind w:firstLine="361" w:firstLineChars="200"/>
        <w:rPr>
          <w:rFonts w:hint="eastAsia" w:ascii="宋体" w:hAnsi="宋体" w:eastAsia="宋体" w:cs="宋体"/>
          <w:b/>
          <w:color w:val="000000"/>
          <w:sz w:val="18"/>
          <w:szCs w:val="32"/>
          <w:lang w:eastAsia="zh-CN"/>
        </w:rPr>
      </w:pPr>
      <w:r>
        <w:rPr>
          <w:rFonts w:hint="eastAsia" w:ascii="宋体" w:hAnsi="宋体" w:eastAsia="宋体" w:cs="宋体"/>
          <w:b/>
          <w:color w:val="000000"/>
          <w:sz w:val="18"/>
          <w:szCs w:val="32"/>
          <w:lang w:eastAsia="zh-CN"/>
        </w:rPr>
        <w:t>A份额：销售费年化0.2%4.南银理财投资者权益须知</w:t>
      </w:r>
    </w:p>
    <w:p>
      <w:pPr>
        <w:adjustRightInd/>
        <w:snapToGrid/>
        <w:spacing w:after="0"/>
        <w:ind w:firstLine="361" w:firstLineChars="200"/>
        <w:rPr>
          <w:rFonts w:hint="eastAsia" w:ascii="宋体" w:hAnsi="宋体" w:eastAsia="宋体" w:cs="宋体"/>
          <w:b/>
          <w:color w:val="000000"/>
          <w:sz w:val="18"/>
          <w:szCs w:val="32"/>
          <w:lang w:eastAsia="zh-CN"/>
        </w:rPr>
      </w:pPr>
      <w:r>
        <w:rPr>
          <w:rFonts w:hint="eastAsia" w:ascii="宋体" w:hAnsi="宋体" w:eastAsia="宋体" w:cs="宋体"/>
          <w:b/>
          <w:color w:val="000000"/>
          <w:sz w:val="18"/>
          <w:szCs w:val="32"/>
          <w:lang w:eastAsia="zh-CN"/>
        </w:rPr>
        <w:t>5.南银理财产品投资协议书</w:t>
      </w:r>
    </w:p>
    <w:p>
      <w:pPr>
        <w:adjustRightInd/>
        <w:snapToGrid/>
        <w:spacing w:after="0"/>
        <w:ind w:firstLine="361" w:firstLineChars="200"/>
        <w:rPr>
          <w:rFonts w:hint="eastAsia" w:ascii="宋体" w:hAnsi="宋体" w:eastAsia="宋体" w:cs="宋体"/>
          <w:b/>
          <w:color w:val="000000"/>
          <w:sz w:val="18"/>
          <w:szCs w:val="32"/>
          <w:lang w:val="en-US"/>
        </w:rPr>
      </w:pPr>
      <w:r>
        <w:rPr>
          <w:rFonts w:hint="eastAsia" w:ascii="宋体" w:hAnsi="宋体" w:eastAsia="宋体" w:cs="宋体"/>
          <w:b/>
          <w:color w:val="000000"/>
          <w:sz w:val="18"/>
          <w:szCs w:val="32"/>
          <w:lang w:eastAsia="zh-CN"/>
        </w:rPr>
        <w:t>6.机构客户理财风险承受能力评估表</w:t>
      </w:r>
      <w:r>
        <w:rPr>
          <w:rFonts w:hint="eastAsia" w:ascii="宋体" w:hAnsi="宋体" w:eastAsia="宋体" w:cs="宋体"/>
          <w:b/>
          <w:color w:val="000000"/>
          <w:sz w:val="18"/>
          <w:szCs w:val="32"/>
          <w:lang w:val="en-US"/>
        </w:rPr>
        <w:t xml:space="preserve"> </w:t>
      </w:r>
    </w:p>
    <w:p>
      <w:pPr>
        <w:adjustRightInd/>
        <w:snapToGrid/>
        <w:spacing w:after="0"/>
        <w:jc w:val="right"/>
        <w:rPr>
          <w:rFonts w:hint="eastAsia" w:ascii="宋体" w:hAnsi="宋体" w:eastAsia="宋体" w:cs="宋体"/>
          <w:b/>
          <w:color w:val="000000"/>
          <w:sz w:val="18"/>
          <w:szCs w:val="32"/>
          <w:lang w:val="en-US" w:eastAsia="zh-CN"/>
        </w:rPr>
      </w:pPr>
      <w:r>
        <w:rPr>
          <w:rFonts w:hint="eastAsia" w:ascii="宋体" w:hAnsi="宋体" w:eastAsia="宋体" w:cs="宋体"/>
          <w:b/>
          <w:color w:val="000000"/>
          <w:sz w:val="18"/>
          <w:szCs w:val="32"/>
          <w:lang w:val="en-US" w:eastAsia="zh-CN"/>
        </w:rPr>
        <w:t>A份额：固定管理费年化0.2%9日</w:t>
      </w:r>
    </w:p>
    <w:bookmarkEnd w:id="0"/>
    <w:sectPr>
      <w:headerReference r:id="rId5" w:type="default"/>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黑体_GBK">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ind w:right="34"/>
      <w:jc w:val="right"/>
      <w:rPr>
        <w:rFonts w:ascii="宋体" w:hAnsi="宋体" w:eastAsia="宋体" w:cs="宋体"/>
        <w:sz w:val="18"/>
        <w:szCs w:val="18"/>
      </w:rPr>
    </w:pPr>
    <w:r>
      <w:rPr>
        <w:rFonts w:ascii="Arial" w:hAnsi="Arial" w:eastAsia="Arial" w:cs="Arial"/>
        <w:sz w:val="21"/>
        <w:szCs w:val="21"/>
      </w:rPr>
      <w:pict>
        <v:shape id="_x0000_s71682" o:spid="_x0000_s71682" style="position:absolute;left:0pt;margin-left:88.6pt;margin-top:55.2pt;height:0.5pt;width:418.3pt;mso-position-horizontal-relative:page;mso-position-vertical-relative:page;z-index:251659264;mso-width-relative:page;mso-height-relative:page;" fillcolor="#000000" filled="t" stroked="f" coordsize="8365,10" o:allowincell="f" path="m0,9l8365,9,8365,0,0,0,0,9xe">
          <v:path/>
          <v:fill on="t" focussize="0,0"/>
          <v:stroke on="f"/>
          <v:imagedata o:title=""/>
          <o:lock v:ext="edit"/>
        </v:shape>
      </w:pict>
    </w:r>
    <w:r>
      <w:rPr>
        <w:rFonts w:ascii="宋体" w:hAnsi="宋体" w:eastAsia="宋体" w:cs="宋体"/>
        <w:spacing w:val="6"/>
        <w:sz w:val="18"/>
        <w:szCs w:val="18"/>
      </w:rPr>
      <w:t>南银理财</w:t>
    </w:r>
    <w:r>
      <w:rPr>
        <w:rFonts w:ascii="宋体" w:hAnsi="宋体" w:eastAsia="宋体" w:cs="宋体"/>
        <w:spacing w:val="5"/>
        <w:sz w:val="18"/>
        <w:szCs w:val="18"/>
      </w:rPr>
      <w:t>理</w:t>
    </w:r>
    <w:r>
      <w:rPr>
        <w:rFonts w:ascii="宋体" w:hAnsi="宋体" w:eastAsia="宋体" w:cs="宋体"/>
        <w:spacing w:val="3"/>
        <w:sz w:val="18"/>
        <w:szCs w:val="18"/>
      </w:rPr>
      <w:t>财产品销售文件(</w:t>
    </w:r>
    <w:r>
      <w:rPr>
        <w:rFonts w:ascii="Times New Roman" w:hAnsi="Times New Roman" w:eastAsia="Times New Roman" w:cs="Times New Roman"/>
        <w:spacing w:val="3"/>
        <w:sz w:val="18"/>
        <w:szCs w:val="18"/>
      </w:rPr>
      <w:t>2021</w:t>
    </w:r>
    <w:r>
      <w:rPr>
        <w:rFonts w:ascii="宋体" w:hAnsi="宋体" w:eastAsia="宋体" w:cs="宋体"/>
        <w:spacing w:val="3"/>
        <w:sz w:val="18"/>
        <w:szCs w:val="18"/>
      </w:rPr>
      <w:t>第</w:t>
    </w:r>
    <w:r>
      <w:rPr>
        <w:rFonts w:ascii="Times New Roman" w:hAnsi="Times New Roman" w:eastAsia="Times New Roman" w:cs="Times New Roman"/>
        <w:spacing w:val="3"/>
        <w:sz w:val="18"/>
        <w:szCs w:val="18"/>
      </w:rPr>
      <w:t>2</w:t>
    </w:r>
    <w:r>
      <w:rPr>
        <w:rFonts w:ascii="宋体" w:hAnsi="宋体" w:eastAsia="宋体" w:cs="宋体"/>
        <w:spacing w:val="3"/>
        <w:sz w:val="18"/>
        <w:szCs w:val="18"/>
      </w:rPr>
      <w:t>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hdrShapeDefaults>
    <o:shapelayout v:ext="edit">
      <o:idmap v:ext="edit" data="70"/>
    </o:shapelayout>
  </w:hdrShapeDefaults>
  <w:footnotePr>
    <w:footnote w:id="0"/>
    <w:footnote w:id="1"/>
  </w:footnotePr>
  <w:endnotePr>
    <w:endnote w:id="0"/>
    <w:endnote w:id="1"/>
  </w:endnotePr>
  <w:compat>
    <w:useFELayout/>
    <w:compatSetting w:name="compatibilityMode" w:uri="http://schemas.microsoft.com/office/word" w:val="12"/>
  </w:compat>
  <w:rsids>
    <w:rsidRoot w:val="00D31D50"/>
    <w:rsid w:val="000108F3"/>
    <w:rsid w:val="00010C68"/>
    <w:rsid w:val="00012652"/>
    <w:rsid w:val="00015217"/>
    <w:rsid w:val="00015DAC"/>
    <w:rsid w:val="0002233E"/>
    <w:rsid w:val="00023665"/>
    <w:rsid w:val="000263A0"/>
    <w:rsid w:val="00031FB1"/>
    <w:rsid w:val="000430CA"/>
    <w:rsid w:val="00050465"/>
    <w:rsid w:val="000547BB"/>
    <w:rsid w:val="000571BC"/>
    <w:rsid w:val="000609B0"/>
    <w:rsid w:val="0006322B"/>
    <w:rsid w:val="00067DDC"/>
    <w:rsid w:val="000729EB"/>
    <w:rsid w:val="00072D1A"/>
    <w:rsid w:val="000812F4"/>
    <w:rsid w:val="000819E6"/>
    <w:rsid w:val="000936F7"/>
    <w:rsid w:val="000957AC"/>
    <w:rsid w:val="00097209"/>
    <w:rsid w:val="000A5028"/>
    <w:rsid w:val="000D32F4"/>
    <w:rsid w:val="000E18A2"/>
    <w:rsid w:val="000E1B34"/>
    <w:rsid w:val="000E1FA9"/>
    <w:rsid w:val="000E7543"/>
    <w:rsid w:val="001005C6"/>
    <w:rsid w:val="0010440D"/>
    <w:rsid w:val="0012192B"/>
    <w:rsid w:val="001225F8"/>
    <w:rsid w:val="0013066D"/>
    <w:rsid w:val="00131A96"/>
    <w:rsid w:val="0013501E"/>
    <w:rsid w:val="00143D3D"/>
    <w:rsid w:val="00144E0E"/>
    <w:rsid w:val="00152FB9"/>
    <w:rsid w:val="00157799"/>
    <w:rsid w:val="001642B1"/>
    <w:rsid w:val="00174CF3"/>
    <w:rsid w:val="00174FC8"/>
    <w:rsid w:val="001763AA"/>
    <w:rsid w:val="001A556D"/>
    <w:rsid w:val="001A6DC6"/>
    <w:rsid w:val="001B2273"/>
    <w:rsid w:val="001B7E33"/>
    <w:rsid w:val="001F72B5"/>
    <w:rsid w:val="00201E20"/>
    <w:rsid w:val="00206F8F"/>
    <w:rsid w:val="00216E71"/>
    <w:rsid w:val="002235BC"/>
    <w:rsid w:val="002317E9"/>
    <w:rsid w:val="00232543"/>
    <w:rsid w:val="00233CED"/>
    <w:rsid w:val="00236FDA"/>
    <w:rsid w:val="002422B4"/>
    <w:rsid w:val="002513BD"/>
    <w:rsid w:val="00251BF3"/>
    <w:rsid w:val="00277323"/>
    <w:rsid w:val="002777A1"/>
    <w:rsid w:val="00283408"/>
    <w:rsid w:val="002866F6"/>
    <w:rsid w:val="0029028F"/>
    <w:rsid w:val="002B1948"/>
    <w:rsid w:val="002C248B"/>
    <w:rsid w:val="002D396F"/>
    <w:rsid w:val="002D757D"/>
    <w:rsid w:val="002E3ECB"/>
    <w:rsid w:val="002F1002"/>
    <w:rsid w:val="003059D5"/>
    <w:rsid w:val="00306FE6"/>
    <w:rsid w:val="00307430"/>
    <w:rsid w:val="00322857"/>
    <w:rsid w:val="00322F4C"/>
    <w:rsid w:val="00323B43"/>
    <w:rsid w:val="003247F8"/>
    <w:rsid w:val="00340741"/>
    <w:rsid w:val="00347193"/>
    <w:rsid w:val="00353BA9"/>
    <w:rsid w:val="003720A3"/>
    <w:rsid w:val="00376FEA"/>
    <w:rsid w:val="003813E5"/>
    <w:rsid w:val="003874C3"/>
    <w:rsid w:val="003A1933"/>
    <w:rsid w:val="003C0D6B"/>
    <w:rsid w:val="003C1D41"/>
    <w:rsid w:val="003D2F9A"/>
    <w:rsid w:val="003D37D8"/>
    <w:rsid w:val="003D4715"/>
    <w:rsid w:val="00422AD1"/>
    <w:rsid w:val="00426133"/>
    <w:rsid w:val="00426162"/>
    <w:rsid w:val="004358AB"/>
    <w:rsid w:val="00443E90"/>
    <w:rsid w:val="00450005"/>
    <w:rsid w:val="00450334"/>
    <w:rsid w:val="0045680A"/>
    <w:rsid w:val="00462F3D"/>
    <w:rsid w:val="004633B0"/>
    <w:rsid w:val="00464293"/>
    <w:rsid w:val="00476C3B"/>
    <w:rsid w:val="00484A94"/>
    <w:rsid w:val="00485549"/>
    <w:rsid w:val="0049140E"/>
    <w:rsid w:val="004A72FB"/>
    <w:rsid w:val="004B5451"/>
    <w:rsid w:val="004B5827"/>
    <w:rsid w:val="004C175A"/>
    <w:rsid w:val="004C7210"/>
    <w:rsid w:val="004D2CAE"/>
    <w:rsid w:val="005100BA"/>
    <w:rsid w:val="005168C5"/>
    <w:rsid w:val="005218F6"/>
    <w:rsid w:val="00522DB4"/>
    <w:rsid w:val="00523BDD"/>
    <w:rsid w:val="00536DF2"/>
    <w:rsid w:val="00543782"/>
    <w:rsid w:val="00556398"/>
    <w:rsid w:val="005B45CF"/>
    <w:rsid w:val="005B4703"/>
    <w:rsid w:val="005B4D07"/>
    <w:rsid w:val="005B62F6"/>
    <w:rsid w:val="005B7796"/>
    <w:rsid w:val="005C31E9"/>
    <w:rsid w:val="005C3BAB"/>
    <w:rsid w:val="005C59D9"/>
    <w:rsid w:val="005D072F"/>
    <w:rsid w:val="005D1CEE"/>
    <w:rsid w:val="005D3ACB"/>
    <w:rsid w:val="005F28C4"/>
    <w:rsid w:val="005F2B78"/>
    <w:rsid w:val="00604AF8"/>
    <w:rsid w:val="00606205"/>
    <w:rsid w:val="00607EC0"/>
    <w:rsid w:val="00610019"/>
    <w:rsid w:val="006110FC"/>
    <w:rsid w:val="00611544"/>
    <w:rsid w:val="006148C9"/>
    <w:rsid w:val="0061606F"/>
    <w:rsid w:val="006214F4"/>
    <w:rsid w:val="00633DBB"/>
    <w:rsid w:val="00656C6E"/>
    <w:rsid w:val="00664732"/>
    <w:rsid w:val="00665EFD"/>
    <w:rsid w:val="00671CB5"/>
    <w:rsid w:val="00672E93"/>
    <w:rsid w:val="00692B80"/>
    <w:rsid w:val="006A2B25"/>
    <w:rsid w:val="006A3869"/>
    <w:rsid w:val="006B534A"/>
    <w:rsid w:val="006C44CC"/>
    <w:rsid w:val="006D4378"/>
    <w:rsid w:val="006D643B"/>
    <w:rsid w:val="006F7634"/>
    <w:rsid w:val="006F7825"/>
    <w:rsid w:val="00701C74"/>
    <w:rsid w:val="0070239F"/>
    <w:rsid w:val="007248B8"/>
    <w:rsid w:val="0073205A"/>
    <w:rsid w:val="007353CA"/>
    <w:rsid w:val="0073541E"/>
    <w:rsid w:val="00740E8C"/>
    <w:rsid w:val="00741563"/>
    <w:rsid w:val="007675CD"/>
    <w:rsid w:val="00774A8F"/>
    <w:rsid w:val="00776CED"/>
    <w:rsid w:val="00783419"/>
    <w:rsid w:val="00793A91"/>
    <w:rsid w:val="00795DC6"/>
    <w:rsid w:val="007B320A"/>
    <w:rsid w:val="007C4E2D"/>
    <w:rsid w:val="007D35F2"/>
    <w:rsid w:val="007D71A4"/>
    <w:rsid w:val="00812FBA"/>
    <w:rsid w:val="00816194"/>
    <w:rsid w:val="00822531"/>
    <w:rsid w:val="008301EB"/>
    <w:rsid w:val="008316FD"/>
    <w:rsid w:val="008370FB"/>
    <w:rsid w:val="008450A8"/>
    <w:rsid w:val="008507C0"/>
    <w:rsid w:val="00854BCB"/>
    <w:rsid w:val="00867E9B"/>
    <w:rsid w:val="00884835"/>
    <w:rsid w:val="00887C39"/>
    <w:rsid w:val="00893277"/>
    <w:rsid w:val="00896D1C"/>
    <w:rsid w:val="008A6AC1"/>
    <w:rsid w:val="008B008A"/>
    <w:rsid w:val="008B272C"/>
    <w:rsid w:val="008B2745"/>
    <w:rsid w:val="008B4334"/>
    <w:rsid w:val="008B6523"/>
    <w:rsid w:val="008B7726"/>
    <w:rsid w:val="008D6E85"/>
    <w:rsid w:val="008F2B7A"/>
    <w:rsid w:val="008F7CA5"/>
    <w:rsid w:val="00903E35"/>
    <w:rsid w:val="00907309"/>
    <w:rsid w:val="00911DE1"/>
    <w:rsid w:val="0092193A"/>
    <w:rsid w:val="00921DC2"/>
    <w:rsid w:val="00932126"/>
    <w:rsid w:val="009511C5"/>
    <w:rsid w:val="00951BFC"/>
    <w:rsid w:val="00953E58"/>
    <w:rsid w:val="0096633A"/>
    <w:rsid w:val="0096677C"/>
    <w:rsid w:val="00985236"/>
    <w:rsid w:val="00986A17"/>
    <w:rsid w:val="00986BCF"/>
    <w:rsid w:val="00996AC4"/>
    <w:rsid w:val="009A6871"/>
    <w:rsid w:val="009B1BA8"/>
    <w:rsid w:val="009B2786"/>
    <w:rsid w:val="009D5354"/>
    <w:rsid w:val="009E16F2"/>
    <w:rsid w:val="009F3DF4"/>
    <w:rsid w:val="00A04EFB"/>
    <w:rsid w:val="00A12119"/>
    <w:rsid w:val="00A212F3"/>
    <w:rsid w:val="00A215C9"/>
    <w:rsid w:val="00A30CF8"/>
    <w:rsid w:val="00A320D8"/>
    <w:rsid w:val="00A33F3D"/>
    <w:rsid w:val="00A372BB"/>
    <w:rsid w:val="00A40C60"/>
    <w:rsid w:val="00A46439"/>
    <w:rsid w:val="00A6466C"/>
    <w:rsid w:val="00A656CD"/>
    <w:rsid w:val="00A6775F"/>
    <w:rsid w:val="00A726ED"/>
    <w:rsid w:val="00A838DC"/>
    <w:rsid w:val="00A84AE0"/>
    <w:rsid w:val="00A9135E"/>
    <w:rsid w:val="00AA23FA"/>
    <w:rsid w:val="00AA4E34"/>
    <w:rsid w:val="00AB6BA4"/>
    <w:rsid w:val="00AC6774"/>
    <w:rsid w:val="00AD4C9C"/>
    <w:rsid w:val="00AE6487"/>
    <w:rsid w:val="00AE6C64"/>
    <w:rsid w:val="00B01B88"/>
    <w:rsid w:val="00B100EF"/>
    <w:rsid w:val="00B11389"/>
    <w:rsid w:val="00B12517"/>
    <w:rsid w:val="00B126A7"/>
    <w:rsid w:val="00B22801"/>
    <w:rsid w:val="00B24A4C"/>
    <w:rsid w:val="00B27E33"/>
    <w:rsid w:val="00B4326E"/>
    <w:rsid w:val="00B562D4"/>
    <w:rsid w:val="00B6677A"/>
    <w:rsid w:val="00B73A10"/>
    <w:rsid w:val="00B73AC3"/>
    <w:rsid w:val="00B74951"/>
    <w:rsid w:val="00B82938"/>
    <w:rsid w:val="00B93CFE"/>
    <w:rsid w:val="00BB13C2"/>
    <w:rsid w:val="00BB5D59"/>
    <w:rsid w:val="00C00041"/>
    <w:rsid w:val="00C031DA"/>
    <w:rsid w:val="00C15704"/>
    <w:rsid w:val="00C23A87"/>
    <w:rsid w:val="00C468C3"/>
    <w:rsid w:val="00C66A8C"/>
    <w:rsid w:val="00C71423"/>
    <w:rsid w:val="00C764BE"/>
    <w:rsid w:val="00C857A9"/>
    <w:rsid w:val="00CA308C"/>
    <w:rsid w:val="00CB16FF"/>
    <w:rsid w:val="00CB29BA"/>
    <w:rsid w:val="00CC2EB3"/>
    <w:rsid w:val="00CD328F"/>
    <w:rsid w:val="00CD74BD"/>
    <w:rsid w:val="00CE384A"/>
    <w:rsid w:val="00CF46C2"/>
    <w:rsid w:val="00CF63E7"/>
    <w:rsid w:val="00D01BC1"/>
    <w:rsid w:val="00D10241"/>
    <w:rsid w:val="00D31D50"/>
    <w:rsid w:val="00D42DFD"/>
    <w:rsid w:val="00D476F9"/>
    <w:rsid w:val="00D5491D"/>
    <w:rsid w:val="00D67754"/>
    <w:rsid w:val="00D763B7"/>
    <w:rsid w:val="00D85401"/>
    <w:rsid w:val="00D97534"/>
    <w:rsid w:val="00DA293F"/>
    <w:rsid w:val="00DA473D"/>
    <w:rsid w:val="00DB267C"/>
    <w:rsid w:val="00DC02CD"/>
    <w:rsid w:val="00DC08E6"/>
    <w:rsid w:val="00DD01FE"/>
    <w:rsid w:val="00DE0EDD"/>
    <w:rsid w:val="00DE145A"/>
    <w:rsid w:val="00DF4A6E"/>
    <w:rsid w:val="00E05633"/>
    <w:rsid w:val="00E13180"/>
    <w:rsid w:val="00E148A2"/>
    <w:rsid w:val="00E14B44"/>
    <w:rsid w:val="00E161F9"/>
    <w:rsid w:val="00E210A0"/>
    <w:rsid w:val="00E342C9"/>
    <w:rsid w:val="00E35A97"/>
    <w:rsid w:val="00E4304A"/>
    <w:rsid w:val="00E4505D"/>
    <w:rsid w:val="00E45BB8"/>
    <w:rsid w:val="00E51943"/>
    <w:rsid w:val="00E63BFD"/>
    <w:rsid w:val="00E65FB9"/>
    <w:rsid w:val="00E66C57"/>
    <w:rsid w:val="00E679DB"/>
    <w:rsid w:val="00E774C6"/>
    <w:rsid w:val="00E807D3"/>
    <w:rsid w:val="00E83642"/>
    <w:rsid w:val="00EA1489"/>
    <w:rsid w:val="00EB4102"/>
    <w:rsid w:val="00EB4E98"/>
    <w:rsid w:val="00EB7C16"/>
    <w:rsid w:val="00EC780B"/>
    <w:rsid w:val="00EC7A9C"/>
    <w:rsid w:val="00EE2BF0"/>
    <w:rsid w:val="00EE50F7"/>
    <w:rsid w:val="00EF45B7"/>
    <w:rsid w:val="00EF5899"/>
    <w:rsid w:val="00F01F77"/>
    <w:rsid w:val="00F02F9C"/>
    <w:rsid w:val="00F04234"/>
    <w:rsid w:val="00F15448"/>
    <w:rsid w:val="00F21AAA"/>
    <w:rsid w:val="00F340F3"/>
    <w:rsid w:val="00F535DE"/>
    <w:rsid w:val="00F56107"/>
    <w:rsid w:val="00F634A7"/>
    <w:rsid w:val="00F805F0"/>
    <w:rsid w:val="00F957A8"/>
    <w:rsid w:val="00F97C18"/>
    <w:rsid w:val="00FA233C"/>
    <w:rsid w:val="00FC73A4"/>
    <w:rsid w:val="00FD35EB"/>
    <w:rsid w:val="00FE0475"/>
    <w:rsid w:val="00FE272F"/>
    <w:rsid w:val="00FF20E5"/>
    <w:rsid w:val="00FF3EEA"/>
    <w:rsid w:val="074A2176"/>
    <w:rsid w:val="07527F15"/>
    <w:rsid w:val="08751C13"/>
    <w:rsid w:val="0AB33FF3"/>
    <w:rsid w:val="0B432900"/>
    <w:rsid w:val="0C5B4637"/>
    <w:rsid w:val="237F01C3"/>
    <w:rsid w:val="2D804DBE"/>
    <w:rsid w:val="36E64E54"/>
    <w:rsid w:val="382814E9"/>
    <w:rsid w:val="390F553F"/>
    <w:rsid w:val="3ADC359E"/>
    <w:rsid w:val="3B550E9F"/>
    <w:rsid w:val="3E3871C6"/>
    <w:rsid w:val="431171B0"/>
    <w:rsid w:val="4B702A6C"/>
    <w:rsid w:val="54D91CDF"/>
    <w:rsid w:val="5A3469C0"/>
    <w:rsid w:val="5AEC1BD4"/>
    <w:rsid w:val="61070171"/>
    <w:rsid w:val="62527C5E"/>
    <w:rsid w:val="63F34D6C"/>
    <w:rsid w:val="66D83D00"/>
    <w:rsid w:val="6BDB2263"/>
    <w:rsid w:val="707C1407"/>
    <w:rsid w:val="77C13657"/>
    <w:rsid w:val="79E85921"/>
    <w:rsid w:val="7AF359A4"/>
    <w:rsid w:val="7C6067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Balloon Text"/>
    <w:basedOn w:val="1"/>
    <w:link w:val="14"/>
    <w:semiHidden/>
    <w:unhideWhenUsed/>
    <w:qFormat/>
    <w:uiPriority w:val="99"/>
    <w:pPr>
      <w:spacing w:after="0"/>
    </w:pPr>
    <w:rPr>
      <w:sz w:val="18"/>
      <w:szCs w:val="18"/>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5"/>
    <w:qFormat/>
    <w:uiPriority w:val="99"/>
    <w:rPr>
      <w:rFonts w:ascii="Tahoma" w:hAnsi="Tahoma"/>
      <w:sz w:val="18"/>
      <w:szCs w:val="18"/>
    </w:rPr>
  </w:style>
  <w:style w:type="character" w:customStyle="1" w:styleId="12">
    <w:name w:val="页脚 Char"/>
    <w:basedOn w:val="8"/>
    <w:link w:val="4"/>
    <w:qFormat/>
    <w:uiPriority w:val="99"/>
    <w:rPr>
      <w:rFonts w:ascii="Tahoma" w:hAnsi="Tahoma"/>
      <w:sz w:val="18"/>
      <w:szCs w:val="18"/>
    </w:rPr>
  </w:style>
  <w:style w:type="character" w:customStyle="1" w:styleId="13">
    <w:name w:val="apple-converted-space"/>
    <w:basedOn w:val="8"/>
    <w:qFormat/>
    <w:uiPriority w:val="0"/>
  </w:style>
  <w:style w:type="character" w:customStyle="1" w:styleId="14">
    <w:name w:val="批注框文本 Char"/>
    <w:basedOn w:val="8"/>
    <w:link w:val="3"/>
    <w:semiHidden/>
    <w:qFormat/>
    <w:uiPriority w:val="99"/>
    <w:rPr>
      <w:rFonts w:ascii="Tahoma" w:hAnsi="Tahoma"/>
      <w:sz w:val="18"/>
      <w:szCs w:val="18"/>
    </w:rPr>
  </w:style>
  <w:style w:type="character" w:customStyle="1" w:styleId="15">
    <w:name w:val="日期 Char"/>
    <w:basedOn w:val="8"/>
    <w:link w:val="2"/>
    <w:semiHidden/>
    <w:qFormat/>
    <w:uiPriority w:val="99"/>
    <w:rPr>
      <w:rFonts w:ascii="Tahoma" w:hAnsi="Tahoma"/>
    </w:rPr>
  </w:style>
  <w:style w:type="table" w:customStyle="1" w:styleId="16">
    <w:name w:val="Table Normal"/>
    <w:semiHidden/>
    <w:unhideWhenUsed/>
    <w:qFormat/>
    <w:uiPriority w:val="0"/>
    <w:pPr>
      <w:spacing w:after="0" w:line="240" w:lineRule="auto"/>
    </w:pPr>
    <w:rPr>
      <w:rFonts w:ascii="Arial" w:hAnsi="Arial" w:cs="Arial" w:eastAsiaTheme="minorEastAsia"/>
      <w:snapToGrid w:val="0"/>
      <w:color w:val="000000"/>
      <w:sz w:val="21"/>
      <w:szCs w:val="21"/>
    </w:rPr>
    <w:tblPr>
      <w:tblCellMar>
        <w:top w:w="0" w:type="dxa"/>
        <w:left w:w="0" w:type="dxa"/>
        <w:bottom w:w="0" w:type="dxa"/>
        <w:right w:w="0" w:type="dxa"/>
      </w:tblCellMar>
    </w:tblPr>
  </w:style>
  <w:style w:type="paragraph" w:customStyle="1" w:styleId="17">
    <w:name w:val="Normal (Web)8935f2e5"/>
    <w:next w:val="5"/>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7168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6DFE6C-F2A4-4F5F-BB65-0E9F1B7B5B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1029</Words>
  <Characters>5871</Characters>
  <Lines>48</Lines>
  <Paragraphs>13</Paragraphs>
  <TotalTime>0</TotalTime>
  <ScaleCrop>false</ScaleCrop>
  <LinksUpToDate>false</LinksUpToDate>
  <CharactersWithSpaces>6887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2023-05-23T01:55:00Z</dcterms:created>
  <dc:creator>Administrator</dc:creator>
  <cp:lastModifiedBy>User</cp:lastModifiedBy>
  <cp:lastPrinted>2022-09-15T07:23:00Z</cp:lastPrinted>
  <dcterms:modified xsi:type="dcterms:W3CDTF">2024-11-19T02:24:53Z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55B1A358E2294A458B9C1BD86FEB5CE3</vt:lpwstr>
  </property>
</Properties>
</file>