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pageBreakBefore/>
        <w:spacing w:before="0" w:beforeAutospacing="0" w:after="0" w:afterAutospacing="0" w:line="360" w:lineRule="auto"/>
        <w:jc w:val="center"/>
        <w:outlineLvl w:val="0"/>
        <w:rPr>
          <w:rFonts w:hint="eastAsia" w:ascii="楷体" w:hAnsi="楷体" w:eastAsia="楷体"/>
          <w:b/>
          <w:sz w:val="36"/>
          <w:szCs w:val="36"/>
          <w:highlight w:val="none"/>
        </w:rPr>
      </w:pPr>
      <w:r>
        <w:rPr>
          <w:rFonts w:hint="eastAsia" w:ascii="楷体" w:hAnsi="楷体" w:eastAsia="楷体"/>
          <w:b/>
          <w:sz w:val="36"/>
          <w:szCs w:val="36"/>
          <w:highlight w:val="none"/>
        </w:rPr>
        <w:t>“</w:t>
      </w:r>
      <w:r>
        <w:rPr>
          <w:rFonts w:hint="eastAsia" w:ascii="楷体" w:hAnsi="楷体" w:eastAsia="楷体"/>
          <w:b/>
          <w:sz w:val="36"/>
          <w:szCs w:val="36"/>
          <w:highlight w:val="none"/>
          <w:lang w:eastAsia="zh-CN"/>
        </w:rPr>
        <w:t>苏银理财恒源天添鑫1号</w:t>
      </w:r>
      <w:r>
        <w:rPr>
          <w:rFonts w:hint="eastAsia" w:ascii="楷体" w:hAnsi="楷体" w:eastAsia="楷体"/>
          <w:b/>
          <w:sz w:val="36"/>
          <w:szCs w:val="36"/>
          <w:highlight w:val="none"/>
        </w:rPr>
        <w:t>”理财产品风险揭示书</w:t>
      </w:r>
    </w:p>
    <w:p>
      <w:pPr>
        <w:jc w:val="center"/>
        <w:outlineLvl w:val="1"/>
        <w:rPr>
          <w:rFonts w:hint="eastAsia" w:ascii="楷体" w:hAnsi="楷体" w:eastAsia="楷体" w:cs="宋体"/>
          <w:b/>
          <w:kern w:val="0"/>
          <w:sz w:val="32"/>
          <w:szCs w:val="32"/>
          <w:highlight w:val="none"/>
        </w:rPr>
      </w:pPr>
      <w:r>
        <w:rPr>
          <w:rFonts w:hint="eastAsia" w:ascii="楷体" w:hAnsi="楷体" w:eastAsia="楷体" w:cs="宋体"/>
          <w:b/>
          <w:kern w:val="0"/>
          <w:sz w:val="32"/>
          <w:szCs w:val="32"/>
          <w:highlight w:val="none"/>
        </w:rPr>
        <w:t>理财非存款、产品有风险、投资须谨慎</w:t>
      </w:r>
    </w:p>
    <w:p>
      <w:pPr>
        <w:pStyle w:val="12"/>
        <w:spacing w:before="0" w:beforeAutospacing="0" w:after="0" w:afterAutospacing="0"/>
        <w:rPr>
          <w:rFonts w:ascii="楷体" w:hAnsi="楷体" w:eastAsia="楷体" w:cs="Times New Roman"/>
          <w:highlight w:val="none"/>
        </w:rPr>
      </w:pPr>
      <w:r>
        <w:rPr>
          <w:rFonts w:hint="eastAsia" w:ascii="楷体" w:hAnsi="楷体" w:eastAsia="楷体" w:cs="Times New Roman"/>
          <w:highlight w:val="none"/>
        </w:rPr>
        <w:t>尊敬的投资者：</w:t>
      </w:r>
    </w:p>
    <w:p>
      <w:pPr>
        <w:pStyle w:val="12"/>
        <w:spacing w:before="0" w:beforeAutospacing="0" w:after="0" w:afterAutospacing="0"/>
        <w:ind w:firstLine="480" w:firstLineChars="200"/>
        <w:rPr>
          <w:rFonts w:hint="eastAsia" w:ascii="楷体" w:hAnsi="楷体" w:eastAsia="楷体" w:cs="Times New Roman"/>
          <w:highlight w:val="none"/>
        </w:rPr>
      </w:pPr>
      <w:r>
        <w:rPr>
          <w:rFonts w:hint="eastAsia" w:ascii="楷体" w:hAnsi="楷体" w:eastAsia="楷体" w:cs="Times New Roman"/>
          <w:highlight w:val="none"/>
        </w:rPr>
        <w:t>由于理财资金在管理运用过程中可能面临多种风险因素，根据</w:t>
      </w:r>
      <w:r>
        <w:rPr>
          <w:rFonts w:hint="eastAsia" w:ascii="楷体" w:hAnsi="楷体" w:eastAsia="楷体" w:cs="Times New Roman"/>
          <w:highlight w:val="none"/>
          <w:lang w:val="en-US" w:eastAsia="zh-CN"/>
        </w:rPr>
        <w:t>国家金融监督管理总局（以下简称“金融监管总局”）</w:t>
      </w:r>
      <w:r>
        <w:rPr>
          <w:rFonts w:hint="eastAsia" w:ascii="楷体" w:hAnsi="楷体" w:eastAsia="楷体" w:cs="Times New Roman"/>
          <w:highlight w:val="none"/>
        </w:rPr>
        <w:t>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理财产品</w:t>
      </w:r>
      <w:r>
        <w:rPr>
          <w:rFonts w:hint="eastAsia" w:ascii="楷体" w:hAnsi="楷体" w:eastAsia="楷体" w:cs="Times New Roman"/>
          <w:highlight w:val="none"/>
          <w:lang w:eastAsia="zh-CN"/>
        </w:rPr>
        <w:t>（代理）销售协议</w:t>
      </w:r>
      <w:r>
        <w:rPr>
          <w:rFonts w:hint="eastAsia" w:ascii="楷体" w:hAnsi="楷体" w:eastAsia="楷体" w:cs="Times New Roman"/>
          <w:highlight w:val="none"/>
        </w:rPr>
        <w:t>书》），了解理财产品具体情况；在您购买理财产品后，请关注本理财产品的信息披露，及时获取相关信息。</w:t>
      </w:r>
    </w:p>
    <w:p>
      <w:pPr>
        <w:pStyle w:val="12"/>
        <w:spacing w:before="0" w:beforeAutospacing="0" w:after="0" w:afterAutospacing="0"/>
        <w:ind w:firstLine="480" w:firstLineChars="200"/>
        <w:rPr>
          <w:rFonts w:hint="eastAsia" w:ascii="楷体" w:hAnsi="楷体" w:eastAsia="楷体" w:cs="Times New Roman"/>
          <w:highlight w:val="none"/>
        </w:rPr>
      </w:pPr>
      <w:r>
        <w:rPr>
          <w:rFonts w:hint="eastAsia" w:ascii="楷体" w:hAnsi="楷体" w:eastAsia="楷体" w:cs="Times New Roman"/>
          <w:highlight w:val="none"/>
        </w:rPr>
        <w:t>苏银理财作为本理财产品管理人承诺以诚实信用、勤勉尽责的原则管理和运用理财产品资产，</w:t>
      </w:r>
      <w:r>
        <w:rPr>
          <w:rFonts w:hint="eastAsia" w:ascii="楷体" w:hAnsi="楷体" w:eastAsia="楷体" w:cs="Times New Roman"/>
          <w:b/>
          <w:highlight w:val="none"/>
        </w:rPr>
        <w:t>但不保证理财产品一定盈利，也不保证最低收益，极端情况下有可能会损失部分甚至全部本金。</w:t>
      </w:r>
      <w:r>
        <w:rPr>
          <w:rFonts w:hint="eastAsia" w:ascii="楷体" w:hAnsi="楷体" w:eastAsia="楷体" w:cs="Times New Roman"/>
          <w:highlight w:val="none"/>
        </w:rPr>
        <w:t>本风险揭示书旨在揭示本理财产品可能面临的各种风险，请您务必充分认识以下风险。</w:t>
      </w:r>
    </w:p>
    <w:p>
      <w:pPr>
        <w:numPr>
          <w:ilvl w:val="0"/>
          <w:numId w:val="1"/>
        </w:numPr>
        <w:tabs>
          <w:tab w:val="left" w:pos="1134"/>
        </w:tabs>
        <w:ind w:left="0" w:firstLine="560" w:firstLineChars="200"/>
        <w:outlineLvl w:val="1"/>
        <w:rPr>
          <w:rFonts w:hint="eastAsia" w:ascii="楷体" w:hAnsi="楷体" w:eastAsia="楷体"/>
          <w:sz w:val="24"/>
          <w:szCs w:val="24"/>
          <w:highlight w:val="none"/>
        </w:rPr>
      </w:pPr>
      <w:r>
        <w:rPr>
          <w:rFonts w:hint="eastAsia" w:ascii="楷体" w:hAnsi="楷体" w:eastAsia="楷体"/>
          <w:sz w:val="28"/>
          <w:szCs w:val="28"/>
          <w:highlight w:val="none"/>
        </w:rPr>
        <w:t>风险揭示</w:t>
      </w:r>
    </w:p>
    <w:p>
      <w:pPr>
        <w:pStyle w:val="12"/>
        <w:spacing w:before="0" w:beforeAutospacing="0" w:after="0" w:afterAutospacing="0"/>
        <w:ind w:firstLine="480" w:firstLineChars="200"/>
        <w:rPr>
          <w:rFonts w:hint="eastAsia" w:ascii="楷体" w:hAnsi="楷体" w:eastAsia="楷体" w:cs="Times New Roman"/>
          <w:highlight w:val="none"/>
        </w:rPr>
      </w:pPr>
      <w:r>
        <w:rPr>
          <w:rFonts w:hint="eastAsia" w:ascii="楷体" w:hAnsi="楷体" w:eastAsia="楷体" w:cs="Times New Roman"/>
          <w:highlight w:val="none"/>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rPr>
        <w:t>政策风险：</w:t>
      </w:r>
      <w:r>
        <w:rPr>
          <w:rFonts w:hint="eastAsia" w:ascii="楷体" w:hAnsi="楷体" w:eastAsia="楷体"/>
          <w:sz w:val="24"/>
          <w:szCs w:val="24"/>
          <w:highlight w:val="none"/>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b/>
          <w:sz w:val="24"/>
          <w:szCs w:val="24"/>
          <w:highlight w:val="none"/>
        </w:rPr>
      </w:pPr>
      <w:r>
        <w:rPr>
          <w:rFonts w:hint="eastAsia" w:ascii="楷体" w:hAnsi="楷体" w:eastAsia="楷体"/>
          <w:b/>
          <w:sz w:val="24"/>
          <w:szCs w:val="24"/>
          <w:highlight w:val="none"/>
        </w:rPr>
        <w:t>信用风险：</w:t>
      </w:r>
      <w:r>
        <w:rPr>
          <w:rFonts w:hint="eastAsia" w:ascii="楷体" w:hAnsi="楷体" w:eastAsia="楷体"/>
          <w:sz w:val="24"/>
          <w:szCs w:val="24"/>
          <w:highlight w:val="none"/>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rPr>
        <w:t>市场风险：</w:t>
      </w:r>
      <w:r>
        <w:rPr>
          <w:rFonts w:hint="eastAsia" w:ascii="楷体" w:hAnsi="楷体" w:eastAsia="楷体"/>
          <w:sz w:val="24"/>
          <w:szCs w:val="24"/>
          <w:highlight w:val="none"/>
        </w:rPr>
        <w:t>本理财产品投资的债券</w:t>
      </w:r>
      <w:r>
        <w:rPr>
          <w:rFonts w:hint="eastAsia" w:ascii="楷体" w:hAnsi="楷体" w:eastAsia="楷体"/>
          <w:sz w:val="24"/>
          <w:szCs w:val="24"/>
          <w:highlight w:val="none"/>
          <w:lang w:eastAsia="zh-CN"/>
        </w:rPr>
        <w:t>、</w:t>
      </w:r>
      <w:r>
        <w:rPr>
          <w:rFonts w:hint="eastAsia" w:ascii="楷体" w:hAnsi="楷体" w:eastAsia="楷体"/>
          <w:sz w:val="24"/>
          <w:szCs w:val="24"/>
          <w:highlight w:val="none"/>
          <w:lang w:val="en-US" w:eastAsia="zh-CN"/>
        </w:rPr>
        <w:t>股票</w:t>
      </w:r>
      <w:r>
        <w:rPr>
          <w:rFonts w:hint="eastAsia" w:ascii="楷体" w:hAnsi="楷体" w:eastAsia="楷体"/>
          <w:sz w:val="24"/>
          <w:szCs w:val="24"/>
          <w:highlight w:val="none"/>
        </w:rPr>
        <w:t>等资产的价格受到经济因素、政治因素、投资心理和交易制度等各种因素的影响，可能导致本理财产品资产收益水平变化，投资者可能面临本金和收益遭受部分甚至全部损失的风险。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lang w:val="en-US" w:eastAsia="zh-CN"/>
        </w:rPr>
        <w:t>本金及理财产品收益风险：</w:t>
      </w:r>
      <w:r>
        <w:rPr>
          <w:rFonts w:hint="eastAsia" w:ascii="楷体" w:hAnsi="楷体" w:eastAsia="楷体"/>
          <w:sz w:val="24"/>
          <w:szCs w:val="24"/>
          <w:highlight w:val="none"/>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2"/>
        </w:numPr>
        <w:tabs>
          <w:tab w:val="left" w:pos="993"/>
        </w:tabs>
        <w:ind w:left="0" w:firstLine="482" w:firstLineChars="200"/>
        <w:rPr>
          <w:rFonts w:hint="eastAsia" w:ascii="楷体" w:hAnsi="楷体" w:eastAsia="楷体"/>
          <w:b/>
          <w:sz w:val="24"/>
          <w:szCs w:val="24"/>
          <w:highlight w:val="none"/>
        </w:rPr>
      </w:pPr>
      <w:r>
        <w:rPr>
          <w:rFonts w:hint="eastAsia" w:ascii="楷体" w:hAnsi="楷体" w:eastAsia="楷体"/>
          <w:b/>
          <w:sz w:val="24"/>
          <w:szCs w:val="24"/>
          <w:highlight w:val="none"/>
        </w:rPr>
        <w:t>流动性风险：</w:t>
      </w:r>
      <w:r>
        <w:rPr>
          <w:rFonts w:hint="eastAsia" w:ascii="楷体" w:hAnsi="楷体" w:eastAsia="楷体"/>
          <w:b w:val="0"/>
          <w:bCs/>
          <w:sz w:val="24"/>
          <w:szCs w:val="24"/>
          <w:highlight w:val="none"/>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w:t>
      </w:r>
      <w:r>
        <w:rPr>
          <w:rFonts w:hint="eastAsia" w:ascii="楷体" w:hAnsi="楷体" w:eastAsia="楷体"/>
          <w:sz w:val="24"/>
          <w:szCs w:val="24"/>
          <w:highlight w:val="none"/>
        </w:rPr>
        <w:t>在本理财产品存续期内，投资者只能在</w:t>
      </w:r>
      <w:r>
        <w:rPr>
          <w:rFonts w:hint="eastAsia" w:ascii="楷体" w:hAnsi="楷体" w:eastAsia="楷体"/>
          <w:sz w:val="24"/>
          <w:szCs w:val="24"/>
          <w:highlight w:val="none"/>
          <w:lang w:val="en-US" w:eastAsia="zh-CN"/>
        </w:rPr>
        <w:t>理财</w:t>
      </w:r>
      <w:r>
        <w:rPr>
          <w:rFonts w:hint="eastAsia" w:ascii="楷体" w:hAnsi="楷体" w:eastAsia="楷体"/>
          <w:sz w:val="24"/>
          <w:szCs w:val="24"/>
          <w:highlight w:val="none"/>
        </w:rPr>
        <w:t>产品说明书规定的时间和条件内办理申购与赎回，这可能影响投资者的资金安排，带来流动性风险。</w:t>
      </w:r>
      <w:r>
        <w:rPr>
          <w:rFonts w:hint="eastAsia" w:ascii="楷体" w:hAnsi="楷体" w:eastAsia="楷体"/>
          <w:b/>
          <w:sz w:val="24"/>
          <w:szCs w:val="24"/>
          <w:highlight w:val="none"/>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rPr>
        <w:t>管理风险：</w:t>
      </w:r>
      <w:r>
        <w:rPr>
          <w:rFonts w:hint="eastAsia" w:ascii="楷体" w:hAnsi="楷体" w:eastAsia="楷体"/>
          <w:sz w:val="24"/>
          <w:szCs w:val="24"/>
          <w:highlight w:val="none"/>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rPr>
        <w:t>操作风险：</w:t>
      </w:r>
      <w:r>
        <w:rPr>
          <w:rFonts w:hint="eastAsia" w:ascii="楷体" w:hAnsi="楷体" w:eastAsia="楷体"/>
          <w:sz w:val="24"/>
          <w:szCs w:val="24"/>
          <w:highlight w:val="none"/>
        </w:rPr>
        <w:t>如本理财产品管理人由于内部作业、人员管理、系统操作及事务处理不当或失误等，则投资者可能面临本金和收益遭受部分甚至全部损失的风险。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rPr>
        <w:t>产品不成立风险：</w:t>
      </w:r>
      <w:r>
        <w:rPr>
          <w:rFonts w:hint="eastAsia" w:ascii="楷体" w:hAnsi="楷体" w:eastAsia="楷体"/>
          <w:sz w:val="24"/>
          <w:szCs w:val="24"/>
          <w:highlight w:val="none"/>
        </w:rPr>
        <w:t>如果因募集规模低于说明书约定的最低规模或其他因素导致本理财产品不能成立的情形，苏银理财有权宣布该理财产品不成立，投资者将面临再投资风险。</w:t>
      </w:r>
    </w:p>
    <w:p>
      <w:pPr>
        <w:numPr>
          <w:ilvl w:val="0"/>
          <w:numId w:val="2"/>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rPr>
        <w:t>延期兑付风险：</w:t>
      </w:r>
      <w:r>
        <w:rPr>
          <w:rFonts w:hint="eastAsia" w:ascii="楷体" w:hAnsi="楷体" w:eastAsia="楷体"/>
          <w:sz w:val="24"/>
          <w:szCs w:val="24"/>
          <w:highlight w:val="none"/>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rPr>
        <w:t>提前终止风险：</w:t>
      </w:r>
      <w:r>
        <w:rPr>
          <w:rFonts w:hint="eastAsia" w:ascii="楷体" w:hAnsi="楷体" w:eastAsia="楷体"/>
          <w:sz w:val="24"/>
          <w:szCs w:val="24"/>
          <w:highlight w:val="none"/>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rPr>
        <w:t>信息传递风险：</w:t>
      </w:r>
      <w:r>
        <w:rPr>
          <w:rFonts w:hint="eastAsia" w:ascii="楷体" w:hAnsi="楷体" w:eastAsia="楷体"/>
          <w:sz w:val="24"/>
          <w:szCs w:val="24"/>
          <w:highlight w:val="none"/>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rPr>
        <w:t>税务风险：</w:t>
      </w:r>
      <w:r>
        <w:rPr>
          <w:rFonts w:hint="eastAsia" w:ascii="楷体" w:hAnsi="楷体" w:eastAsia="楷体"/>
          <w:sz w:val="24"/>
          <w:szCs w:val="24"/>
          <w:highlight w:val="none"/>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净值或实际收益降低，从而降低产品投资人的收益水平。</w:t>
      </w:r>
    </w:p>
    <w:p>
      <w:pPr>
        <w:numPr>
          <w:ilvl w:val="0"/>
          <w:numId w:val="2"/>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rPr>
        <w:t>代销风险</w:t>
      </w:r>
      <w:r>
        <w:rPr>
          <w:rFonts w:hint="eastAsia" w:ascii="楷体" w:hAnsi="楷体" w:eastAsia="楷体"/>
          <w:b/>
          <w:sz w:val="24"/>
          <w:szCs w:val="24"/>
          <w:highlight w:val="none"/>
          <w:lang w:eastAsia="zh-CN"/>
        </w:rPr>
        <w:t>（</w:t>
      </w:r>
      <w:r>
        <w:rPr>
          <w:rFonts w:hint="eastAsia" w:ascii="楷体" w:hAnsi="楷体" w:eastAsia="楷体"/>
          <w:b/>
          <w:sz w:val="24"/>
          <w:szCs w:val="24"/>
          <w:highlight w:val="none"/>
          <w:lang w:val="en-US" w:eastAsia="zh-CN"/>
        </w:rPr>
        <w:t>如有）</w:t>
      </w:r>
      <w:r>
        <w:rPr>
          <w:rFonts w:hint="eastAsia" w:ascii="楷体" w:hAnsi="楷体" w:eastAsia="楷体"/>
          <w:b/>
          <w:sz w:val="24"/>
          <w:szCs w:val="24"/>
          <w:highlight w:val="none"/>
        </w:rPr>
        <w:t>：</w:t>
      </w:r>
      <w:r>
        <w:rPr>
          <w:rFonts w:hint="eastAsia" w:ascii="楷体" w:hAnsi="楷体" w:eastAsia="楷体"/>
          <w:b w:val="0"/>
          <w:bCs/>
          <w:sz w:val="24"/>
          <w:szCs w:val="24"/>
          <w:highlight w:val="none"/>
          <w:lang w:val="en-US" w:eastAsia="zh-CN"/>
        </w:rPr>
        <w:t>如</w:t>
      </w:r>
      <w:r>
        <w:rPr>
          <w:rFonts w:hint="eastAsia" w:ascii="楷体" w:hAnsi="楷体" w:eastAsia="楷体"/>
          <w:sz w:val="24"/>
          <w:szCs w:val="24"/>
          <w:highlight w:val="none"/>
        </w:rPr>
        <w:t>本产品通过代销渠道（非产品管理人自有渠道）销售，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bCs/>
          <w:sz w:val="24"/>
          <w:szCs w:val="24"/>
          <w:highlight w:val="none"/>
        </w:rPr>
        <w:t>理财产品的份额类别差异风险：</w:t>
      </w:r>
      <w:r>
        <w:rPr>
          <w:rFonts w:hint="eastAsia" w:ascii="楷体" w:hAnsi="楷体" w:eastAsia="楷体"/>
          <w:sz w:val="24"/>
          <w:szCs w:val="24"/>
          <w:highlight w:val="none"/>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2"/>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rPr>
        <w:t>不可抗力风险：</w:t>
      </w:r>
      <w:r>
        <w:rPr>
          <w:rFonts w:hint="eastAsia" w:ascii="楷体" w:hAnsi="楷体" w:eastAsia="楷体"/>
          <w:sz w:val="24"/>
          <w:szCs w:val="24"/>
          <w:highlight w:val="none"/>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82" w:firstLineChars="200"/>
        <w:rPr>
          <w:rFonts w:hint="eastAsia" w:ascii="楷体" w:hAnsi="楷体" w:eastAsia="楷体"/>
          <w:b/>
          <w:sz w:val="24"/>
          <w:szCs w:val="24"/>
          <w:highlight w:val="none"/>
        </w:rPr>
      </w:pPr>
      <w:r>
        <w:rPr>
          <w:rFonts w:hint="eastAsia" w:ascii="楷体" w:hAnsi="楷体" w:eastAsia="楷体"/>
          <w:b/>
          <w:sz w:val="24"/>
          <w:szCs w:val="24"/>
          <w:highlight w:val="none"/>
        </w:rPr>
        <w:t>特定投资标的风险：</w:t>
      </w:r>
    </w:p>
    <w:p>
      <w:pPr>
        <w:numPr>
          <w:ilvl w:val="0"/>
          <w:numId w:val="3"/>
        </w:numPr>
        <w:tabs>
          <w:tab w:val="left" w:pos="742"/>
        </w:tabs>
        <w:ind w:left="900" w:leftChars="0" w:hanging="420" w:firstLineChars="0"/>
        <w:outlineLvl w:val="2"/>
        <w:rPr>
          <w:rFonts w:hint="eastAsia" w:ascii="楷体" w:hAnsi="楷体" w:eastAsia="楷体"/>
          <w:sz w:val="24"/>
          <w:szCs w:val="24"/>
          <w:highlight w:val="none"/>
        </w:rPr>
      </w:pPr>
      <w:r>
        <w:rPr>
          <w:rFonts w:hint="eastAsia" w:ascii="楷体" w:hAnsi="楷体" w:eastAsia="楷体"/>
          <w:sz w:val="24"/>
          <w:szCs w:val="24"/>
          <w:highlight w:val="none"/>
        </w:rPr>
        <w:t>债券投资的特殊风险</w:t>
      </w:r>
      <w:r>
        <w:rPr>
          <w:rFonts w:hint="eastAsia" w:ascii="楷体" w:hAnsi="楷体" w:eastAsia="楷体"/>
          <w:sz w:val="24"/>
          <w:szCs w:val="24"/>
          <w:highlight w:val="none"/>
          <w:lang w:eastAsia="zh-CN"/>
        </w:rPr>
        <w:t>：</w:t>
      </w:r>
    </w:p>
    <w:p>
      <w:pPr>
        <w:numPr>
          <w:ilvl w:val="0"/>
          <w:numId w:val="4"/>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市场平均利率水平变化导致债券价格变化的风险。</w:t>
      </w:r>
    </w:p>
    <w:p>
      <w:pPr>
        <w:numPr>
          <w:ilvl w:val="0"/>
          <w:numId w:val="4"/>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债券市场不同期限、不同类别债券之间的利差变动导致相应期限和类别债券价格变化的风险。</w:t>
      </w:r>
    </w:p>
    <w:p>
      <w:pPr>
        <w:numPr>
          <w:ilvl w:val="0"/>
          <w:numId w:val="4"/>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4"/>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债券发行人、担保人出现违约拒绝支付到期本息，或由于债券发行人、担保人信用质量降低导致债券价格下降及无法收回投资收益的风险。</w:t>
      </w:r>
    </w:p>
    <w:p>
      <w:pPr>
        <w:numPr>
          <w:ilvl w:val="0"/>
          <w:numId w:val="4"/>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与信用等级较高的债券相比，投资于信用等级较低的债券将因为发行主体的偿还债务能力略低、受不利经济环境的影响更大以及违约风险更高等原因而面临更大的投资风险。</w:t>
      </w:r>
    </w:p>
    <w:p>
      <w:pPr>
        <w:numPr>
          <w:ilvl w:val="0"/>
          <w:numId w:val="4"/>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900" w:leftChars="0" w:hanging="420" w:firstLineChars="0"/>
        <w:outlineLvl w:val="2"/>
        <w:rPr>
          <w:rFonts w:hint="eastAsia" w:ascii="楷体" w:hAnsi="楷体" w:eastAsia="楷体" w:cs="Times New Roman"/>
          <w:sz w:val="24"/>
          <w:szCs w:val="24"/>
        </w:rPr>
      </w:pPr>
      <w:r>
        <w:rPr>
          <w:rFonts w:hint="eastAsia" w:ascii="楷体" w:hAnsi="楷体" w:eastAsia="楷体"/>
          <w:sz w:val="24"/>
          <w:szCs w:val="24"/>
          <w:highlight w:val="none"/>
          <w:lang w:val="en-US" w:eastAsia="zh-CN"/>
        </w:rPr>
        <w:t>股票</w:t>
      </w:r>
      <w:r>
        <w:rPr>
          <w:rFonts w:hint="eastAsia" w:ascii="楷体" w:hAnsi="楷体" w:eastAsia="楷体" w:cs="Times New Roman"/>
          <w:sz w:val="24"/>
          <w:szCs w:val="24"/>
        </w:rPr>
        <w:t>投资的特殊风险：</w:t>
      </w:r>
    </w:p>
    <w:p>
      <w:pPr>
        <w:numPr>
          <w:ilvl w:val="0"/>
          <w:numId w:val="5"/>
        </w:numPr>
        <w:tabs>
          <w:tab w:val="left" w:pos="1092"/>
        </w:tabs>
        <w:ind w:left="0" w:firstLine="480" w:firstLineChars="200"/>
        <w:rPr>
          <w:rFonts w:hint="eastAsia" w:ascii="楷体" w:hAnsi="楷体" w:eastAsia="楷体" w:cs="Times New Roman"/>
          <w:sz w:val="24"/>
          <w:szCs w:val="24"/>
        </w:rPr>
      </w:pPr>
      <w:r>
        <w:rPr>
          <w:rFonts w:hint="eastAsia" w:ascii="楷体" w:hAnsi="楷体" w:eastAsia="楷体" w:cs="Times New Roman"/>
          <w:sz w:val="24"/>
          <w:szCs w:val="24"/>
        </w:rPr>
        <w:t>国家货币政策、财政政策、产业政策等的变化对证券市场产生一定的影响，导致市场价格水平波动的风险。</w:t>
      </w:r>
    </w:p>
    <w:p>
      <w:pPr>
        <w:numPr>
          <w:ilvl w:val="0"/>
          <w:numId w:val="5"/>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cs="Times New Roman"/>
          <w:sz w:val="24"/>
          <w:szCs w:val="24"/>
        </w:rPr>
        <w:t>宏观经济运行周期性波动，对股票市场的收益水平产生影响的风险</w:t>
      </w:r>
      <w:r>
        <w:rPr>
          <w:rFonts w:hint="eastAsia" w:ascii="楷体" w:hAnsi="楷体" w:eastAsia="楷体" w:cs="Times New Roman"/>
          <w:sz w:val="24"/>
          <w:szCs w:val="24"/>
          <w:lang w:eastAsia="zh-CN"/>
        </w:rPr>
        <w:t>。</w:t>
      </w:r>
    </w:p>
    <w:p>
      <w:pPr>
        <w:numPr>
          <w:ilvl w:val="0"/>
          <w:numId w:val="5"/>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cs="Times New Roman"/>
          <w:sz w:val="24"/>
          <w:szCs w:val="24"/>
        </w:rPr>
        <w:t>上市公司的经营状况受多种因素影响，如市场、技术、竞争、管理、财务等都会导致公司盈利发生变化，从而导致股票价格变动的风险</w:t>
      </w:r>
      <w:r>
        <w:rPr>
          <w:rFonts w:hint="eastAsia" w:ascii="楷体" w:hAnsi="楷体" w:eastAsia="楷体"/>
          <w:sz w:val="24"/>
          <w:szCs w:val="24"/>
          <w:highlight w:val="none"/>
        </w:rPr>
        <w:t>。</w:t>
      </w:r>
    </w:p>
    <w:p>
      <w:pPr>
        <w:numPr>
          <w:ilvl w:val="0"/>
          <w:numId w:val="3"/>
        </w:numPr>
        <w:tabs>
          <w:tab w:val="left" w:pos="742"/>
        </w:tabs>
        <w:ind w:left="900" w:leftChars="0" w:hanging="420" w:firstLineChars="0"/>
        <w:outlineLvl w:val="2"/>
        <w:rPr>
          <w:rFonts w:hint="eastAsia" w:ascii="楷体" w:hAnsi="楷体" w:eastAsia="楷体"/>
          <w:sz w:val="24"/>
          <w:szCs w:val="24"/>
          <w:highlight w:val="none"/>
        </w:rPr>
      </w:pPr>
      <w:r>
        <w:rPr>
          <w:rFonts w:hint="eastAsia" w:ascii="楷体" w:hAnsi="楷体" w:eastAsia="楷体"/>
          <w:sz w:val="24"/>
          <w:szCs w:val="24"/>
          <w:highlight w:val="none"/>
        </w:rPr>
        <w:t>相关资产管理计划或基金份额的特殊风险：</w:t>
      </w:r>
    </w:p>
    <w:p>
      <w:pPr>
        <w:numPr>
          <w:ilvl w:val="0"/>
          <w:numId w:val="6"/>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6"/>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资产管理计划或基金产品可能出现因为某种原因而被提前终止的情况，由此可能会造成对本理财产品投资收益的影响。</w:t>
      </w:r>
    </w:p>
    <w:p>
      <w:pPr>
        <w:numPr>
          <w:ilvl w:val="0"/>
          <w:numId w:val="6"/>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pStyle w:val="12"/>
        <w:spacing w:before="0" w:beforeAutospacing="0" w:after="0" w:afterAutospacing="0"/>
        <w:ind w:firstLine="482" w:firstLineChars="200"/>
        <w:rPr>
          <w:rFonts w:hint="eastAsia" w:ascii="楷体" w:hAnsi="楷体" w:eastAsia="楷体"/>
          <w:b/>
          <w:highlight w:val="none"/>
          <w:u w:val="single"/>
        </w:rPr>
      </w:pPr>
      <w:r>
        <w:rPr>
          <w:rFonts w:hint="eastAsia" w:ascii="楷体" w:hAnsi="楷体" w:eastAsia="楷体"/>
          <w:b/>
          <w:highlight w:val="none"/>
          <w:u w:val="single"/>
        </w:rPr>
        <w:t>上述风险揭示事项仅为列举性质，未能详尽列明投资者参与本理财产品所面临的全部风险和可能导致投资者资产损失的所有因素。在您签署本理财产品的理财产品</w:t>
      </w:r>
      <w:r>
        <w:rPr>
          <w:rFonts w:hint="eastAsia" w:ascii="楷体" w:hAnsi="楷体" w:eastAsia="楷体"/>
          <w:b/>
          <w:highlight w:val="none"/>
          <w:u w:val="single"/>
          <w:lang w:eastAsia="zh-CN"/>
        </w:rPr>
        <w:t>（代理）销售协议</w:t>
      </w:r>
      <w:r>
        <w:rPr>
          <w:rFonts w:hint="eastAsia" w:ascii="楷体" w:hAnsi="楷体" w:eastAsia="楷体"/>
          <w:b/>
          <w:highlight w:val="none"/>
          <w:u w:val="single"/>
        </w:rPr>
        <w:t>书前，应当仔细阅读风险揭示书、理财产品说明书、投资者权益须知、理财产品投资协议书及理财产品</w:t>
      </w:r>
      <w:r>
        <w:rPr>
          <w:rFonts w:hint="eastAsia" w:ascii="楷体" w:hAnsi="楷体" w:eastAsia="楷体"/>
          <w:b/>
          <w:highlight w:val="none"/>
          <w:u w:val="single"/>
          <w:lang w:eastAsia="zh-CN"/>
        </w:rPr>
        <w:t>（代理）销售协议</w:t>
      </w:r>
      <w:r>
        <w:rPr>
          <w:rFonts w:hint="eastAsia" w:ascii="楷体" w:hAnsi="楷体" w:eastAsia="楷体"/>
          <w:b/>
          <w:highlight w:val="none"/>
          <w:u w:val="single"/>
        </w:rPr>
        <w:t>书的全部内容，同时向销售机构了解本理财产品的其他相关信息，并自己独立作出是否认购本理财产品的决定。</w:t>
      </w:r>
    </w:p>
    <w:p>
      <w:pPr>
        <w:pStyle w:val="12"/>
        <w:spacing w:before="0" w:beforeAutospacing="0" w:after="0" w:afterAutospacing="0"/>
        <w:ind w:firstLine="482" w:firstLineChars="200"/>
        <w:rPr>
          <w:rFonts w:hint="eastAsia" w:ascii="楷体" w:hAnsi="楷体" w:eastAsia="楷体"/>
          <w:b/>
          <w:highlight w:val="none"/>
          <w:u w:val="single"/>
        </w:rPr>
      </w:pPr>
      <w:r>
        <w:rPr>
          <w:rFonts w:hint="eastAsia" w:ascii="楷体" w:hAnsi="楷体" w:eastAsia="楷体"/>
          <w:b/>
          <w:highlight w:val="none"/>
          <w:u w:val="single"/>
        </w:rPr>
        <w:t>如影响您的风险承受能力的因素发生变化，请及时完成风险承受能力评估。</w:t>
      </w:r>
    </w:p>
    <w:p>
      <w:pPr>
        <w:numPr>
          <w:ilvl w:val="0"/>
          <w:numId w:val="1"/>
        </w:numPr>
        <w:tabs>
          <w:tab w:val="left" w:pos="1134"/>
        </w:tabs>
        <w:ind w:left="0" w:firstLine="560" w:firstLineChars="200"/>
        <w:outlineLvl w:val="1"/>
        <w:rPr>
          <w:rFonts w:ascii="楷体" w:hAnsi="楷体" w:eastAsia="楷体"/>
          <w:sz w:val="28"/>
          <w:szCs w:val="28"/>
          <w:highlight w:val="none"/>
        </w:rPr>
      </w:pPr>
      <w:r>
        <w:rPr>
          <w:rFonts w:hint="eastAsia" w:ascii="楷体" w:hAnsi="楷体" w:eastAsia="楷体"/>
          <w:sz w:val="28"/>
          <w:szCs w:val="28"/>
          <w:highlight w:val="none"/>
        </w:rPr>
        <w:t>投资者提示</w:t>
      </w:r>
    </w:p>
    <w:p>
      <w:pPr>
        <w:numPr>
          <w:ilvl w:val="0"/>
          <w:numId w:val="7"/>
        </w:numPr>
        <w:tabs>
          <w:tab w:val="left" w:pos="742"/>
        </w:tabs>
        <w:ind w:left="0" w:firstLine="482" w:firstLineChars="200"/>
        <w:rPr>
          <w:rFonts w:ascii="楷体" w:hAnsi="楷体" w:eastAsia="楷体"/>
          <w:b/>
          <w:sz w:val="24"/>
          <w:szCs w:val="24"/>
          <w:highlight w:val="none"/>
          <w:u w:val="single"/>
        </w:rPr>
      </w:pPr>
      <w:r>
        <w:rPr>
          <w:rFonts w:hint="eastAsia" w:ascii="楷体" w:hAnsi="楷体" w:eastAsia="楷体"/>
          <w:b/>
          <w:sz w:val="24"/>
          <w:szCs w:val="24"/>
          <w:highlight w:val="none"/>
          <w:u w:val="single"/>
        </w:rPr>
        <w:t>本理财产品不保证本金及收益，您的本金可能因市场变动或者交易违约等事项而蒙受相应损失，在最不利的情况下甚至可能损失全部本金。投资者应充分认识投资风险，谨慎投资。</w:t>
      </w:r>
    </w:p>
    <w:p>
      <w:pPr>
        <w:numPr>
          <w:ilvl w:val="0"/>
          <w:numId w:val="7"/>
        </w:numPr>
        <w:tabs>
          <w:tab w:val="left" w:pos="742"/>
        </w:tabs>
        <w:ind w:left="0" w:firstLine="482" w:firstLineChars="200"/>
        <w:rPr>
          <w:rFonts w:ascii="楷体" w:hAnsi="楷体" w:eastAsia="楷体"/>
          <w:b/>
          <w:sz w:val="24"/>
          <w:szCs w:val="24"/>
          <w:highlight w:val="none"/>
          <w:u w:val="single"/>
        </w:rPr>
      </w:pPr>
      <w:r>
        <w:rPr>
          <w:rFonts w:hint="eastAsia" w:ascii="楷体" w:hAnsi="楷体" w:eastAsia="楷体"/>
          <w:b/>
          <w:sz w:val="24"/>
          <w:szCs w:val="24"/>
          <w:highlight w:val="none"/>
          <w:u w:val="single"/>
        </w:rPr>
        <w:t>本理财产品过往业绩不代表其未来表现，不等于理财产品实际收益，投资须谨慎。理财非存款、产品有风险、投资须谨慎。</w:t>
      </w:r>
    </w:p>
    <w:p>
      <w:pPr>
        <w:numPr>
          <w:ilvl w:val="0"/>
          <w:numId w:val="7"/>
        </w:numPr>
        <w:tabs>
          <w:tab w:val="left" w:pos="742"/>
        </w:tabs>
        <w:ind w:left="0" w:firstLine="482" w:firstLineChars="200"/>
        <w:rPr>
          <w:rFonts w:ascii="楷体" w:hAnsi="楷体" w:eastAsia="楷体"/>
          <w:b/>
          <w:sz w:val="24"/>
          <w:szCs w:val="24"/>
          <w:highlight w:val="none"/>
          <w:u w:val="single"/>
        </w:rPr>
      </w:pPr>
      <w:r>
        <w:rPr>
          <w:rFonts w:hint="eastAsia" w:ascii="楷体" w:hAnsi="楷体" w:eastAsia="楷体"/>
          <w:b/>
          <w:sz w:val="24"/>
          <w:szCs w:val="24"/>
          <w:highlight w:val="none"/>
          <w:u w:val="single"/>
        </w:rPr>
        <w:t>管理人系江苏银行股份有限公司（下称"江苏银行"）全资子公司，江苏银行为管理人关联方。</w:t>
      </w:r>
      <w:r>
        <w:rPr>
          <w:rFonts w:hint="eastAsia" w:ascii="楷体" w:hAnsi="楷体" w:eastAsia="楷体"/>
          <w:b/>
          <w:sz w:val="24"/>
          <w:szCs w:val="24"/>
          <w:highlight w:val="none"/>
          <w:u w:val="single"/>
          <w:lang w:val="en-US" w:eastAsia="zh-CN"/>
        </w:rPr>
        <w:t>如</w:t>
      </w:r>
      <w:r>
        <w:rPr>
          <w:rFonts w:hint="eastAsia" w:ascii="楷体" w:hAnsi="楷体" w:eastAsia="楷体"/>
          <w:b/>
          <w:sz w:val="24"/>
          <w:szCs w:val="24"/>
          <w:highlight w:val="none"/>
          <w:u w:val="single"/>
        </w:rPr>
        <w:t>本理财产品销售机构</w:t>
      </w:r>
      <w:r>
        <w:rPr>
          <w:rFonts w:hint="eastAsia" w:ascii="楷体" w:hAnsi="楷体" w:eastAsia="楷体"/>
          <w:b/>
          <w:sz w:val="24"/>
          <w:szCs w:val="24"/>
          <w:highlight w:val="none"/>
          <w:u w:val="single"/>
          <w:lang w:val="en-US" w:eastAsia="zh-CN"/>
        </w:rPr>
        <w:t>为</w:t>
      </w:r>
      <w:r>
        <w:rPr>
          <w:rFonts w:hint="eastAsia" w:ascii="楷体" w:hAnsi="楷体" w:eastAsia="楷体"/>
          <w:b/>
          <w:sz w:val="24"/>
          <w:szCs w:val="24"/>
          <w:highlight w:val="none"/>
          <w:u w:val="single"/>
        </w:rPr>
        <w:t>江苏银行，</w:t>
      </w:r>
      <w:r>
        <w:rPr>
          <w:rFonts w:hint="eastAsia" w:ascii="楷体" w:hAnsi="楷体" w:eastAsia="楷体"/>
          <w:b/>
          <w:sz w:val="24"/>
          <w:szCs w:val="24"/>
          <w:highlight w:val="none"/>
          <w:u w:val="single"/>
          <w:lang w:val="en-US" w:eastAsia="zh-CN"/>
        </w:rPr>
        <w:t>则</w:t>
      </w:r>
      <w:r>
        <w:rPr>
          <w:rFonts w:hint="eastAsia" w:ascii="楷体" w:hAnsi="楷体" w:eastAsia="楷体"/>
          <w:b/>
          <w:sz w:val="24"/>
          <w:szCs w:val="24"/>
          <w:highlight w:val="none"/>
          <w:u w:val="single"/>
        </w:rPr>
        <w:t>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7"/>
        </w:numPr>
        <w:tabs>
          <w:tab w:val="left" w:pos="742"/>
        </w:tabs>
        <w:ind w:left="0" w:firstLine="480" w:firstLineChars="200"/>
        <w:rPr>
          <w:rFonts w:ascii="楷体" w:hAnsi="楷体" w:eastAsia="楷体"/>
          <w:sz w:val="24"/>
          <w:szCs w:val="24"/>
          <w:highlight w:val="none"/>
        </w:rPr>
      </w:pPr>
      <w:r>
        <w:rPr>
          <w:rFonts w:hint="eastAsia" w:ascii="楷体" w:hAnsi="楷体" w:eastAsia="楷体"/>
          <w:sz w:val="24"/>
          <w:szCs w:val="24"/>
          <w:highlight w:val="none"/>
        </w:rPr>
        <w:t>本理财产品类型为</w:t>
      </w:r>
      <w:r>
        <w:rPr>
          <w:rFonts w:hint="eastAsia" w:ascii="楷体" w:hAnsi="楷体" w:eastAsia="楷体" w:cs="Calibri"/>
          <w:b/>
          <w:sz w:val="24"/>
          <w:szCs w:val="24"/>
          <w:highlight w:val="none"/>
          <w:u w:val="single"/>
        </w:rPr>
        <w:t>固定收益类、公募、开放式</w:t>
      </w:r>
      <w:r>
        <w:rPr>
          <w:rFonts w:hint="eastAsia" w:ascii="楷体" w:hAnsi="楷体" w:eastAsia="楷体"/>
          <w:sz w:val="24"/>
          <w:szCs w:val="24"/>
          <w:highlight w:val="none"/>
        </w:rPr>
        <w:t>，产品管理人对本理财产品的内部风险评级为</w:t>
      </w:r>
      <w:r>
        <w:rPr>
          <w:rFonts w:hint="eastAsia" w:ascii="楷体" w:hAnsi="楷体" w:eastAsia="楷体"/>
          <w:b/>
          <w:sz w:val="24"/>
          <w:szCs w:val="24"/>
          <w:highlight w:val="none"/>
          <w:u w:val="single"/>
        </w:rPr>
        <w:t>★★二级，适合</w:t>
      </w:r>
      <w:r>
        <w:rPr>
          <w:rFonts w:hint="eastAsia" w:ascii="楷体" w:hAnsi="楷体" w:eastAsia="楷体" w:cs="Calibri"/>
          <w:b/>
          <w:sz w:val="24"/>
          <w:szCs w:val="24"/>
          <w:highlight w:val="none"/>
          <w:u w:val="single"/>
        </w:rPr>
        <w:t>中低风险型</w:t>
      </w:r>
      <w:r>
        <w:rPr>
          <w:rFonts w:hint="eastAsia" w:ascii="楷体" w:hAnsi="楷体" w:eastAsia="楷体"/>
          <w:b/>
          <w:sz w:val="24"/>
          <w:szCs w:val="24"/>
          <w:highlight w:val="none"/>
          <w:u w:val="single"/>
        </w:rPr>
        <w:t>投资者</w:t>
      </w:r>
      <w:r>
        <w:rPr>
          <w:rFonts w:hint="eastAsia" w:ascii="楷体" w:hAnsi="楷体" w:eastAsia="楷体"/>
          <w:sz w:val="24"/>
          <w:szCs w:val="24"/>
          <w:highlight w:val="none"/>
          <w:u w:val="single"/>
        </w:rPr>
        <w:t>。</w:t>
      </w:r>
      <w:r>
        <w:rPr>
          <w:rFonts w:hint="eastAsia" w:ascii="楷体" w:hAnsi="楷体" w:eastAsia="楷体"/>
          <w:b/>
          <w:bCs/>
          <w:sz w:val="24"/>
          <w:szCs w:val="24"/>
          <w:highlight w:val="none"/>
          <w:u w:val="single"/>
        </w:rPr>
        <w:t>如本产品通过代理销售机构渠道销售，理财产品评级以代理销售机构最终披露的评级结果为准</w:t>
      </w:r>
      <w:r>
        <w:rPr>
          <w:rFonts w:hint="eastAsia" w:ascii="楷体" w:hAnsi="楷体" w:eastAsia="楷体"/>
          <w:b/>
          <w:sz w:val="24"/>
          <w:szCs w:val="24"/>
          <w:highlight w:val="none"/>
          <w:u w:val="single"/>
        </w:rPr>
        <w:t>。</w:t>
      </w:r>
    </w:p>
    <w:p>
      <w:pPr>
        <w:numPr>
          <w:ilvl w:val="0"/>
          <w:numId w:val="7"/>
        </w:numPr>
        <w:tabs>
          <w:tab w:val="left" w:pos="742"/>
        </w:tabs>
        <w:ind w:left="0" w:firstLine="480" w:firstLineChars="200"/>
        <w:rPr>
          <w:rFonts w:ascii="楷体" w:hAnsi="楷体" w:eastAsia="楷体"/>
          <w:sz w:val="24"/>
          <w:szCs w:val="24"/>
          <w:highlight w:val="none"/>
        </w:rPr>
      </w:pPr>
      <w:r>
        <w:rPr>
          <w:rFonts w:hint="eastAsia" w:ascii="楷体" w:hAnsi="楷体" w:eastAsia="楷体"/>
          <w:sz w:val="24"/>
          <w:szCs w:val="24"/>
          <w:highlight w:val="none"/>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numPr>
          <w:ilvl w:val="0"/>
          <w:numId w:val="7"/>
        </w:numPr>
        <w:tabs>
          <w:tab w:val="left" w:pos="742"/>
        </w:tabs>
        <w:ind w:left="0" w:firstLine="480" w:firstLineChars="200"/>
        <w:rPr>
          <w:rFonts w:ascii="楷体" w:hAnsi="楷体" w:eastAsia="楷体"/>
          <w:b/>
          <w:sz w:val="24"/>
          <w:szCs w:val="24"/>
          <w:highlight w:val="none"/>
        </w:rPr>
      </w:pPr>
      <w:r>
        <w:rPr>
          <w:rFonts w:hint="eastAsia" w:ascii="楷体" w:hAnsi="楷体" w:eastAsia="楷体"/>
          <w:sz w:val="24"/>
          <w:szCs w:val="24"/>
          <w:highlight w:val="none"/>
        </w:rPr>
        <w:t>本理财产品的风险揭示书、理财产品说明书、投资者权益须知、理财产品投资协议书及理财产品</w:t>
      </w:r>
      <w:r>
        <w:rPr>
          <w:rFonts w:hint="eastAsia" w:ascii="楷体" w:hAnsi="楷体" w:eastAsia="楷体"/>
          <w:sz w:val="24"/>
          <w:szCs w:val="24"/>
          <w:highlight w:val="none"/>
          <w:lang w:eastAsia="zh-CN"/>
        </w:rPr>
        <w:t>（代理）销售协议</w:t>
      </w:r>
      <w:r>
        <w:rPr>
          <w:rFonts w:hint="eastAsia" w:ascii="楷体" w:hAnsi="楷体" w:eastAsia="楷体"/>
          <w:sz w:val="24"/>
          <w:szCs w:val="24"/>
          <w:highlight w:val="none"/>
        </w:rPr>
        <w:t>书为本理财产品合同不可分割的组成部分。您签署本理财产品合同并将资金委托给苏银理财运作是您真实的意思表示。</w:t>
      </w:r>
      <w:r>
        <w:rPr>
          <w:rFonts w:hint="eastAsia" w:ascii="楷体" w:hAnsi="楷体" w:eastAsia="楷体"/>
          <w:b/>
          <w:sz w:val="24"/>
          <w:szCs w:val="24"/>
          <w:highlight w:val="none"/>
        </w:rPr>
        <w:t>您还应了解您所购买理财产品的投资风险、类型特点和投资存在的最不利投资情形：在最不利情况下，投资者甚至可能损失全部本金。示例：如投资者购买本理财产品，本金为1万元，在理财产品资产组合项下资产全部亏损的最不利情况下，理财产品1万元本金将全部损失。</w:t>
      </w:r>
    </w:p>
    <w:p>
      <w:pPr>
        <w:numPr>
          <w:ilvl w:val="0"/>
          <w:numId w:val="7"/>
        </w:numPr>
        <w:tabs>
          <w:tab w:val="left" w:pos="74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苏银理财及</w:t>
      </w:r>
      <w:r>
        <w:rPr>
          <w:rFonts w:hint="eastAsia" w:ascii="楷体" w:hAnsi="楷体" w:eastAsia="楷体"/>
          <w:sz w:val="24"/>
          <w:szCs w:val="24"/>
          <w:highlight w:val="none"/>
          <w:lang w:val="en-US" w:eastAsia="zh-CN"/>
        </w:rPr>
        <w:t>销售</w:t>
      </w:r>
      <w:r>
        <w:rPr>
          <w:rFonts w:hint="eastAsia" w:ascii="楷体" w:hAnsi="楷体" w:eastAsia="楷体"/>
          <w:sz w:val="24"/>
          <w:szCs w:val="24"/>
          <w:highlight w:val="none"/>
        </w:rPr>
        <w:t>机构将</w:t>
      </w:r>
      <w:r>
        <w:rPr>
          <w:rFonts w:hint="eastAsia" w:ascii="楷体" w:hAnsi="楷体" w:eastAsia="楷体"/>
          <w:sz w:val="24"/>
          <w:szCs w:val="24"/>
          <w:highlight w:val="none"/>
          <w:lang w:val="en-US" w:eastAsia="zh-CN"/>
        </w:rPr>
        <w:t>根据</w:t>
      </w:r>
      <w:r>
        <w:rPr>
          <w:rFonts w:hint="eastAsia" w:ascii="楷体" w:hAnsi="楷体" w:eastAsia="楷体"/>
          <w:sz w:val="24"/>
          <w:szCs w:val="24"/>
          <w:highlight w:val="none"/>
        </w:rPr>
        <w:t>相关法律、法规严格履行投资者信息保密责任，除监管机构或司法机关等有权机构外，不得对其他第三方提供任何投资者信息。</w:t>
      </w:r>
    </w:p>
    <w:p>
      <w:pPr>
        <w:autoSpaceDE w:val="0"/>
        <w:autoSpaceDN w:val="0"/>
        <w:adjustRightInd w:val="0"/>
        <w:ind w:firstLine="426" w:firstLineChars="177"/>
        <w:jc w:val="left"/>
        <w:rPr>
          <w:rFonts w:ascii="楷体" w:hAnsi="楷体" w:eastAsia="楷体" w:cs="宋体"/>
          <w:b/>
          <w:kern w:val="0"/>
          <w:sz w:val="24"/>
          <w:szCs w:val="24"/>
          <w:highlight w:val="none"/>
        </w:rPr>
      </w:pPr>
    </w:p>
    <w:p>
      <w:pPr>
        <w:pStyle w:val="12"/>
        <w:spacing w:before="0" w:beforeAutospacing="0" w:after="0" w:afterAutospacing="0" w:line="360" w:lineRule="auto"/>
        <w:ind w:left="420"/>
        <w:jc w:val="right"/>
        <w:rPr>
          <w:rFonts w:ascii="楷体" w:hAnsi="楷体" w:eastAsia="楷体"/>
          <w:b/>
          <w:highlight w:val="none"/>
        </w:rPr>
      </w:pPr>
      <w:r>
        <w:rPr>
          <w:rFonts w:hint="eastAsia" w:ascii="楷体" w:hAnsi="楷体" w:eastAsia="楷体"/>
          <w:b/>
          <w:highlight w:val="none"/>
        </w:rPr>
        <w:t>风险揭示方：苏银理财有限责任公司</w:t>
      </w:r>
    </w:p>
    <w:p>
      <w:pPr>
        <w:pStyle w:val="12"/>
        <w:spacing w:before="0" w:beforeAutospacing="0" w:after="0" w:afterAutospacing="0" w:line="360" w:lineRule="auto"/>
        <w:ind w:left="420"/>
        <w:jc w:val="center"/>
        <w:rPr>
          <w:rFonts w:hint="eastAsia" w:ascii="楷体" w:hAnsi="楷体" w:eastAsia="楷体"/>
          <w:b/>
          <w:highlight w:val="none"/>
        </w:rPr>
      </w:pPr>
      <w:r>
        <w:rPr>
          <w:rFonts w:ascii="楷体" w:hAnsi="楷体" w:eastAsia="楷体"/>
          <w:b/>
          <w:highlight w:val="none"/>
        </w:rPr>
        <w:br w:type="page"/>
      </w:r>
    </w:p>
    <w:p>
      <w:pPr>
        <w:pStyle w:val="12"/>
        <w:spacing w:before="0" w:beforeAutospacing="0" w:after="0" w:afterAutospacing="0" w:line="360" w:lineRule="auto"/>
        <w:jc w:val="center"/>
        <w:outlineLvl w:val="0"/>
        <w:rPr>
          <w:rFonts w:ascii="楷体" w:hAnsi="楷体" w:eastAsia="楷体"/>
          <w:b/>
          <w:sz w:val="36"/>
          <w:szCs w:val="36"/>
          <w:highlight w:val="none"/>
        </w:rPr>
      </w:pPr>
      <w:r>
        <w:rPr>
          <w:rFonts w:hint="eastAsia" w:ascii="楷体" w:hAnsi="楷体" w:eastAsia="楷体"/>
          <w:b/>
          <w:sz w:val="36"/>
          <w:szCs w:val="36"/>
          <w:highlight w:val="none"/>
        </w:rPr>
        <w:t>投资者风险确认函</w:t>
      </w:r>
    </w:p>
    <w:p>
      <w:pPr>
        <w:numPr>
          <w:ilvl w:val="0"/>
          <w:numId w:val="8"/>
        </w:numPr>
        <w:tabs>
          <w:tab w:val="left" w:pos="1134"/>
        </w:tabs>
        <w:ind w:firstLine="560" w:firstLineChars="200"/>
        <w:outlineLvl w:val="0"/>
        <w:rPr>
          <w:rFonts w:ascii="楷体" w:hAnsi="楷体" w:eastAsia="楷体"/>
          <w:sz w:val="28"/>
          <w:szCs w:val="28"/>
          <w:highlight w:val="none"/>
        </w:rPr>
      </w:pPr>
      <w:r>
        <w:rPr>
          <w:rFonts w:hint="eastAsia" w:ascii="楷体" w:hAnsi="楷体" w:eastAsia="楷体"/>
          <w:sz w:val="28"/>
          <w:szCs w:val="28"/>
          <w:highlight w:val="none"/>
        </w:rPr>
        <w:t>个人投资者确认</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本人确认已经收到本理财产品的风险揭示书，且已经认真阅读本理财产品完整合同（包括产品风险揭示书、理财产品说明书、投资者权益须知、理财产品投资协议书和理财产品</w:t>
      </w:r>
      <w:r>
        <w:rPr>
          <w:rFonts w:hint="eastAsia" w:ascii="楷体" w:hAnsi="楷体" w:eastAsia="楷体"/>
          <w:sz w:val="24"/>
          <w:szCs w:val="24"/>
          <w:highlight w:val="none"/>
          <w:lang w:eastAsia="zh-CN"/>
        </w:rPr>
        <w:t>（代理）销售协议</w:t>
      </w:r>
      <w:r>
        <w:rPr>
          <w:rFonts w:hint="eastAsia" w:ascii="楷体" w:hAnsi="楷体" w:eastAsia="楷体"/>
          <w:sz w:val="24"/>
          <w:szCs w:val="24"/>
          <w:highlight w:val="none"/>
        </w:rPr>
        <w:t>书），充分了解并清楚知晓理财产品的风险，愿意承担相关风险，接受本理财产品合同全部约定。本人确认理解投资本理财产品将涉及的所有风险，并将承担且有能力承担该等风险。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highlight w:val="none"/>
          <w:u w:val="single"/>
        </w:rPr>
        <w:t>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经销售机构评估，本人的风险承受能力评级结果为</w:t>
      </w:r>
      <w:r>
        <w:rPr>
          <w:rFonts w:ascii="楷体" w:hAnsi="楷体" w:eastAsia="楷体"/>
          <w:b/>
          <w:sz w:val="24"/>
          <w:szCs w:val="24"/>
          <w:highlight w:val="none"/>
        </w:rPr>
        <w:t>：</w:t>
      </w:r>
    </w:p>
    <w:p>
      <w:pPr>
        <w:rPr>
          <w:rFonts w:hint="eastAsia" w:ascii="楷体" w:hAnsi="楷体" w:eastAsia="楷体"/>
          <w:b/>
          <w:sz w:val="24"/>
          <w:szCs w:val="24"/>
          <w:highlight w:val="none"/>
        </w:rPr>
      </w:pPr>
    </w:p>
    <w:p>
      <w:pPr>
        <w:ind w:firstLine="480" w:firstLineChars="200"/>
        <w:rPr>
          <w:rFonts w:hint="eastAsia" w:ascii="楷体" w:hAnsi="楷体" w:eastAsia="楷体"/>
          <w:sz w:val="24"/>
          <w:szCs w:val="24"/>
          <w:highlight w:val="none"/>
          <w:u w:val="single"/>
        </w:rPr>
      </w:pPr>
      <w:r>
        <w:rPr>
          <w:rFonts w:hint="eastAsia" w:ascii="楷体" w:hAnsi="楷体" w:eastAsia="楷体"/>
          <w:sz w:val="24"/>
          <w:szCs w:val="24"/>
          <w:highlight w:val="none"/>
          <w:u w:val="single"/>
        </w:rPr>
        <w:t xml:space="preserve">                                        （</w:t>
      </w:r>
      <w:r>
        <w:rPr>
          <w:rFonts w:hint="eastAsia" w:ascii="楷体" w:hAnsi="楷体" w:eastAsia="楷体"/>
          <w:b/>
          <w:sz w:val="24"/>
          <w:szCs w:val="24"/>
          <w:highlight w:val="none"/>
          <w:u w:val="single"/>
        </w:rPr>
        <w:t>投资者本人填写</w:t>
      </w:r>
      <w:r>
        <w:rPr>
          <w:rFonts w:hint="eastAsia" w:ascii="楷体" w:hAnsi="楷体" w:eastAsia="楷体"/>
          <w:sz w:val="24"/>
          <w:szCs w:val="24"/>
          <w:highlight w:val="none"/>
          <w:u w:val="single"/>
        </w:rPr>
        <w:t>）</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风险承受能力不低于本理财产品的风险评级，适合购买本理财产品。如风险承受能力评估已超过一年，</w:t>
      </w:r>
      <w:r>
        <w:rPr>
          <w:rFonts w:ascii="楷体" w:hAnsi="楷体" w:eastAsia="楷体"/>
          <w:sz w:val="24"/>
          <w:szCs w:val="24"/>
          <w:highlight w:val="none"/>
        </w:rPr>
        <w:t>或</w:t>
      </w:r>
      <w:r>
        <w:rPr>
          <w:rFonts w:hint="eastAsia" w:ascii="楷体" w:hAnsi="楷体" w:eastAsia="楷体"/>
          <w:sz w:val="24"/>
          <w:szCs w:val="24"/>
          <w:highlight w:val="none"/>
        </w:rPr>
        <w:t>影响风险承受能力的因素发生变化，本人将及时完成风险承受能力的重新评估。</w:t>
      </w:r>
    </w:p>
    <w:p>
      <w:pPr>
        <w:ind w:firstLine="480" w:firstLineChars="200"/>
        <w:rPr>
          <w:rFonts w:hint="eastAsia" w:ascii="楷体" w:hAnsi="楷体" w:eastAsia="楷体"/>
          <w:b/>
          <w:sz w:val="24"/>
          <w:szCs w:val="24"/>
          <w:highlight w:val="none"/>
          <w:lang w:eastAsia="zh-CN"/>
        </w:rPr>
      </w:pPr>
      <w:r>
        <w:rPr>
          <w:rFonts w:hint="eastAsia" w:ascii="楷体" w:hAnsi="楷体" w:eastAsia="楷体"/>
          <w:sz w:val="24"/>
          <w:szCs w:val="24"/>
          <w:highlight w:val="none"/>
        </w:rPr>
        <w:t>须</w:t>
      </w:r>
      <w:r>
        <w:rPr>
          <w:rFonts w:hint="eastAsia" w:ascii="楷体" w:hAnsi="楷体" w:eastAsia="楷体"/>
          <w:b/>
          <w:sz w:val="24"/>
          <w:szCs w:val="24"/>
          <w:highlight w:val="none"/>
          <w:u w:val="single"/>
        </w:rPr>
        <w:t>投资者亲笔抄录</w:t>
      </w:r>
      <w:r>
        <w:rPr>
          <w:rFonts w:hint="eastAsia" w:ascii="楷体" w:hAnsi="楷体" w:eastAsia="楷体"/>
          <w:sz w:val="24"/>
          <w:szCs w:val="24"/>
          <w:highlight w:val="none"/>
        </w:rPr>
        <w:t>以下内容：</w:t>
      </w:r>
      <w:r>
        <w:rPr>
          <w:rFonts w:hint="eastAsia" w:ascii="楷体" w:hAnsi="楷体" w:eastAsia="楷体"/>
          <w:b/>
          <w:sz w:val="24"/>
          <w:szCs w:val="24"/>
          <w:highlight w:val="none"/>
        </w:rPr>
        <w:t>“</w:t>
      </w:r>
      <w:r>
        <w:rPr>
          <w:rFonts w:hint="eastAsia" w:ascii="楷体" w:hAnsi="楷体" w:eastAsia="楷体"/>
          <w:b/>
          <w:sz w:val="24"/>
          <w:szCs w:val="24"/>
          <w:highlight w:val="none"/>
          <w:u w:val="single"/>
        </w:rPr>
        <w:t>本人已经阅读风险揭示，愿意承担投资风险</w:t>
      </w:r>
      <w:r>
        <w:rPr>
          <w:rFonts w:hint="eastAsia" w:ascii="楷体" w:hAnsi="楷体" w:eastAsia="楷体"/>
          <w:b/>
          <w:sz w:val="24"/>
          <w:szCs w:val="24"/>
          <w:highlight w:val="none"/>
        </w:rPr>
        <w:t>”</w:t>
      </w:r>
      <w:r>
        <w:rPr>
          <w:rFonts w:hint="eastAsia" w:ascii="楷体" w:hAnsi="楷体" w:eastAsia="楷体"/>
          <w:b/>
          <w:sz w:val="24"/>
          <w:szCs w:val="24"/>
          <w:highlight w:val="none"/>
          <w:lang w:eastAsia="zh-CN"/>
        </w:rPr>
        <w:t>。</w:t>
      </w:r>
    </w:p>
    <w:p>
      <w:pPr>
        <w:rPr>
          <w:rFonts w:hint="eastAsia" w:ascii="楷体" w:hAnsi="楷体" w:eastAsia="楷体"/>
          <w:sz w:val="24"/>
          <w:szCs w:val="24"/>
          <w:highlight w:val="none"/>
          <w:u w:val="single"/>
        </w:rPr>
      </w:pPr>
    </w:p>
    <w:p>
      <w:pPr>
        <w:rPr>
          <w:rFonts w:hint="eastAsia" w:ascii="楷体" w:hAnsi="楷体" w:eastAsia="楷体"/>
          <w:sz w:val="24"/>
          <w:szCs w:val="24"/>
          <w:highlight w:val="none"/>
          <w:u w:val="single"/>
        </w:rPr>
      </w:pPr>
      <w:r>
        <w:rPr>
          <w:rFonts w:hint="eastAsia" w:ascii="楷体" w:hAnsi="楷体" w:eastAsia="楷体"/>
          <w:sz w:val="24"/>
          <w:szCs w:val="24"/>
          <w:highlight w:val="none"/>
          <w:u w:val="single"/>
        </w:rPr>
        <w:t xml:space="preserve">                                                                         </w:t>
      </w:r>
    </w:p>
    <w:p>
      <w:pPr>
        <w:rPr>
          <w:rFonts w:hint="eastAsia" w:ascii="楷体" w:hAnsi="楷体" w:eastAsia="楷体"/>
          <w:sz w:val="24"/>
          <w:szCs w:val="24"/>
          <w:highlight w:val="none"/>
        </w:rPr>
      </w:pPr>
      <w:r>
        <w:rPr>
          <w:rFonts w:hint="eastAsia" w:ascii="楷体" w:hAnsi="楷体" w:eastAsia="楷体"/>
          <w:sz w:val="24"/>
          <w:szCs w:val="24"/>
          <w:highlight w:val="none"/>
        </w:rPr>
        <w:t>个人投资者签字：</w:t>
      </w:r>
    </w:p>
    <w:p>
      <w:pPr>
        <w:ind w:firstLine="480" w:firstLineChars="200"/>
        <w:jc w:val="right"/>
        <w:rPr>
          <w:rFonts w:hint="eastAsia" w:ascii="楷体" w:hAnsi="楷体" w:eastAsia="楷体"/>
          <w:sz w:val="24"/>
          <w:szCs w:val="24"/>
          <w:highlight w:val="none"/>
        </w:rPr>
      </w:pPr>
      <w:r>
        <w:rPr>
          <w:rFonts w:hint="eastAsia" w:ascii="楷体" w:hAnsi="楷体" w:eastAsia="楷体"/>
          <w:sz w:val="24"/>
          <w:szCs w:val="24"/>
          <w:highlight w:val="none"/>
        </w:rPr>
        <w:t>年   月   日</w:t>
      </w:r>
    </w:p>
    <w:p>
      <w:pPr>
        <w:numPr>
          <w:ilvl w:val="0"/>
          <w:numId w:val="8"/>
        </w:numPr>
        <w:tabs>
          <w:tab w:val="left" w:pos="1134"/>
        </w:tabs>
        <w:ind w:firstLine="560" w:firstLineChars="200"/>
        <w:outlineLvl w:val="0"/>
        <w:rPr>
          <w:rFonts w:hint="eastAsia" w:ascii="楷体" w:hAnsi="楷体" w:eastAsia="楷体"/>
          <w:sz w:val="28"/>
          <w:szCs w:val="28"/>
          <w:highlight w:val="none"/>
        </w:rPr>
      </w:pPr>
      <w:r>
        <w:rPr>
          <w:rFonts w:hint="eastAsia" w:ascii="楷体" w:hAnsi="楷体" w:eastAsia="楷体"/>
          <w:sz w:val="28"/>
          <w:szCs w:val="28"/>
          <w:highlight w:val="none"/>
        </w:rPr>
        <w:t>机构投资者确认</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lang w:val="en-US" w:eastAsia="zh-CN"/>
        </w:rPr>
        <w:t>投资者</w:t>
      </w:r>
      <w:r>
        <w:rPr>
          <w:rFonts w:ascii="楷体" w:hAnsi="楷体" w:eastAsia="楷体"/>
          <w:sz w:val="24"/>
          <w:szCs w:val="24"/>
          <w:highlight w:val="none"/>
        </w:rPr>
        <w:t>声明：投资决策系由本</w:t>
      </w:r>
      <w:r>
        <w:rPr>
          <w:rFonts w:hint="eastAsia" w:ascii="楷体" w:hAnsi="楷体" w:eastAsia="楷体"/>
          <w:sz w:val="24"/>
          <w:szCs w:val="24"/>
          <w:highlight w:val="none"/>
        </w:rPr>
        <w:t>机构</w:t>
      </w:r>
      <w:r>
        <w:rPr>
          <w:rFonts w:ascii="楷体" w:hAnsi="楷体" w:eastAsia="楷体"/>
          <w:sz w:val="24"/>
          <w:szCs w:val="24"/>
          <w:highlight w:val="none"/>
        </w:rPr>
        <w:t>独立、自主、谨慎做出，本</w:t>
      </w:r>
      <w:r>
        <w:rPr>
          <w:rFonts w:hint="eastAsia" w:ascii="楷体" w:hAnsi="楷体" w:eastAsia="楷体"/>
          <w:sz w:val="24"/>
          <w:szCs w:val="24"/>
          <w:highlight w:val="none"/>
        </w:rPr>
        <w:t>机构已经收到本理财产品的风险揭示书，且已经认真阅读本理财产品完整合同（包括风险揭示书、理财产品说明书、投资者权益须知、理财产品投资协议书和理财产品</w:t>
      </w:r>
      <w:r>
        <w:rPr>
          <w:rFonts w:hint="eastAsia" w:ascii="楷体" w:hAnsi="楷体" w:eastAsia="楷体"/>
          <w:sz w:val="24"/>
          <w:szCs w:val="24"/>
          <w:highlight w:val="none"/>
          <w:lang w:eastAsia="zh-CN"/>
        </w:rPr>
        <w:t>（代理）销售协议</w:t>
      </w:r>
      <w:r>
        <w:rPr>
          <w:rFonts w:hint="eastAsia" w:ascii="楷体" w:hAnsi="楷体" w:eastAsia="楷体"/>
          <w:sz w:val="24"/>
          <w:szCs w:val="24"/>
          <w:highlight w:val="none"/>
        </w:rPr>
        <w:t>书）</w:t>
      </w:r>
      <w:r>
        <w:rPr>
          <w:rFonts w:ascii="楷体" w:hAnsi="楷体" w:eastAsia="楷体"/>
          <w:sz w:val="24"/>
          <w:szCs w:val="24"/>
          <w:highlight w:val="none"/>
        </w:rPr>
        <w:t>，充分认识该理财产品的特征、风险和投资者相关权利义务条款，完全理解并自愿接受</w:t>
      </w:r>
      <w:r>
        <w:rPr>
          <w:rFonts w:hint="eastAsia" w:ascii="楷体" w:hAnsi="楷体" w:eastAsia="楷体"/>
          <w:sz w:val="24"/>
          <w:szCs w:val="24"/>
          <w:highlight w:val="none"/>
        </w:rPr>
        <w:t>。</w:t>
      </w:r>
      <w:r>
        <w:rPr>
          <w:rFonts w:hint="eastAsia" w:ascii="楷体" w:hAnsi="楷体" w:eastAsia="楷体"/>
          <w:b/>
          <w:bCs/>
          <w:sz w:val="24"/>
          <w:szCs w:val="24"/>
          <w:highlight w:val="none"/>
          <w:u w:val="single"/>
        </w:rPr>
        <w:t>本机构承诺理财购买资金来源合法合规，本机构将配合管理人及销售机构开展反洗钱、反恐怖融资及非居民金融账户涉税信息尽职调查等工作。</w:t>
      </w:r>
    </w:p>
    <w:p>
      <w:pPr>
        <w:rPr>
          <w:rFonts w:hint="eastAsia" w:ascii="楷体" w:hAnsi="楷体" w:eastAsia="楷体"/>
          <w:sz w:val="24"/>
          <w:szCs w:val="24"/>
          <w:highlight w:val="none"/>
        </w:rPr>
      </w:pPr>
    </w:p>
    <w:p>
      <w:pPr>
        <w:rPr>
          <w:rFonts w:hint="eastAsia" w:ascii="楷体" w:hAnsi="楷体" w:eastAsia="楷体"/>
          <w:sz w:val="24"/>
          <w:szCs w:val="24"/>
          <w:highlight w:val="none"/>
        </w:rPr>
      </w:pPr>
      <w:r>
        <w:rPr>
          <w:rFonts w:hint="eastAsia" w:ascii="楷体" w:hAnsi="楷体" w:eastAsia="楷体"/>
          <w:sz w:val="24"/>
          <w:szCs w:val="24"/>
          <w:highlight w:val="none"/>
        </w:rPr>
        <w:t>机构投资者（盖章）：</w:t>
      </w:r>
    </w:p>
    <w:p>
      <w:pPr>
        <w:rPr>
          <w:rFonts w:ascii="楷体" w:hAnsi="楷体" w:eastAsia="楷体"/>
          <w:sz w:val="24"/>
          <w:szCs w:val="24"/>
          <w:highlight w:val="none"/>
        </w:rPr>
      </w:pPr>
    </w:p>
    <w:p>
      <w:pPr>
        <w:rPr>
          <w:rFonts w:hint="eastAsia" w:ascii="楷体" w:hAnsi="楷体" w:eastAsia="楷体" w:cs="Times New Roman"/>
          <w:sz w:val="24"/>
          <w:szCs w:val="24"/>
          <w:highlight w:val="none"/>
        </w:rPr>
      </w:pPr>
      <w:r>
        <w:rPr>
          <w:rFonts w:hint="eastAsia" w:ascii="楷体" w:hAnsi="楷体" w:eastAsia="楷体" w:cs="Times New Roman"/>
          <w:sz w:val="24"/>
          <w:szCs w:val="24"/>
          <w:highlight w:val="none"/>
        </w:rPr>
        <w:t>机构投资者法定代表人或授权代表（签字或盖章）</w:t>
      </w:r>
    </w:p>
    <w:p>
      <w:pPr>
        <w:rPr>
          <w:rFonts w:hint="eastAsia" w:ascii="楷体" w:hAnsi="楷体" w:eastAsia="楷体"/>
          <w:highlight w:val="none"/>
        </w:rPr>
      </w:pPr>
    </w:p>
    <w:p>
      <w:pPr>
        <w:jc w:val="right"/>
        <w:rPr>
          <w:rFonts w:hint="eastAsia" w:ascii="楷体" w:hAnsi="楷体" w:eastAsia="楷体"/>
          <w:sz w:val="24"/>
          <w:szCs w:val="24"/>
          <w:highlight w:val="none"/>
        </w:rPr>
      </w:pPr>
      <w:r>
        <w:rPr>
          <w:rFonts w:hint="eastAsia" w:ascii="楷体" w:hAnsi="楷体" w:eastAsia="楷体"/>
          <w:sz w:val="24"/>
          <w:szCs w:val="24"/>
          <w:highlight w:val="none"/>
        </w:rPr>
        <w:t>年   月   日</w:t>
      </w:r>
    </w:p>
    <w:p>
      <w:pPr>
        <w:jc w:val="right"/>
        <w:rPr>
          <w:rFonts w:hint="eastAsia" w:ascii="楷体" w:hAnsi="楷体" w:eastAsia="楷体"/>
          <w:sz w:val="24"/>
          <w:szCs w:val="24"/>
          <w:highlight w:val="none"/>
        </w:rPr>
      </w:pPr>
    </w:p>
    <w:p>
      <w:pPr>
        <w:jc w:val="right"/>
        <w:rPr>
          <w:rFonts w:hint="eastAsia" w:ascii="楷体" w:hAnsi="楷体" w:eastAsia="楷体"/>
          <w:sz w:val="24"/>
          <w:szCs w:val="24"/>
          <w:highlight w:val="none"/>
        </w:rPr>
      </w:pPr>
    </w:p>
    <w:p>
      <w:pPr>
        <w:jc w:val="right"/>
        <w:rPr>
          <w:rFonts w:hint="eastAsia" w:ascii="楷体" w:hAnsi="楷体" w:eastAsia="楷体"/>
          <w:sz w:val="24"/>
          <w:szCs w:val="24"/>
          <w:highlight w:val="none"/>
        </w:rPr>
      </w:pPr>
    </w:p>
    <w:p>
      <w:pPr>
        <w:jc w:val="right"/>
        <w:rPr>
          <w:rFonts w:hint="eastAsia" w:ascii="楷体" w:hAnsi="楷体" w:eastAsia="楷体"/>
          <w:sz w:val="24"/>
          <w:szCs w:val="24"/>
          <w:highlight w:val="none"/>
        </w:rPr>
      </w:pPr>
    </w:p>
    <w:p>
      <w:pPr>
        <w:jc w:val="right"/>
        <w:rPr>
          <w:rFonts w:hint="eastAsia" w:ascii="楷体" w:hAnsi="楷体" w:eastAsia="楷体"/>
          <w:sz w:val="24"/>
          <w:szCs w:val="24"/>
          <w:highlight w:val="none"/>
        </w:rPr>
      </w:pPr>
    </w:p>
    <w:p>
      <w:pPr>
        <w:jc w:val="right"/>
        <w:rPr>
          <w:rFonts w:hint="eastAsia" w:ascii="楷体" w:hAnsi="楷体" w:eastAsia="楷体"/>
          <w:sz w:val="24"/>
          <w:szCs w:val="24"/>
          <w:highlight w:val="none"/>
        </w:rPr>
      </w:pPr>
    </w:p>
    <w:p>
      <w:pPr>
        <w:jc w:val="right"/>
        <w:rPr>
          <w:rFonts w:hint="eastAsia" w:ascii="楷体" w:hAnsi="楷体" w:eastAsia="楷体"/>
          <w:sz w:val="24"/>
          <w:szCs w:val="24"/>
          <w:highlight w:val="none"/>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2"/>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
      <w:pPr>
        <w:jc w:val="right"/>
        <w:rPr>
          <w:rFonts w:hint="eastAsia" w:ascii="楷体" w:hAnsi="楷体" w:eastAsia="楷体"/>
          <w:sz w:val="24"/>
          <w:szCs w:val="24"/>
          <w:highlight w:val="none"/>
        </w:rPr>
      </w:pPr>
      <w:bookmarkStart w:id="0" w:name="_GoBack"/>
      <w:bookmarkEnd w:id="0"/>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098" o:spt="75" type="#_x0000_t75" style="position:absolute;left:0pt;margin-left:-361pt;margin-top:-83.1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0"/>
          <wp:wrapSquare wrapText="bothSides"/>
          <wp:docPr id="9"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说明: 说明: C:\Users\JSYH\Desktop\苏银理财.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09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097"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77D34"/>
    <w:multiLevelType w:val="multilevel"/>
    <w:tmpl w:val="06977D34"/>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1">
    <w:nsid w:val="0A0768A9"/>
    <w:multiLevelType w:val="multilevel"/>
    <w:tmpl w:val="0A0768A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4">
    <w:nsid w:val="390580B3"/>
    <w:multiLevelType w:val="multilevel"/>
    <w:tmpl w:val="390580B3"/>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6"/>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06EAF"/>
    <w:rsid w:val="000101E4"/>
    <w:rsid w:val="0001103A"/>
    <w:rsid w:val="00011464"/>
    <w:rsid w:val="00012543"/>
    <w:rsid w:val="000131EF"/>
    <w:rsid w:val="00013628"/>
    <w:rsid w:val="00014334"/>
    <w:rsid w:val="00014EC2"/>
    <w:rsid w:val="000158A7"/>
    <w:rsid w:val="00015A92"/>
    <w:rsid w:val="00015D58"/>
    <w:rsid w:val="00016232"/>
    <w:rsid w:val="00017933"/>
    <w:rsid w:val="000202AB"/>
    <w:rsid w:val="0002052D"/>
    <w:rsid w:val="00020A6F"/>
    <w:rsid w:val="00021007"/>
    <w:rsid w:val="00023A4F"/>
    <w:rsid w:val="00023BA8"/>
    <w:rsid w:val="00023E47"/>
    <w:rsid w:val="000247F9"/>
    <w:rsid w:val="00026143"/>
    <w:rsid w:val="000263ED"/>
    <w:rsid w:val="00026D13"/>
    <w:rsid w:val="00027056"/>
    <w:rsid w:val="000279D8"/>
    <w:rsid w:val="00027E61"/>
    <w:rsid w:val="00027F48"/>
    <w:rsid w:val="0003072E"/>
    <w:rsid w:val="00030D69"/>
    <w:rsid w:val="000315E6"/>
    <w:rsid w:val="00031707"/>
    <w:rsid w:val="00031806"/>
    <w:rsid w:val="00031A38"/>
    <w:rsid w:val="00031BAC"/>
    <w:rsid w:val="00031F80"/>
    <w:rsid w:val="00034890"/>
    <w:rsid w:val="00036007"/>
    <w:rsid w:val="000375C2"/>
    <w:rsid w:val="000401BF"/>
    <w:rsid w:val="000405B1"/>
    <w:rsid w:val="00043555"/>
    <w:rsid w:val="00043D5F"/>
    <w:rsid w:val="000462D8"/>
    <w:rsid w:val="000469D0"/>
    <w:rsid w:val="00046AAA"/>
    <w:rsid w:val="0004768E"/>
    <w:rsid w:val="000503FC"/>
    <w:rsid w:val="00050975"/>
    <w:rsid w:val="00051DB3"/>
    <w:rsid w:val="00054158"/>
    <w:rsid w:val="00054854"/>
    <w:rsid w:val="000553A7"/>
    <w:rsid w:val="00057222"/>
    <w:rsid w:val="00057646"/>
    <w:rsid w:val="00057F4B"/>
    <w:rsid w:val="00060571"/>
    <w:rsid w:val="000617D2"/>
    <w:rsid w:val="00061D74"/>
    <w:rsid w:val="00062791"/>
    <w:rsid w:val="00064F2B"/>
    <w:rsid w:val="000661A6"/>
    <w:rsid w:val="00066F56"/>
    <w:rsid w:val="000677EE"/>
    <w:rsid w:val="00071418"/>
    <w:rsid w:val="00071581"/>
    <w:rsid w:val="00072396"/>
    <w:rsid w:val="0007293A"/>
    <w:rsid w:val="00072D1F"/>
    <w:rsid w:val="0007366C"/>
    <w:rsid w:val="00074189"/>
    <w:rsid w:val="00074306"/>
    <w:rsid w:val="000757BB"/>
    <w:rsid w:val="0007693B"/>
    <w:rsid w:val="000804C2"/>
    <w:rsid w:val="00080C2C"/>
    <w:rsid w:val="00081AD6"/>
    <w:rsid w:val="00082051"/>
    <w:rsid w:val="000848C8"/>
    <w:rsid w:val="000849CB"/>
    <w:rsid w:val="000853F6"/>
    <w:rsid w:val="000867A8"/>
    <w:rsid w:val="00087036"/>
    <w:rsid w:val="00087D83"/>
    <w:rsid w:val="00087EDB"/>
    <w:rsid w:val="00091208"/>
    <w:rsid w:val="000913BF"/>
    <w:rsid w:val="00091907"/>
    <w:rsid w:val="00093C11"/>
    <w:rsid w:val="00094613"/>
    <w:rsid w:val="00094631"/>
    <w:rsid w:val="00096382"/>
    <w:rsid w:val="0009795C"/>
    <w:rsid w:val="00097F80"/>
    <w:rsid w:val="000A2D2D"/>
    <w:rsid w:val="000A2E68"/>
    <w:rsid w:val="000A45AB"/>
    <w:rsid w:val="000B0078"/>
    <w:rsid w:val="000B0690"/>
    <w:rsid w:val="000B3B58"/>
    <w:rsid w:val="000B3D2F"/>
    <w:rsid w:val="000B3EFD"/>
    <w:rsid w:val="000B659B"/>
    <w:rsid w:val="000B6E9F"/>
    <w:rsid w:val="000C3DB1"/>
    <w:rsid w:val="000C54ED"/>
    <w:rsid w:val="000C5C02"/>
    <w:rsid w:val="000C6143"/>
    <w:rsid w:val="000C7382"/>
    <w:rsid w:val="000D1ED6"/>
    <w:rsid w:val="000D35BD"/>
    <w:rsid w:val="000D6E4B"/>
    <w:rsid w:val="000D71CF"/>
    <w:rsid w:val="000D7225"/>
    <w:rsid w:val="000D722C"/>
    <w:rsid w:val="000E0485"/>
    <w:rsid w:val="000E2E7D"/>
    <w:rsid w:val="000E34BA"/>
    <w:rsid w:val="000E34F3"/>
    <w:rsid w:val="000E4205"/>
    <w:rsid w:val="000E72A0"/>
    <w:rsid w:val="000E7CF6"/>
    <w:rsid w:val="000F034D"/>
    <w:rsid w:val="000F0433"/>
    <w:rsid w:val="000F1D3C"/>
    <w:rsid w:val="000F3D5D"/>
    <w:rsid w:val="000F4243"/>
    <w:rsid w:val="000F4811"/>
    <w:rsid w:val="000F4ABF"/>
    <w:rsid w:val="000F4B2B"/>
    <w:rsid w:val="000F5B66"/>
    <w:rsid w:val="000F5FF6"/>
    <w:rsid w:val="000F65C5"/>
    <w:rsid w:val="000F7056"/>
    <w:rsid w:val="000F7D2C"/>
    <w:rsid w:val="00100193"/>
    <w:rsid w:val="00100F0C"/>
    <w:rsid w:val="001025A3"/>
    <w:rsid w:val="001036A0"/>
    <w:rsid w:val="0010457E"/>
    <w:rsid w:val="0010540B"/>
    <w:rsid w:val="001065F5"/>
    <w:rsid w:val="0010678E"/>
    <w:rsid w:val="001074AB"/>
    <w:rsid w:val="00110417"/>
    <w:rsid w:val="00110AB0"/>
    <w:rsid w:val="00111E3E"/>
    <w:rsid w:val="0011258E"/>
    <w:rsid w:val="001126F6"/>
    <w:rsid w:val="00112F03"/>
    <w:rsid w:val="00115E7F"/>
    <w:rsid w:val="0011696D"/>
    <w:rsid w:val="00117CE3"/>
    <w:rsid w:val="00121681"/>
    <w:rsid w:val="00121ED8"/>
    <w:rsid w:val="00122035"/>
    <w:rsid w:val="00122F58"/>
    <w:rsid w:val="0012352A"/>
    <w:rsid w:val="00123BCB"/>
    <w:rsid w:val="0012411A"/>
    <w:rsid w:val="001242DE"/>
    <w:rsid w:val="00124929"/>
    <w:rsid w:val="00125B8C"/>
    <w:rsid w:val="0012647A"/>
    <w:rsid w:val="00127044"/>
    <w:rsid w:val="001303B2"/>
    <w:rsid w:val="00130EED"/>
    <w:rsid w:val="00130F7B"/>
    <w:rsid w:val="00131F1B"/>
    <w:rsid w:val="0013364F"/>
    <w:rsid w:val="001336CE"/>
    <w:rsid w:val="00133AAF"/>
    <w:rsid w:val="00133B98"/>
    <w:rsid w:val="0013472F"/>
    <w:rsid w:val="00134733"/>
    <w:rsid w:val="001359ED"/>
    <w:rsid w:val="00135B61"/>
    <w:rsid w:val="00136797"/>
    <w:rsid w:val="001405C2"/>
    <w:rsid w:val="00140B25"/>
    <w:rsid w:val="00142F4F"/>
    <w:rsid w:val="001450DF"/>
    <w:rsid w:val="0014734D"/>
    <w:rsid w:val="00151CC7"/>
    <w:rsid w:val="00152B36"/>
    <w:rsid w:val="001530B2"/>
    <w:rsid w:val="001543E7"/>
    <w:rsid w:val="00154456"/>
    <w:rsid w:val="00154508"/>
    <w:rsid w:val="00154F7A"/>
    <w:rsid w:val="00155B77"/>
    <w:rsid w:val="00156867"/>
    <w:rsid w:val="00157C4D"/>
    <w:rsid w:val="00160569"/>
    <w:rsid w:val="00160CEC"/>
    <w:rsid w:val="00161E2F"/>
    <w:rsid w:val="001624A3"/>
    <w:rsid w:val="001624DA"/>
    <w:rsid w:val="00162AA1"/>
    <w:rsid w:val="00162BF5"/>
    <w:rsid w:val="00164B60"/>
    <w:rsid w:val="00165862"/>
    <w:rsid w:val="00165E23"/>
    <w:rsid w:val="00166B3A"/>
    <w:rsid w:val="00170099"/>
    <w:rsid w:val="00170194"/>
    <w:rsid w:val="00170927"/>
    <w:rsid w:val="0017092A"/>
    <w:rsid w:val="00170A6E"/>
    <w:rsid w:val="00172B90"/>
    <w:rsid w:val="00173A2B"/>
    <w:rsid w:val="00173CE1"/>
    <w:rsid w:val="00174417"/>
    <w:rsid w:val="001749CF"/>
    <w:rsid w:val="001750FE"/>
    <w:rsid w:val="00175E88"/>
    <w:rsid w:val="00175FA5"/>
    <w:rsid w:val="00176B8E"/>
    <w:rsid w:val="001770F3"/>
    <w:rsid w:val="001774A0"/>
    <w:rsid w:val="00177BCC"/>
    <w:rsid w:val="0018179B"/>
    <w:rsid w:val="0018251A"/>
    <w:rsid w:val="00183463"/>
    <w:rsid w:val="001846FB"/>
    <w:rsid w:val="00184D1D"/>
    <w:rsid w:val="001860DF"/>
    <w:rsid w:val="00191737"/>
    <w:rsid w:val="00194E69"/>
    <w:rsid w:val="001968BC"/>
    <w:rsid w:val="00197DD9"/>
    <w:rsid w:val="001A059E"/>
    <w:rsid w:val="001A05F5"/>
    <w:rsid w:val="001A1C12"/>
    <w:rsid w:val="001A418D"/>
    <w:rsid w:val="001A422B"/>
    <w:rsid w:val="001A502C"/>
    <w:rsid w:val="001A57DB"/>
    <w:rsid w:val="001A586B"/>
    <w:rsid w:val="001A73F1"/>
    <w:rsid w:val="001A77E8"/>
    <w:rsid w:val="001B1360"/>
    <w:rsid w:val="001B1BB1"/>
    <w:rsid w:val="001B1D26"/>
    <w:rsid w:val="001B1D7F"/>
    <w:rsid w:val="001B1E1E"/>
    <w:rsid w:val="001B25A3"/>
    <w:rsid w:val="001B2F76"/>
    <w:rsid w:val="001B2F82"/>
    <w:rsid w:val="001B396B"/>
    <w:rsid w:val="001B44A7"/>
    <w:rsid w:val="001B4B9C"/>
    <w:rsid w:val="001B57A4"/>
    <w:rsid w:val="001B72EB"/>
    <w:rsid w:val="001B7D0D"/>
    <w:rsid w:val="001B7F6F"/>
    <w:rsid w:val="001C13E9"/>
    <w:rsid w:val="001C3886"/>
    <w:rsid w:val="001C4148"/>
    <w:rsid w:val="001C432A"/>
    <w:rsid w:val="001C469F"/>
    <w:rsid w:val="001C6DD2"/>
    <w:rsid w:val="001C78FF"/>
    <w:rsid w:val="001D0B29"/>
    <w:rsid w:val="001D1C27"/>
    <w:rsid w:val="001D2A8B"/>
    <w:rsid w:val="001D3ED4"/>
    <w:rsid w:val="001D48EE"/>
    <w:rsid w:val="001D49AC"/>
    <w:rsid w:val="001D4B2D"/>
    <w:rsid w:val="001D4BC9"/>
    <w:rsid w:val="001D4FE1"/>
    <w:rsid w:val="001D78FF"/>
    <w:rsid w:val="001E0062"/>
    <w:rsid w:val="001E0387"/>
    <w:rsid w:val="001E223F"/>
    <w:rsid w:val="001E4374"/>
    <w:rsid w:val="001E49AE"/>
    <w:rsid w:val="001E4A82"/>
    <w:rsid w:val="001E4C0D"/>
    <w:rsid w:val="001E4E95"/>
    <w:rsid w:val="001E55CB"/>
    <w:rsid w:val="001E631F"/>
    <w:rsid w:val="001E6744"/>
    <w:rsid w:val="001E68EF"/>
    <w:rsid w:val="001F0A69"/>
    <w:rsid w:val="001F1728"/>
    <w:rsid w:val="001F2658"/>
    <w:rsid w:val="001F3AD6"/>
    <w:rsid w:val="001F3C4B"/>
    <w:rsid w:val="001F3CCB"/>
    <w:rsid w:val="001F63BD"/>
    <w:rsid w:val="001F6775"/>
    <w:rsid w:val="001F69BF"/>
    <w:rsid w:val="00200449"/>
    <w:rsid w:val="00200523"/>
    <w:rsid w:val="0020097F"/>
    <w:rsid w:val="00200DF8"/>
    <w:rsid w:val="0020123C"/>
    <w:rsid w:val="0020196F"/>
    <w:rsid w:val="002024E9"/>
    <w:rsid w:val="002026C0"/>
    <w:rsid w:val="002047F3"/>
    <w:rsid w:val="0020590E"/>
    <w:rsid w:val="00205EB2"/>
    <w:rsid w:val="00205FEC"/>
    <w:rsid w:val="0020639A"/>
    <w:rsid w:val="00210857"/>
    <w:rsid w:val="002119A2"/>
    <w:rsid w:val="00211F5B"/>
    <w:rsid w:val="00213632"/>
    <w:rsid w:val="0021388F"/>
    <w:rsid w:val="00215F66"/>
    <w:rsid w:val="0021712C"/>
    <w:rsid w:val="0022162D"/>
    <w:rsid w:val="00221937"/>
    <w:rsid w:val="002222A4"/>
    <w:rsid w:val="00224018"/>
    <w:rsid w:val="0022633B"/>
    <w:rsid w:val="00226F9D"/>
    <w:rsid w:val="00230ED7"/>
    <w:rsid w:val="00230F4A"/>
    <w:rsid w:val="002319B1"/>
    <w:rsid w:val="00231B08"/>
    <w:rsid w:val="00232A54"/>
    <w:rsid w:val="0023376E"/>
    <w:rsid w:val="0023523A"/>
    <w:rsid w:val="00235E45"/>
    <w:rsid w:val="002366EB"/>
    <w:rsid w:val="00236C4F"/>
    <w:rsid w:val="002379DD"/>
    <w:rsid w:val="00237FDB"/>
    <w:rsid w:val="0024053C"/>
    <w:rsid w:val="0024212E"/>
    <w:rsid w:val="002436C1"/>
    <w:rsid w:val="00243DF5"/>
    <w:rsid w:val="00244E6D"/>
    <w:rsid w:val="00245106"/>
    <w:rsid w:val="00245D03"/>
    <w:rsid w:val="0024748B"/>
    <w:rsid w:val="00247A34"/>
    <w:rsid w:val="00247A7D"/>
    <w:rsid w:val="0025150E"/>
    <w:rsid w:val="00252198"/>
    <w:rsid w:val="00252B51"/>
    <w:rsid w:val="00253997"/>
    <w:rsid w:val="0025423C"/>
    <w:rsid w:val="00254A3C"/>
    <w:rsid w:val="00254A8B"/>
    <w:rsid w:val="00256E57"/>
    <w:rsid w:val="0025744E"/>
    <w:rsid w:val="002579CC"/>
    <w:rsid w:val="002659F1"/>
    <w:rsid w:val="0026641B"/>
    <w:rsid w:val="002672C8"/>
    <w:rsid w:val="00270665"/>
    <w:rsid w:val="00272261"/>
    <w:rsid w:val="00272C53"/>
    <w:rsid w:val="00272E20"/>
    <w:rsid w:val="00273681"/>
    <w:rsid w:val="00273B34"/>
    <w:rsid w:val="00273B74"/>
    <w:rsid w:val="00274D47"/>
    <w:rsid w:val="00274FAF"/>
    <w:rsid w:val="0027510A"/>
    <w:rsid w:val="00276200"/>
    <w:rsid w:val="002765F4"/>
    <w:rsid w:val="00276883"/>
    <w:rsid w:val="00277498"/>
    <w:rsid w:val="00277C1F"/>
    <w:rsid w:val="002808A9"/>
    <w:rsid w:val="002821D7"/>
    <w:rsid w:val="00282F20"/>
    <w:rsid w:val="002872D2"/>
    <w:rsid w:val="0029004F"/>
    <w:rsid w:val="00291B84"/>
    <w:rsid w:val="00292B19"/>
    <w:rsid w:val="00292B5E"/>
    <w:rsid w:val="00292FFC"/>
    <w:rsid w:val="002932FC"/>
    <w:rsid w:val="0029429C"/>
    <w:rsid w:val="00294431"/>
    <w:rsid w:val="00294B49"/>
    <w:rsid w:val="00295538"/>
    <w:rsid w:val="00297034"/>
    <w:rsid w:val="002A046A"/>
    <w:rsid w:val="002A1262"/>
    <w:rsid w:val="002A23E0"/>
    <w:rsid w:val="002A2E20"/>
    <w:rsid w:val="002A32DF"/>
    <w:rsid w:val="002A46D7"/>
    <w:rsid w:val="002A6980"/>
    <w:rsid w:val="002A7DF5"/>
    <w:rsid w:val="002A7E94"/>
    <w:rsid w:val="002B0795"/>
    <w:rsid w:val="002B2620"/>
    <w:rsid w:val="002B3225"/>
    <w:rsid w:val="002B5694"/>
    <w:rsid w:val="002B605E"/>
    <w:rsid w:val="002B657A"/>
    <w:rsid w:val="002C021F"/>
    <w:rsid w:val="002C1C54"/>
    <w:rsid w:val="002C2056"/>
    <w:rsid w:val="002C23F7"/>
    <w:rsid w:val="002C320F"/>
    <w:rsid w:val="002C3367"/>
    <w:rsid w:val="002C622F"/>
    <w:rsid w:val="002C6D69"/>
    <w:rsid w:val="002C7016"/>
    <w:rsid w:val="002C7117"/>
    <w:rsid w:val="002C7CB4"/>
    <w:rsid w:val="002D0706"/>
    <w:rsid w:val="002D29FD"/>
    <w:rsid w:val="002D2AEC"/>
    <w:rsid w:val="002D2C1F"/>
    <w:rsid w:val="002D3635"/>
    <w:rsid w:val="002D5411"/>
    <w:rsid w:val="002D5589"/>
    <w:rsid w:val="002D727A"/>
    <w:rsid w:val="002E00B8"/>
    <w:rsid w:val="002E0589"/>
    <w:rsid w:val="002E1382"/>
    <w:rsid w:val="002E3A84"/>
    <w:rsid w:val="002E6AD0"/>
    <w:rsid w:val="002E6F55"/>
    <w:rsid w:val="002F0E4E"/>
    <w:rsid w:val="002F2771"/>
    <w:rsid w:val="002F344B"/>
    <w:rsid w:val="002F403C"/>
    <w:rsid w:val="002F561E"/>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43A"/>
    <w:rsid w:val="00311C18"/>
    <w:rsid w:val="0031298C"/>
    <w:rsid w:val="00313619"/>
    <w:rsid w:val="00313D52"/>
    <w:rsid w:val="00314235"/>
    <w:rsid w:val="0032098B"/>
    <w:rsid w:val="003222FC"/>
    <w:rsid w:val="003227E7"/>
    <w:rsid w:val="00325D85"/>
    <w:rsid w:val="0032607C"/>
    <w:rsid w:val="00326E7B"/>
    <w:rsid w:val="0033166C"/>
    <w:rsid w:val="003324AE"/>
    <w:rsid w:val="00332C6A"/>
    <w:rsid w:val="0033358A"/>
    <w:rsid w:val="00333937"/>
    <w:rsid w:val="003342B8"/>
    <w:rsid w:val="0033504B"/>
    <w:rsid w:val="003362C7"/>
    <w:rsid w:val="00336A5A"/>
    <w:rsid w:val="00337AA0"/>
    <w:rsid w:val="00337DE3"/>
    <w:rsid w:val="00342ADB"/>
    <w:rsid w:val="00343B0F"/>
    <w:rsid w:val="00343D4D"/>
    <w:rsid w:val="00347006"/>
    <w:rsid w:val="00347D0D"/>
    <w:rsid w:val="003503AE"/>
    <w:rsid w:val="00351D8C"/>
    <w:rsid w:val="0035213A"/>
    <w:rsid w:val="00353419"/>
    <w:rsid w:val="00353F27"/>
    <w:rsid w:val="00355D35"/>
    <w:rsid w:val="00356BEA"/>
    <w:rsid w:val="0035741C"/>
    <w:rsid w:val="00360094"/>
    <w:rsid w:val="003627FB"/>
    <w:rsid w:val="00362826"/>
    <w:rsid w:val="00363EEF"/>
    <w:rsid w:val="0036403D"/>
    <w:rsid w:val="0036406A"/>
    <w:rsid w:val="0036455C"/>
    <w:rsid w:val="003656BF"/>
    <w:rsid w:val="00366074"/>
    <w:rsid w:val="003661FF"/>
    <w:rsid w:val="00367122"/>
    <w:rsid w:val="00367428"/>
    <w:rsid w:val="003676E9"/>
    <w:rsid w:val="0037083D"/>
    <w:rsid w:val="00372402"/>
    <w:rsid w:val="003724FE"/>
    <w:rsid w:val="003726C4"/>
    <w:rsid w:val="003732C5"/>
    <w:rsid w:val="00374086"/>
    <w:rsid w:val="00374DFE"/>
    <w:rsid w:val="003758DB"/>
    <w:rsid w:val="00375BEB"/>
    <w:rsid w:val="00375DA9"/>
    <w:rsid w:val="00377518"/>
    <w:rsid w:val="003800B4"/>
    <w:rsid w:val="003809E0"/>
    <w:rsid w:val="003814E2"/>
    <w:rsid w:val="00381E88"/>
    <w:rsid w:val="003821F9"/>
    <w:rsid w:val="003827CD"/>
    <w:rsid w:val="00383A99"/>
    <w:rsid w:val="00383D6D"/>
    <w:rsid w:val="003852EF"/>
    <w:rsid w:val="003870EE"/>
    <w:rsid w:val="0038729B"/>
    <w:rsid w:val="00387A01"/>
    <w:rsid w:val="003926B7"/>
    <w:rsid w:val="00393452"/>
    <w:rsid w:val="00394C2C"/>
    <w:rsid w:val="00395441"/>
    <w:rsid w:val="00396F85"/>
    <w:rsid w:val="0039723A"/>
    <w:rsid w:val="003A1CB9"/>
    <w:rsid w:val="003A27B8"/>
    <w:rsid w:val="003A2B7D"/>
    <w:rsid w:val="003A3D8C"/>
    <w:rsid w:val="003A3E40"/>
    <w:rsid w:val="003A539D"/>
    <w:rsid w:val="003A59F9"/>
    <w:rsid w:val="003A5F79"/>
    <w:rsid w:val="003A5FA1"/>
    <w:rsid w:val="003A6124"/>
    <w:rsid w:val="003A6CA4"/>
    <w:rsid w:val="003A7623"/>
    <w:rsid w:val="003B1725"/>
    <w:rsid w:val="003B242C"/>
    <w:rsid w:val="003B324C"/>
    <w:rsid w:val="003B4CE4"/>
    <w:rsid w:val="003B4D64"/>
    <w:rsid w:val="003B5DFB"/>
    <w:rsid w:val="003B6220"/>
    <w:rsid w:val="003B76DC"/>
    <w:rsid w:val="003C13CA"/>
    <w:rsid w:val="003C1E93"/>
    <w:rsid w:val="003C2161"/>
    <w:rsid w:val="003C31CD"/>
    <w:rsid w:val="003C3D4A"/>
    <w:rsid w:val="003C596C"/>
    <w:rsid w:val="003D03AF"/>
    <w:rsid w:val="003D07CA"/>
    <w:rsid w:val="003D1FE5"/>
    <w:rsid w:val="003D3735"/>
    <w:rsid w:val="003D497A"/>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3F780E"/>
    <w:rsid w:val="00401F3A"/>
    <w:rsid w:val="00402686"/>
    <w:rsid w:val="0040272E"/>
    <w:rsid w:val="00402EA0"/>
    <w:rsid w:val="00403452"/>
    <w:rsid w:val="0040350A"/>
    <w:rsid w:val="00403F44"/>
    <w:rsid w:val="004041C9"/>
    <w:rsid w:val="004062F1"/>
    <w:rsid w:val="0040793A"/>
    <w:rsid w:val="004079CC"/>
    <w:rsid w:val="004106A7"/>
    <w:rsid w:val="00410F85"/>
    <w:rsid w:val="00412823"/>
    <w:rsid w:val="0041382E"/>
    <w:rsid w:val="00413D00"/>
    <w:rsid w:val="00414410"/>
    <w:rsid w:val="0041442A"/>
    <w:rsid w:val="00414992"/>
    <w:rsid w:val="00416ED0"/>
    <w:rsid w:val="004175B0"/>
    <w:rsid w:val="00421C9B"/>
    <w:rsid w:val="004233D8"/>
    <w:rsid w:val="00423C6E"/>
    <w:rsid w:val="00423ED9"/>
    <w:rsid w:val="00425F90"/>
    <w:rsid w:val="00426041"/>
    <w:rsid w:val="00426CBC"/>
    <w:rsid w:val="00427CC0"/>
    <w:rsid w:val="0043002F"/>
    <w:rsid w:val="004303B3"/>
    <w:rsid w:val="004305C9"/>
    <w:rsid w:val="00430927"/>
    <w:rsid w:val="0043097E"/>
    <w:rsid w:val="0043308A"/>
    <w:rsid w:val="00433113"/>
    <w:rsid w:val="00433F87"/>
    <w:rsid w:val="00434262"/>
    <w:rsid w:val="0043673C"/>
    <w:rsid w:val="00436801"/>
    <w:rsid w:val="00437DA0"/>
    <w:rsid w:val="004412CE"/>
    <w:rsid w:val="00441312"/>
    <w:rsid w:val="00441ED0"/>
    <w:rsid w:val="00442603"/>
    <w:rsid w:val="00442BF4"/>
    <w:rsid w:val="00444898"/>
    <w:rsid w:val="004457E4"/>
    <w:rsid w:val="00445E88"/>
    <w:rsid w:val="004506BE"/>
    <w:rsid w:val="004509F6"/>
    <w:rsid w:val="00453254"/>
    <w:rsid w:val="00453540"/>
    <w:rsid w:val="0045366F"/>
    <w:rsid w:val="00453F4D"/>
    <w:rsid w:val="00455C1F"/>
    <w:rsid w:val="00455D49"/>
    <w:rsid w:val="00455DF1"/>
    <w:rsid w:val="00456A0F"/>
    <w:rsid w:val="00460F22"/>
    <w:rsid w:val="00463619"/>
    <w:rsid w:val="0046446A"/>
    <w:rsid w:val="004645D0"/>
    <w:rsid w:val="00464A97"/>
    <w:rsid w:val="00464FA6"/>
    <w:rsid w:val="004651E5"/>
    <w:rsid w:val="004673A5"/>
    <w:rsid w:val="00467543"/>
    <w:rsid w:val="004676E4"/>
    <w:rsid w:val="0046796E"/>
    <w:rsid w:val="00467E09"/>
    <w:rsid w:val="00470519"/>
    <w:rsid w:val="004707EC"/>
    <w:rsid w:val="00470F11"/>
    <w:rsid w:val="0047173F"/>
    <w:rsid w:val="00471A65"/>
    <w:rsid w:val="0047215E"/>
    <w:rsid w:val="004722FE"/>
    <w:rsid w:val="00472764"/>
    <w:rsid w:val="00472A2C"/>
    <w:rsid w:val="004739B2"/>
    <w:rsid w:val="00473ED0"/>
    <w:rsid w:val="00474D99"/>
    <w:rsid w:val="004758B6"/>
    <w:rsid w:val="004761F8"/>
    <w:rsid w:val="0047624F"/>
    <w:rsid w:val="00476551"/>
    <w:rsid w:val="00476764"/>
    <w:rsid w:val="00477506"/>
    <w:rsid w:val="00477994"/>
    <w:rsid w:val="00480ED0"/>
    <w:rsid w:val="00481CB0"/>
    <w:rsid w:val="00482251"/>
    <w:rsid w:val="00482CC2"/>
    <w:rsid w:val="004835E4"/>
    <w:rsid w:val="00483838"/>
    <w:rsid w:val="00483A00"/>
    <w:rsid w:val="00483D82"/>
    <w:rsid w:val="00484CF0"/>
    <w:rsid w:val="00484D6A"/>
    <w:rsid w:val="004856F7"/>
    <w:rsid w:val="00485E98"/>
    <w:rsid w:val="00485EE5"/>
    <w:rsid w:val="00487169"/>
    <w:rsid w:val="00490405"/>
    <w:rsid w:val="00490539"/>
    <w:rsid w:val="004907EE"/>
    <w:rsid w:val="004910C2"/>
    <w:rsid w:val="00491342"/>
    <w:rsid w:val="00491B25"/>
    <w:rsid w:val="004923DC"/>
    <w:rsid w:val="004925DF"/>
    <w:rsid w:val="004929D1"/>
    <w:rsid w:val="004939CA"/>
    <w:rsid w:val="00497D5C"/>
    <w:rsid w:val="004A243A"/>
    <w:rsid w:val="004A2756"/>
    <w:rsid w:val="004A49CD"/>
    <w:rsid w:val="004A4AED"/>
    <w:rsid w:val="004A58D1"/>
    <w:rsid w:val="004A5E88"/>
    <w:rsid w:val="004A65C0"/>
    <w:rsid w:val="004A6C11"/>
    <w:rsid w:val="004A74CE"/>
    <w:rsid w:val="004B1E66"/>
    <w:rsid w:val="004B2EC3"/>
    <w:rsid w:val="004B4001"/>
    <w:rsid w:val="004B4B39"/>
    <w:rsid w:val="004B6EA9"/>
    <w:rsid w:val="004B735F"/>
    <w:rsid w:val="004B77FF"/>
    <w:rsid w:val="004B7F73"/>
    <w:rsid w:val="004C0D55"/>
    <w:rsid w:val="004C0F0C"/>
    <w:rsid w:val="004C187B"/>
    <w:rsid w:val="004C1C90"/>
    <w:rsid w:val="004C49FA"/>
    <w:rsid w:val="004C4C9B"/>
    <w:rsid w:val="004C4EA4"/>
    <w:rsid w:val="004C701F"/>
    <w:rsid w:val="004C7C47"/>
    <w:rsid w:val="004D0388"/>
    <w:rsid w:val="004D0478"/>
    <w:rsid w:val="004D0A93"/>
    <w:rsid w:val="004D20F5"/>
    <w:rsid w:val="004D34DD"/>
    <w:rsid w:val="004D382B"/>
    <w:rsid w:val="004D3B10"/>
    <w:rsid w:val="004D49D8"/>
    <w:rsid w:val="004D6E8F"/>
    <w:rsid w:val="004D73A7"/>
    <w:rsid w:val="004D73BA"/>
    <w:rsid w:val="004D7BA3"/>
    <w:rsid w:val="004E1FFC"/>
    <w:rsid w:val="004E3B6D"/>
    <w:rsid w:val="004E3C6A"/>
    <w:rsid w:val="004E46B0"/>
    <w:rsid w:val="004E594D"/>
    <w:rsid w:val="004E645B"/>
    <w:rsid w:val="004F0A8A"/>
    <w:rsid w:val="004F3425"/>
    <w:rsid w:val="004F369D"/>
    <w:rsid w:val="004F3AC9"/>
    <w:rsid w:val="004F3E2D"/>
    <w:rsid w:val="004F3E60"/>
    <w:rsid w:val="004F46F0"/>
    <w:rsid w:val="004F4F78"/>
    <w:rsid w:val="004F55EC"/>
    <w:rsid w:val="005011AD"/>
    <w:rsid w:val="005013A2"/>
    <w:rsid w:val="005032A0"/>
    <w:rsid w:val="0050386F"/>
    <w:rsid w:val="00503982"/>
    <w:rsid w:val="005041D5"/>
    <w:rsid w:val="00506806"/>
    <w:rsid w:val="005071D2"/>
    <w:rsid w:val="00510526"/>
    <w:rsid w:val="00510823"/>
    <w:rsid w:val="0051208D"/>
    <w:rsid w:val="00512670"/>
    <w:rsid w:val="00512AC8"/>
    <w:rsid w:val="00515789"/>
    <w:rsid w:val="00516DA1"/>
    <w:rsid w:val="005201F1"/>
    <w:rsid w:val="0052073F"/>
    <w:rsid w:val="00520ACC"/>
    <w:rsid w:val="00520B0B"/>
    <w:rsid w:val="005212D4"/>
    <w:rsid w:val="00521859"/>
    <w:rsid w:val="00522AA1"/>
    <w:rsid w:val="0052415B"/>
    <w:rsid w:val="00526313"/>
    <w:rsid w:val="005266CB"/>
    <w:rsid w:val="00527FBD"/>
    <w:rsid w:val="0053069A"/>
    <w:rsid w:val="005308B0"/>
    <w:rsid w:val="0053444E"/>
    <w:rsid w:val="0053487E"/>
    <w:rsid w:val="0053510C"/>
    <w:rsid w:val="005362B4"/>
    <w:rsid w:val="0053633A"/>
    <w:rsid w:val="00536E3A"/>
    <w:rsid w:val="005400DC"/>
    <w:rsid w:val="00540E77"/>
    <w:rsid w:val="00542940"/>
    <w:rsid w:val="00542A74"/>
    <w:rsid w:val="00542CCA"/>
    <w:rsid w:val="0054309D"/>
    <w:rsid w:val="005436F3"/>
    <w:rsid w:val="00544451"/>
    <w:rsid w:val="005449D5"/>
    <w:rsid w:val="00544A6C"/>
    <w:rsid w:val="00551427"/>
    <w:rsid w:val="00551C0A"/>
    <w:rsid w:val="005532D9"/>
    <w:rsid w:val="005542EF"/>
    <w:rsid w:val="00554430"/>
    <w:rsid w:val="00555F85"/>
    <w:rsid w:val="0055630E"/>
    <w:rsid w:val="005567F7"/>
    <w:rsid w:val="00560551"/>
    <w:rsid w:val="00561FE9"/>
    <w:rsid w:val="00562804"/>
    <w:rsid w:val="00563061"/>
    <w:rsid w:val="00564093"/>
    <w:rsid w:val="00564DFE"/>
    <w:rsid w:val="00564F46"/>
    <w:rsid w:val="005659B2"/>
    <w:rsid w:val="00566CB6"/>
    <w:rsid w:val="00567AAC"/>
    <w:rsid w:val="0057295B"/>
    <w:rsid w:val="00572A2F"/>
    <w:rsid w:val="00572C28"/>
    <w:rsid w:val="00572D91"/>
    <w:rsid w:val="00574893"/>
    <w:rsid w:val="005753ED"/>
    <w:rsid w:val="00575E03"/>
    <w:rsid w:val="00576B9E"/>
    <w:rsid w:val="00577555"/>
    <w:rsid w:val="005803FA"/>
    <w:rsid w:val="005827DA"/>
    <w:rsid w:val="0058356E"/>
    <w:rsid w:val="00583A5E"/>
    <w:rsid w:val="00585DCB"/>
    <w:rsid w:val="005865C7"/>
    <w:rsid w:val="00590CD8"/>
    <w:rsid w:val="00593310"/>
    <w:rsid w:val="0059593D"/>
    <w:rsid w:val="00595C4D"/>
    <w:rsid w:val="00597498"/>
    <w:rsid w:val="0059767A"/>
    <w:rsid w:val="00597A01"/>
    <w:rsid w:val="00597B28"/>
    <w:rsid w:val="005A0462"/>
    <w:rsid w:val="005A43FC"/>
    <w:rsid w:val="005A588A"/>
    <w:rsid w:val="005A6007"/>
    <w:rsid w:val="005A6752"/>
    <w:rsid w:val="005A6DE4"/>
    <w:rsid w:val="005A7236"/>
    <w:rsid w:val="005A7777"/>
    <w:rsid w:val="005A7842"/>
    <w:rsid w:val="005B08B3"/>
    <w:rsid w:val="005B0F07"/>
    <w:rsid w:val="005B16D7"/>
    <w:rsid w:val="005B1B3D"/>
    <w:rsid w:val="005B1BB5"/>
    <w:rsid w:val="005B37DB"/>
    <w:rsid w:val="005B3AC2"/>
    <w:rsid w:val="005B439F"/>
    <w:rsid w:val="005B4492"/>
    <w:rsid w:val="005B49CC"/>
    <w:rsid w:val="005B62FA"/>
    <w:rsid w:val="005B6576"/>
    <w:rsid w:val="005C09F1"/>
    <w:rsid w:val="005C0B01"/>
    <w:rsid w:val="005C1CF3"/>
    <w:rsid w:val="005C37A8"/>
    <w:rsid w:val="005C3B0D"/>
    <w:rsid w:val="005C4B2D"/>
    <w:rsid w:val="005C5BC2"/>
    <w:rsid w:val="005C72E9"/>
    <w:rsid w:val="005C79F4"/>
    <w:rsid w:val="005D0472"/>
    <w:rsid w:val="005D163E"/>
    <w:rsid w:val="005D33A6"/>
    <w:rsid w:val="005D4199"/>
    <w:rsid w:val="005D4D03"/>
    <w:rsid w:val="005D5292"/>
    <w:rsid w:val="005D5470"/>
    <w:rsid w:val="005D637B"/>
    <w:rsid w:val="005D6B93"/>
    <w:rsid w:val="005E0829"/>
    <w:rsid w:val="005E14F6"/>
    <w:rsid w:val="005E162C"/>
    <w:rsid w:val="005E26A1"/>
    <w:rsid w:val="005E2B12"/>
    <w:rsid w:val="005E2D33"/>
    <w:rsid w:val="005E3651"/>
    <w:rsid w:val="005E43ED"/>
    <w:rsid w:val="005E494F"/>
    <w:rsid w:val="005E5312"/>
    <w:rsid w:val="005E588E"/>
    <w:rsid w:val="005E5B8D"/>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2CF4"/>
    <w:rsid w:val="00604135"/>
    <w:rsid w:val="006058CB"/>
    <w:rsid w:val="00605AFB"/>
    <w:rsid w:val="0060733C"/>
    <w:rsid w:val="00607C36"/>
    <w:rsid w:val="0061140B"/>
    <w:rsid w:val="00613453"/>
    <w:rsid w:val="0061470B"/>
    <w:rsid w:val="00614908"/>
    <w:rsid w:val="00615029"/>
    <w:rsid w:val="00616593"/>
    <w:rsid w:val="00616AE1"/>
    <w:rsid w:val="00617F6B"/>
    <w:rsid w:val="0062067C"/>
    <w:rsid w:val="006214AD"/>
    <w:rsid w:val="0062541F"/>
    <w:rsid w:val="00625863"/>
    <w:rsid w:val="006260E5"/>
    <w:rsid w:val="0062683F"/>
    <w:rsid w:val="00627B69"/>
    <w:rsid w:val="00633754"/>
    <w:rsid w:val="006348F4"/>
    <w:rsid w:val="006358BE"/>
    <w:rsid w:val="00635B89"/>
    <w:rsid w:val="00635E85"/>
    <w:rsid w:val="00636C4C"/>
    <w:rsid w:val="00636E4B"/>
    <w:rsid w:val="006371FF"/>
    <w:rsid w:val="00643DD9"/>
    <w:rsid w:val="00644A75"/>
    <w:rsid w:val="006452B6"/>
    <w:rsid w:val="00645B41"/>
    <w:rsid w:val="006472A0"/>
    <w:rsid w:val="00651287"/>
    <w:rsid w:val="00651512"/>
    <w:rsid w:val="00653665"/>
    <w:rsid w:val="00653E27"/>
    <w:rsid w:val="00654956"/>
    <w:rsid w:val="00654DE7"/>
    <w:rsid w:val="0065533C"/>
    <w:rsid w:val="00656340"/>
    <w:rsid w:val="00656A9D"/>
    <w:rsid w:val="00656F5E"/>
    <w:rsid w:val="00660D19"/>
    <w:rsid w:val="00662CBC"/>
    <w:rsid w:val="0066449E"/>
    <w:rsid w:val="0067038D"/>
    <w:rsid w:val="00671A6A"/>
    <w:rsid w:val="00673F0C"/>
    <w:rsid w:val="00676223"/>
    <w:rsid w:val="00676A38"/>
    <w:rsid w:val="00680098"/>
    <w:rsid w:val="00680333"/>
    <w:rsid w:val="00680957"/>
    <w:rsid w:val="006821CE"/>
    <w:rsid w:val="00682CFC"/>
    <w:rsid w:val="00683B13"/>
    <w:rsid w:val="00686325"/>
    <w:rsid w:val="00686EC4"/>
    <w:rsid w:val="00687063"/>
    <w:rsid w:val="00687C14"/>
    <w:rsid w:val="00690E37"/>
    <w:rsid w:val="00691425"/>
    <w:rsid w:val="006955A5"/>
    <w:rsid w:val="00695E17"/>
    <w:rsid w:val="00696763"/>
    <w:rsid w:val="0069734A"/>
    <w:rsid w:val="006A139A"/>
    <w:rsid w:val="006A1939"/>
    <w:rsid w:val="006A303A"/>
    <w:rsid w:val="006A45A4"/>
    <w:rsid w:val="006A5C3E"/>
    <w:rsid w:val="006A5CC0"/>
    <w:rsid w:val="006A5DF0"/>
    <w:rsid w:val="006B0367"/>
    <w:rsid w:val="006B06E6"/>
    <w:rsid w:val="006B147C"/>
    <w:rsid w:val="006B1E00"/>
    <w:rsid w:val="006B202A"/>
    <w:rsid w:val="006B3AD9"/>
    <w:rsid w:val="006B3E3B"/>
    <w:rsid w:val="006B4199"/>
    <w:rsid w:val="006B4802"/>
    <w:rsid w:val="006B5097"/>
    <w:rsid w:val="006B5516"/>
    <w:rsid w:val="006B5D36"/>
    <w:rsid w:val="006B7A09"/>
    <w:rsid w:val="006C42CE"/>
    <w:rsid w:val="006C4DE9"/>
    <w:rsid w:val="006C5486"/>
    <w:rsid w:val="006C592D"/>
    <w:rsid w:val="006C5D93"/>
    <w:rsid w:val="006C74B3"/>
    <w:rsid w:val="006D096A"/>
    <w:rsid w:val="006D209C"/>
    <w:rsid w:val="006D3791"/>
    <w:rsid w:val="006D45C7"/>
    <w:rsid w:val="006D465F"/>
    <w:rsid w:val="006D46A6"/>
    <w:rsid w:val="006D4B56"/>
    <w:rsid w:val="006D7209"/>
    <w:rsid w:val="006D7EFF"/>
    <w:rsid w:val="006E11C9"/>
    <w:rsid w:val="006E31AE"/>
    <w:rsid w:val="006E4984"/>
    <w:rsid w:val="006E5E71"/>
    <w:rsid w:val="006E7EFC"/>
    <w:rsid w:val="006F0A6C"/>
    <w:rsid w:val="006F32BF"/>
    <w:rsid w:val="006F3567"/>
    <w:rsid w:val="006F38A2"/>
    <w:rsid w:val="006F38F6"/>
    <w:rsid w:val="006F3989"/>
    <w:rsid w:val="006F4219"/>
    <w:rsid w:val="006F55D6"/>
    <w:rsid w:val="006F575A"/>
    <w:rsid w:val="00700449"/>
    <w:rsid w:val="00700A73"/>
    <w:rsid w:val="00700F46"/>
    <w:rsid w:val="007015E9"/>
    <w:rsid w:val="00702A10"/>
    <w:rsid w:val="0070484E"/>
    <w:rsid w:val="00704ED8"/>
    <w:rsid w:val="0070601C"/>
    <w:rsid w:val="00707008"/>
    <w:rsid w:val="00710993"/>
    <w:rsid w:val="007125C7"/>
    <w:rsid w:val="00712884"/>
    <w:rsid w:val="00713C6D"/>
    <w:rsid w:val="00714D9B"/>
    <w:rsid w:val="00715090"/>
    <w:rsid w:val="00715379"/>
    <w:rsid w:val="0071587A"/>
    <w:rsid w:val="007159EB"/>
    <w:rsid w:val="007160E0"/>
    <w:rsid w:val="00716E3F"/>
    <w:rsid w:val="00717DE7"/>
    <w:rsid w:val="00720629"/>
    <w:rsid w:val="00720B16"/>
    <w:rsid w:val="007219C5"/>
    <w:rsid w:val="00721B5C"/>
    <w:rsid w:val="007223FC"/>
    <w:rsid w:val="00723E51"/>
    <w:rsid w:val="00725B78"/>
    <w:rsid w:val="00725F23"/>
    <w:rsid w:val="007267EB"/>
    <w:rsid w:val="0072737A"/>
    <w:rsid w:val="00730159"/>
    <w:rsid w:val="00730C0D"/>
    <w:rsid w:val="0073129C"/>
    <w:rsid w:val="00731C60"/>
    <w:rsid w:val="00731D68"/>
    <w:rsid w:val="007339DB"/>
    <w:rsid w:val="00735608"/>
    <w:rsid w:val="007356FC"/>
    <w:rsid w:val="00735CE3"/>
    <w:rsid w:val="00736DD5"/>
    <w:rsid w:val="0074101E"/>
    <w:rsid w:val="0074150A"/>
    <w:rsid w:val="00741FEC"/>
    <w:rsid w:val="007433D3"/>
    <w:rsid w:val="00743A86"/>
    <w:rsid w:val="00743F1B"/>
    <w:rsid w:val="00743F6E"/>
    <w:rsid w:val="0074430F"/>
    <w:rsid w:val="007448B9"/>
    <w:rsid w:val="007468E9"/>
    <w:rsid w:val="00746BED"/>
    <w:rsid w:val="00747D71"/>
    <w:rsid w:val="00750288"/>
    <w:rsid w:val="00751BF1"/>
    <w:rsid w:val="007537F1"/>
    <w:rsid w:val="007545CD"/>
    <w:rsid w:val="007549E4"/>
    <w:rsid w:val="00755E18"/>
    <w:rsid w:val="00756643"/>
    <w:rsid w:val="007567FF"/>
    <w:rsid w:val="00756DA9"/>
    <w:rsid w:val="0075794D"/>
    <w:rsid w:val="007608C8"/>
    <w:rsid w:val="00761696"/>
    <w:rsid w:val="007616B5"/>
    <w:rsid w:val="00761834"/>
    <w:rsid w:val="00761D56"/>
    <w:rsid w:val="007620D8"/>
    <w:rsid w:val="007631A8"/>
    <w:rsid w:val="0076420A"/>
    <w:rsid w:val="0076492F"/>
    <w:rsid w:val="0076493D"/>
    <w:rsid w:val="00764D0F"/>
    <w:rsid w:val="00764ED5"/>
    <w:rsid w:val="007665AE"/>
    <w:rsid w:val="007665E7"/>
    <w:rsid w:val="00766AE8"/>
    <w:rsid w:val="00767809"/>
    <w:rsid w:val="00773845"/>
    <w:rsid w:val="007745B6"/>
    <w:rsid w:val="0077605D"/>
    <w:rsid w:val="0077746C"/>
    <w:rsid w:val="007806D6"/>
    <w:rsid w:val="00780896"/>
    <w:rsid w:val="00780E48"/>
    <w:rsid w:val="00780FF2"/>
    <w:rsid w:val="007815A1"/>
    <w:rsid w:val="00783BF6"/>
    <w:rsid w:val="00784BA7"/>
    <w:rsid w:val="0078501F"/>
    <w:rsid w:val="00785229"/>
    <w:rsid w:val="0079186B"/>
    <w:rsid w:val="007919EE"/>
    <w:rsid w:val="0079267C"/>
    <w:rsid w:val="00792A9A"/>
    <w:rsid w:val="00792B29"/>
    <w:rsid w:val="00793312"/>
    <w:rsid w:val="0079391A"/>
    <w:rsid w:val="007943E6"/>
    <w:rsid w:val="00794B5C"/>
    <w:rsid w:val="00794C7A"/>
    <w:rsid w:val="00796A9E"/>
    <w:rsid w:val="00796D05"/>
    <w:rsid w:val="00797687"/>
    <w:rsid w:val="007A0BE3"/>
    <w:rsid w:val="007A25AF"/>
    <w:rsid w:val="007A2AE9"/>
    <w:rsid w:val="007A2DEB"/>
    <w:rsid w:val="007A30A5"/>
    <w:rsid w:val="007A568E"/>
    <w:rsid w:val="007A5FB9"/>
    <w:rsid w:val="007A651C"/>
    <w:rsid w:val="007A664A"/>
    <w:rsid w:val="007A6E4F"/>
    <w:rsid w:val="007A70C6"/>
    <w:rsid w:val="007A7382"/>
    <w:rsid w:val="007A7FF2"/>
    <w:rsid w:val="007B11D0"/>
    <w:rsid w:val="007B189F"/>
    <w:rsid w:val="007B1CB5"/>
    <w:rsid w:val="007B27E9"/>
    <w:rsid w:val="007B2987"/>
    <w:rsid w:val="007B39E1"/>
    <w:rsid w:val="007B6A8F"/>
    <w:rsid w:val="007B70D3"/>
    <w:rsid w:val="007B7D10"/>
    <w:rsid w:val="007C1116"/>
    <w:rsid w:val="007C12D9"/>
    <w:rsid w:val="007C3AA6"/>
    <w:rsid w:val="007C4B93"/>
    <w:rsid w:val="007C4EF2"/>
    <w:rsid w:val="007C55D4"/>
    <w:rsid w:val="007D093F"/>
    <w:rsid w:val="007D0BE8"/>
    <w:rsid w:val="007D0D6D"/>
    <w:rsid w:val="007D283E"/>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2BF"/>
    <w:rsid w:val="007E554E"/>
    <w:rsid w:val="007E594F"/>
    <w:rsid w:val="007E5A59"/>
    <w:rsid w:val="007E71DB"/>
    <w:rsid w:val="007E7C73"/>
    <w:rsid w:val="007F0225"/>
    <w:rsid w:val="007F0AC8"/>
    <w:rsid w:val="007F10CE"/>
    <w:rsid w:val="007F167C"/>
    <w:rsid w:val="007F2066"/>
    <w:rsid w:val="007F2B93"/>
    <w:rsid w:val="007F4005"/>
    <w:rsid w:val="007F64E9"/>
    <w:rsid w:val="007F7D89"/>
    <w:rsid w:val="007F7EFE"/>
    <w:rsid w:val="007F7F51"/>
    <w:rsid w:val="0080100B"/>
    <w:rsid w:val="008014A8"/>
    <w:rsid w:val="00801BBC"/>
    <w:rsid w:val="00802320"/>
    <w:rsid w:val="00802684"/>
    <w:rsid w:val="00804380"/>
    <w:rsid w:val="00804490"/>
    <w:rsid w:val="00806655"/>
    <w:rsid w:val="008066E5"/>
    <w:rsid w:val="00806B2A"/>
    <w:rsid w:val="0080705A"/>
    <w:rsid w:val="008071EA"/>
    <w:rsid w:val="00810DA4"/>
    <w:rsid w:val="00813597"/>
    <w:rsid w:val="00813D3B"/>
    <w:rsid w:val="00814A29"/>
    <w:rsid w:val="00823846"/>
    <w:rsid w:val="008259B8"/>
    <w:rsid w:val="00825ADA"/>
    <w:rsid w:val="00825DEA"/>
    <w:rsid w:val="0082667C"/>
    <w:rsid w:val="008266E5"/>
    <w:rsid w:val="008269BB"/>
    <w:rsid w:val="00827362"/>
    <w:rsid w:val="008279A8"/>
    <w:rsid w:val="00827CE5"/>
    <w:rsid w:val="00827E59"/>
    <w:rsid w:val="0083160C"/>
    <w:rsid w:val="00832787"/>
    <w:rsid w:val="0083338A"/>
    <w:rsid w:val="00833923"/>
    <w:rsid w:val="0083465D"/>
    <w:rsid w:val="00834CDA"/>
    <w:rsid w:val="0083532F"/>
    <w:rsid w:val="008362EF"/>
    <w:rsid w:val="008367C0"/>
    <w:rsid w:val="00840F68"/>
    <w:rsid w:val="00843EBB"/>
    <w:rsid w:val="008443EB"/>
    <w:rsid w:val="00844E1C"/>
    <w:rsid w:val="00845002"/>
    <w:rsid w:val="008465EC"/>
    <w:rsid w:val="00847A9C"/>
    <w:rsid w:val="008528BA"/>
    <w:rsid w:val="00853C7D"/>
    <w:rsid w:val="00854421"/>
    <w:rsid w:val="00855674"/>
    <w:rsid w:val="00855C9D"/>
    <w:rsid w:val="008611EC"/>
    <w:rsid w:val="0086291A"/>
    <w:rsid w:val="00862D4F"/>
    <w:rsid w:val="00867BD0"/>
    <w:rsid w:val="00870112"/>
    <w:rsid w:val="00871456"/>
    <w:rsid w:val="00871856"/>
    <w:rsid w:val="00872ABA"/>
    <w:rsid w:val="00872FCE"/>
    <w:rsid w:val="00873D82"/>
    <w:rsid w:val="00874290"/>
    <w:rsid w:val="00874D57"/>
    <w:rsid w:val="00874EBD"/>
    <w:rsid w:val="008750A3"/>
    <w:rsid w:val="008761FC"/>
    <w:rsid w:val="00877D2F"/>
    <w:rsid w:val="008800C1"/>
    <w:rsid w:val="0088062E"/>
    <w:rsid w:val="00881137"/>
    <w:rsid w:val="00882559"/>
    <w:rsid w:val="00882933"/>
    <w:rsid w:val="00883A75"/>
    <w:rsid w:val="00883F98"/>
    <w:rsid w:val="00884396"/>
    <w:rsid w:val="008843FC"/>
    <w:rsid w:val="00885E0F"/>
    <w:rsid w:val="008862BD"/>
    <w:rsid w:val="008863E8"/>
    <w:rsid w:val="00886400"/>
    <w:rsid w:val="008917E7"/>
    <w:rsid w:val="008941BE"/>
    <w:rsid w:val="008947CF"/>
    <w:rsid w:val="008962E9"/>
    <w:rsid w:val="0089642E"/>
    <w:rsid w:val="0089653C"/>
    <w:rsid w:val="00896CA9"/>
    <w:rsid w:val="008A0D19"/>
    <w:rsid w:val="008A0DE6"/>
    <w:rsid w:val="008A1FF5"/>
    <w:rsid w:val="008A233D"/>
    <w:rsid w:val="008A237E"/>
    <w:rsid w:val="008A3BD1"/>
    <w:rsid w:val="008A447D"/>
    <w:rsid w:val="008A4AF5"/>
    <w:rsid w:val="008A4EFA"/>
    <w:rsid w:val="008A62A5"/>
    <w:rsid w:val="008A791B"/>
    <w:rsid w:val="008A7E2E"/>
    <w:rsid w:val="008B0488"/>
    <w:rsid w:val="008B3124"/>
    <w:rsid w:val="008B3B4B"/>
    <w:rsid w:val="008B5749"/>
    <w:rsid w:val="008B6744"/>
    <w:rsid w:val="008B72A5"/>
    <w:rsid w:val="008B7762"/>
    <w:rsid w:val="008C0421"/>
    <w:rsid w:val="008C0B42"/>
    <w:rsid w:val="008C1918"/>
    <w:rsid w:val="008C1A51"/>
    <w:rsid w:val="008C2A4A"/>
    <w:rsid w:val="008C2F29"/>
    <w:rsid w:val="008C4AD0"/>
    <w:rsid w:val="008C6B30"/>
    <w:rsid w:val="008C7E4D"/>
    <w:rsid w:val="008D087D"/>
    <w:rsid w:val="008D3033"/>
    <w:rsid w:val="008D493B"/>
    <w:rsid w:val="008D4A7C"/>
    <w:rsid w:val="008D51DA"/>
    <w:rsid w:val="008D53A9"/>
    <w:rsid w:val="008D5615"/>
    <w:rsid w:val="008D5F0D"/>
    <w:rsid w:val="008D683A"/>
    <w:rsid w:val="008D6F1D"/>
    <w:rsid w:val="008E0359"/>
    <w:rsid w:val="008E0805"/>
    <w:rsid w:val="008E0FFB"/>
    <w:rsid w:val="008E25B1"/>
    <w:rsid w:val="008E2B4D"/>
    <w:rsid w:val="008E3094"/>
    <w:rsid w:val="008E3295"/>
    <w:rsid w:val="008E55EA"/>
    <w:rsid w:val="008E5926"/>
    <w:rsid w:val="008E75C5"/>
    <w:rsid w:val="008E7887"/>
    <w:rsid w:val="008E7E6E"/>
    <w:rsid w:val="008F1194"/>
    <w:rsid w:val="008F1884"/>
    <w:rsid w:val="008F1AD8"/>
    <w:rsid w:val="008F237A"/>
    <w:rsid w:val="008F2796"/>
    <w:rsid w:val="008F34D3"/>
    <w:rsid w:val="008F63EB"/>
    <w:rsid w:val="008F6A2F"/>
    <w:rsid w:val="008F6B5E"/>
    <w:rsid w:val="008F755E"/>
    <w:rsid w:val="008F79D0"/>
    <w:rsid w:val="009008B1"/>
    <w:rsid w:val="00901DB3"/>
    <w:rsid w:val="00902015"/>
    <w:rsid w:val="00903531"/>
    <w:rsid w:val="00904A65"/>
    <w:rsid w:val="00905793"/>
    <w:rsid w:val="00907263"/>
    <w:rsid w:val="009073CE"/>
    <w:rsid w:val="00910C58"/>
    <w:rsid w:val="009123F6"/>
    <w:rsid w:val="00913E2A"/>
    <w:rsid w:val="0091468D"/>
    <w:rsid w:val="0091475E"/>
    <w:rsid w:val="00914F38"/>
    <w:rsid w:val="009163B6"/>
    <w:rsid w:val="00916B61"/>
    <w:rsid w:val="00917ED2"/>
    <w:rsid w:val="00917F42"/>
    <w:rsid w:val="009205E3"/>
    <w:rsid w:val="009217A9"/>
    <w:rsid w:val="00922F29"/>
    <w:rsid w:val="009231E6"/>
    <w:rsid w:val="00924303"/>
    <w:rsid w:val="00924926"/>
    <w:rsid w:val="00924ED9"/>
    <w:rsid w:val="0092594C"/>
    <w:rsid w:val="00926954"/>
    <w:rsid w:val="009277E9"/>
    <w:rsid w:val="00927A03"/>
    <w:rsid w:val="0093042C"/>
    <w:rsid w:val="00931316"/>
    <w:rsid w:val="009315B3"/>
    <w:rsid w:val="00933086"/>
    <w:rsid w:val="00933611"/>
    <w:rsid w:val="0093478E"/>
    <w:rsid w:val="00934A0F"/>
    <w:rsid w:val="00934ABD"/>
    <w:rsid w:val="00934FDD"/>
    <w:rsid w:val="009364C0"/>
    <w:rsid w:val="00937ED6"/>
    <w:rsid w:val="00940452"/>
    <w:rsid w:val="009406E7"/>
    <w:rsid w:val="00940B04"/>
    <w:rsid w:val="00944575"/>
    <w:rsid w:val="00944AB3"/>
    <w:rsid w:val="009465F6"/>
    <w:rsid w:val="009469A2"/>
    <w:rsid w:val="00950141"/>
    <w:rsid w:val="00950FC7"/>
    <w:rsid w:val="00951D07"/>
    <w:rsid w:val="00952A3E"/>
    <w:rsid w:val="00953FB3"/>
    <w:rsid w:val="0095455D"/>
    <w:rsid w:val="0095482D"/>
    <w:rsid w:val="009563AA"/>
    <w:rsid w:val="00957BED"/>
    <w:rsid w:val="0096004E"/>
    <w:rsid w:val="009623A4"/>
    <w:rsid w:val="00962AE7"/>
    <w:rsid w:val="00963229"/>
    <w:rsid w:val="0096515A"/>
    <w:rsid w:val="0096573E"/>
    <w:rsid w:val="00965C79"/>
    <w:rsid w:val="009662F5"/>
    <w:rsid w:val="00966601"/>
    <w:rsid w:val="00967094"/>
    <w:rsid w:val="00970079"/>
    <w:rsid w:val="009700A9"/>
    <w:rsid w:val="00970A79"/>
    <w:rsid w:val="00973C9C"/>
    <w:rsid w:val="009752BD"/>
    <w:rsid w:val="009758CF"/>
    <w:rsid w:val="00976C9C"/>
    <w:rsid w:val="00976CF4"/>
    <w:rsid w:val="009835C4"/>
    <w:rsid w:val="00983B0F"/>
    <w:rsid w:val="00984E05"/>
    <w:rsid w:val="00985554"/>
    <w:rsid w:val="00985A65"/>
    <w:rsid w:val="0098672A"/>
    <w:rsid w:val="00987830"/>
    <w:rsid w:val="00990141"/>
    <w:rsid w:val="00990D6F"/>
    <w:rsid w:val="0099131F"/>
    <w:rsid w:val="0099157D"/>
    <w:rsid w:val="00993A67"/>
    <w:rsid w:val="00994D7F"/>
    <w:rsid w:val="009962A0"/>
    <w:rsid w:val="0099644E"/>
    <w:rsid w:val="00996F8C"/>
    <w:rsid w:val="009A0627"/>
    <w:rsid w:val="009A44CB"/>
    <w:rsid w:val="009A454D"/>
    <w:rsid w:val="009A472B"/>
    <w:rsid w:val="009A5C14"/>
    <w:rsid w:val="009A5EC8"/>
    <w:rsid w:val="009A6141"/>
    <w:rsid w:val="009A750A"/>
    <w:rsid w:val="009A7763"/>
    <w:rsid w:val="009A7A9E"/>
    <w:rsid w:val="009A7B95"/>
    <w:rsid w:val="009B05E8"/>
    <w:rsid w:val="009B05F1"/>
    <w:rsid w:val="009B126C"/>
    <w:rsid w:val="009B19B4"/>
    <w:rsid w:val="009B2CF2"/>
    <w:rsid w:val="009B3751"/>
    <w:rsid w:val="009B45E7"/>
    <w:rsid w:val="009B493A"/>
    <w:rsid w:val="009B4DE3"/>
    <w:rsid w:val="009B537A"/>
    <w:rsid w:val="009B62CB"/>
    <w:rsid w:val="009B6612"/>
    <w:rsid w:val="009B6A55"/>
    <w:rsid w:val="009B751A"/>
    <w:rsid w:val="009C158C"/>
    <w:rsid w:val="009C196E"/>
    <w:rsid w:val="009C2F04"/>
    <w:rsid w:val="009C3B52"/>
    <w:rsid w:val="009C4A6F"/>
    <w:rsid w:val="009C55F9"/>
    <w:rsid w:val="009C6025"/>
    <w:rsid w:val="009C7197"/>
    <w:rsid w:val="009D161B"/>
    <w:rsid w:val="009D18A0"/>
    <w:rsid w:val="009D1EF0"/>
    <w:rsid w:val="009D478F"/>
    <w:rsid w:val="009D479C"/>
    <w:rsid w:val="009D5125"/>
    <w:rsid w:val="009D545D"/>
    <w:rsid w:val="009D6126"/>
    <w:rsid w:val="009D705F"/>
    <w:rsid w:val="009D707E"/>
    <w:rsid w:val="009D7772"/>
    <w:rsid w:val="009D7E79"/>
    <w:rsid w:val="009E1143"/>
    <w:rsid w:val="009E165F"/>
    <w:rsid w:val="009E26F3"/>
    <w:rsid w:val="009E2925"/>
    <w:rsid w:val="009E409E"/>
    <w:rsid w:val="009E4C22"/>
    <w:rsid w:val="009E63C4"/>
    <w:rsid w:val="009E7131"/>
    <w:rsid w:val="009F0065"/>
    <w:rsid w:val="009F0651"/>
    <w:rsid w:val="009F0908"/>
    <w:rsid w:val="009F1BCB"/>
    <w:rsid w:val="009F2488"/>
    <w:rsid w:val="009F3305"/>
    <w:rsid w:val="009F3650"/>
    <w:rsid w:val="009F6E81"/>
    <w:rsid w:val="009F7321"/>
    <w:rsid w:val="00A00194"/>
    <w:rsid w:val="00A001C6"/>
    <w:rsid w:val="00A00244"/>
    <w:rsid w:val="00A02BF2"/>
    <w:rsid w:val="00A031F9"/>
    <w:rsid w:val="00A03BD6"/>
    <w:rsid w:val="00A05A0B"/>
    <w:rsid w:val="00A05E0C"/>
    <w:rsid w:val="00A10C32"/>
    <w:rsid w:val="00A12FE6"/>
    <w:rsid w:val="00A14944"/>
    <w:rsid w:val="00A1714E"/>
    <w:rsid w:val="00A2017E"/>
    <w:rsid w:val="00A2337E"/>
    <w:rsid w:val="00A24A28"/>
    <w:rsid w:val="00A24B21"/>
    <w:rsid w:val="00A24FA6"/>
    <w:rsid w:val="00A253E4"/>
    <w:rsid w:val="00A2547A"/>
    <w:rsid w:val="00A261BA"/>
    <w:rsid w:val="00A27C2D"/>
    <w:rsid w:val="00A33A71"/>
    <w:rsid w:val="00A33CBD"/>
    <w:rsid w:val="00A343D4"/>
    <w:rsid w:val="00A403A8"/>
    <w:rsid w:val="00A404B2"/>
    <w:rsid w:val="00A406D2"/>
    <w:rsid w:val="00A41764"/>
    <w:rsid w:val="00A41901"/>
    <w:rsid w:val="00A41B44"/>
    <w:rsid w:val="00A41C86"/>
    <w:rsid w:val="00A428F3"/>
    <w:rsid w:val="00A42F93"/>
    <w:rsid w:val="00A44630"/>
    <w:rsid w:val="00A446D4"/>
    <w:rsid w:val="00A44AC4"/>
    <w:rsid w:val="00A4582E"/>
    <w:rsid w:val="00A466C5"/>
    <w:rsid w:val="00A472C5"/>
    <w:rsid w:val="00A50CD1"/>
    <w:rsid w:val="00A513F1"/>
    <w:rsid w:val="00A528CC"/>
    <w:rsid w:val="00A52EF0"/>
    <w:rsid w:val="00A53DF9"/>
    <w:rsid w:val="00A5472F"/>
    <w:rsid w:val="00A54C4F"/>
    <w:rsid w:val="00A560DE"/>
    <w:rsid w:val="00A565E9"/>
    <w:rsid w:val="00A56F02"/>
    <w:rsid w:val="00A57FD5"/>
    <w:rsid w:val="00A60463"/>
    <w:rsid w:val="00A60D31"/>
    <w:rsid w:val="00A61A8A"/>
    <w:rsid w:val="00A61B87"/>
    <w:rsid w:val="00A62028"/>
    <w:rsid w:val="00A628D7"/>
    <w:rsid w:val="00A6320B"/>
    <w:rsid w:val="00A6444C"/>
    <w:rsid w:val="00A64491"/>
    <w:rsid w:val="00A65141"/>
    <w:rsid w:val="00A66485"/>
    <w:rsid w:val="00A66DA4"/>
    <w:rsid w:val="00A71874"/>
    <w:rsid w:val="00A74126"/>
    <w:rsid w:val="00A7441C"/>
    <w:rsid w:val="00A75036"/>
    <w:rsid w:val="00A7606A"/>
    <w:rsid w:val="00A7702A"/>
    <w:rsid w:val="00A80332"/>
    <w:rsid w:val="00A80AA1"/>
    <w:rsid w:val="00A80D18"/>
    <w:rsid w:val="00A82149"/>
    <w:rsid w:val="00A8228B"/>
    <w:rsid w:val="00A82C28"/>
    <w:rsid w:val="00A84413"/>
    <w:rsid w:val="00A85069"/>
    <w:rsid w:val="00A851D3"/>
    <w:rsid w:val="00A85C99"/>
    <w:rsid w:val="00A85E2E"/>
    <w:rsid w:val="00A86059"/>
    <w:rsid w:val="00A8682A"/>
    <w:rsid w:val="00A87275"/>
    <w:rsid w:val="00A877EA"/>
    <w:rsid w:val="00A90434"/>
    <w:rsid w:val="00A90848"/>
    <w:rsid w:val="00A90ADF"/>
    <w:rsid w:val="00A90D5D"/>
    <w:rsid w:val="00A919A8"/>
    <w:rsid w:val="00A94817"/>
    <w:rsid w:val="00A95E04"/>
    <w:rsid w:val="00A9702D"/>
    <w:rsid w:val="00AA09CE"/>
    <w:rsid w:val="00AA109A"/>
    <w:rsid w:val="00AA184D"/>
    <w:rsid w:val="00AA21D4"/>
    <w:rsid w:val="00AA3ADF"/>
    <w:rsid w:val="00AA4945"/>
    <w:rsid w:val="00AA4E30"/>
    <w:rsid w:val="00AA4F18"/>
    <w:rsid w:val="00AA7490"/>
    <w:rsid w:val="00AA7EB9"/>
    <w:rsid w:val="00AB0321"/>
    <w:rsid w:val="00AB21EA"/>
    <w:rsid w:val="00AB29DA"/>
    <w:rsid w:val="00AB2D5C"/>
    <w:rsid w:val="00AB30C4"/>
    <w:rsid w:val="00AB38FC"/>
    <w:rsid w:val="00AB3BFD"/>
    <w:rsid w:val="00AB4582"/>
    <w:rsid w:val="00AB4664"/>
    <w:rsid w:val="00AB51C0"/>
    <w:rsid w:val="00AB538D"/>
    <w:rsid w:val="00AB70F7"/>
    <w:rsid w:val="00AC078F"/>
    <w:rsid w:val="00AC12F5"/>
    <w:rsid w:val="00AC2A9D"/>
    <w:rsid w:val="00AC56CE"/>
    <w:rsid w:val="00AC59CF"/>
    <w:rsid w:val="00AC604F"/>
    <w:rsid w:val="00AC71B2"/>
    <w:rsid w:val="00AC79C0"/>
    <w:rsid w:val="00AC7EE4"/>
    <w:rsid w:val="00AD240B"/>
    <w:rsid w:val="00AD2F15"/>
    <w:rsid w:val="00AD34FD"/>
    <w:rsid w:val="00AD4224"/>
    <w:rsid w:val="00AD4E75"/>
    <w:rsid w:val="00AD5D5A"/>
    <w:rsid w:val="00AD6DC7"/>
    <w:rsid w:val="00AD74C8"/>
    <w:rsid w:val="00AE047F"/>
    <w:rsid w:val="00AE3181"/>
    <w:rsid w:val="00AE357C"/>
    <w:rsid w:val="00AE3F94"/>
    <w:rsid w:val="00AE6795"/>
    <w:rsid w:val="00AE6CB3"/>
    <w:rsid w:val="00AE6ED6"/>
    <w:rsid w:val="00AE7EDF"/>
    <w:rsid w:val="00AF07F9"/>
    <w:rsid w:val="00AF165B"/>
    <w:rsid w:val="00AF16C9"/>
    <w:rsid w:val="00AF3257"/>
    <w:rsid w:val="00AF4186"/>
    <w:rsid w:val="00AF4323"/>
    <w:rsid w:val="00AF4AF8"/>
    <w:rsid w:val="00AF59DA"/>
    <w:rsid w:val="00B006E7"/>
    <w:rsid w:val="00B01969"/>
    <w:rsid w:val="00B02FCB"/>
    <w:rsid w:val="00B04BED"/>
    <w:rsid w:val="00B07347"/>
    <w:rsid w:val="00B10470"/>
    <w:rsid w:val="00B10AEC"/>
    <w:rsid w:val="00B11E89"/>
    <w:rsid w:val="00B12515"/>
    <w:rsid w:val="00B1367C"/>
    <w:rsid w:val="00B14BD4"/>
    <w:rsid w:val="00B16963"/>
    <w:rsid w:val="00B1774E"/>
    <w:rsid w:val="00B2034E"/>
    <w:rsid w:val="00B2044E"/>
    <w:rsid w:val="00B21DE8"/>
    <w:rsid w:val="00B234B3"/>
    <w:rsid w:val="00B24FA2"/>
    <w:rsid w:val="00B25E60"/>
    <w:rsid w:val="00B26121"/>
    <w:rsid w:val="00B27C22"/>
    <w:rsid w:val="00B27D31"/>
    <w:rsid w:val="00B30BB7"/>
    <w:rsid w:val="00B3130A"/>
    <w:rsid w:val="00B320FF"/>
    <w:rsid w:val="00B32385"/>
    <w:rsid w:val="00B32B9E"/>
    <w:rsid w:val="00B32FB1"/>
    <w:rsid w:val="00B350EC"/>
    <w:rsid w:val="00B35AFE"/>
    <w:rsid w:val="00B40329"/>
    <w:rsid w:val="00B40B8D"/>
    <w:rsid w:val="00B4103B"/>
    <w:rsid w:val="00B422E2"/>
    <w:rsid w:val="00B432A2"/>
    <w:rsid w:val="00B4416E"/>
    <w:rsid w:val="00B45440"/>
    <w:rsid w:val="00B4724A"/>
    <w:rsid w:val="00B5219A"/>
    <w:rsid w:val="00B53BE1"/>
    <w:rsid w:val="00B5466A"/>
    <w:rsid w:val="00B546E5"/>
    <w:rsid w:val="00B54E07"/>
    <w:rsid w:val="00B54EBB"/>
    <w:rsid w:val="00B565C8"/>
    <w:rsid w:val="00B575ED"/>
    <w:rsid w:val="00B57F78"/>
    <w:rsid w:val="00B62F9E"/>
    <w:rsid w:val="00B6326B"/>
    <w:rsid w:val="00B652B5"/>
    <w:rsid w:val="00B66F7A"/>
    <w:rsid w:val="00B67C43"/>
    <w:rsid w:val="00B67ED0"/>
    <w:rsid w:val="00B70E53"/>
    <w:rsid w:val="00B71451"/>
    <w:rsid w:val="00B74278"/>
    <w:rsid w:val="00B74705"/>
    <w:rsid w:val="00B74730"/>
    <w:rsid w:val="00B75149"/>
    <w:rsid w:val="00B773C5"/>
    <w:rsid w:val="00B80201"/>
    <w:rsid w:val="00B803D6"/>
    <w:rsid w:val="00B83257"/>
    <w:rsid w:val="00B83A93"/>
    <w:rsid w:val="00B83B89"/>
    <w:rsid w:val="00B903E3"/>
    <w:rsid w:val="00B90D97"/>
    <w:rsid w:val="00B911C2"/>
    <w:rsid w:val="00B91DF8"/>
    <w:rsid w:val="00B93396"/>
    <w:rsid w:val="00B95300"/>
    <w:rsid w:val="00B9543E"/>
    <w:rsid w:val="00B9594C"/>
    <w:rsid w:val="00B969CB"/>
    <w:rsid w:val="00B96F03"/>
    <w:rsid w:val="00B9734C"/>
    <w:rsid w:val="00BA0B05"/>
    <w:rsid w:val="00BA1C6F"/>
    <w:rsid w:val="00BA314C"/>
    <w:rsid w:val="00BA52F8"/>
    <w:rsid w:val="00BA6C1F"/>
    <w:rsid w:val="00BA6D21"/>
    <w:rsid w:val="00BB1BEE"/>
    <w:rsid w:val="00BB1E94"/>
    <w:rsid w:val="00BB57F4"/>
    <w:rsid w:val="00BB64DA"/>
    <w:rsid w:val="00BB667B"/>
    <w:rsid w:val="00BB7712"/>
    <w:rsid w:val="00BC1222"/>
    <w:rsid w:val="00BC177D"/>
    <w:rsid w:val="00BC1947"/>
    <w:rsid w:val="00BC1A41"/>
    <w:rsid w:val="00BC2114"/>
    <w:rsid w:val="00BC240F"/>
    <w:rsid w:val="00BC2908"/>
    <w:rsid w:val="00BC37A5"/>
    <w:rsid w:val="00BC3FC3"/>
    <w:rsid w:val="00BC5224"/>
    <w:rsid w:val="00BC6BAB"/>
    <w:rsid w:val="00BC6FDF"/>
    <w:rsid w:val="00BC7725"/>
    <w:rsid w:val="00BC7AE4"/>
    <w:rsid w:val="00BC7D79"/>
    <w:rsid w:val="00BD0075"/>
    <w:rsid w:val="00BD02DD"/>
    <w:rsid w:val="00BD09E2"/>
    <w:rsid w:val="00BD2C45"/>
    <w:rsid w:val="00BD4A4B"/>
    <w:rsid w:val="00BD4C27"/>
    <w:rsid w:val="00BD626E"/>
    <w:rsid w:val="00BD6E92"/>
    <w:rsid w:val="00BD74FA"/>
    <w:rsid w:val="00BD7A22"/>
    <w:rsid w:val="00BE05BB"/>
    <w:rsid w:val="00BE0F25"/>
    <w:rsid w:val="00BE207E"/>
    <w:rsid w:val="00BE274E"/>
    <w:rsid w:val="00BE2B1B"/>
    <w:rsid w:val="00BE336C"/>
    <w:rsid w:val="00BE4D2C"/>
    <w:rsid w:val="00BE5835"/>
    <w:rsid w:val="00BE7308"/>
    <w:rsid w:val="00BE74DF"/>
    <w:rsid w:val="00BE7988"/>
    <w:rsid w:val="00BE7F6B"/>
    <w:rsid w:val="00BF0382"/>
    <w:rsid w:val="00BF082E"/>
    <w:rsid w:val="00BF0FC4"/>
    <w:rsid w:val="00BF1E0A"/>
    <w:rsid w:val="00BF27E9"/>
    <w:rsid w:val="00BF4212"/>
    <w:rsid w:val="00BF6F76"/>
    <w:rsid w:val="00C02978"/>
    <w:rsid w:val="00C034A9"/>
    <w:rsid w:val="00C03859"/>
    <w:rsid w:val="00C03DBF"/>
    <w:rsid w:val="00C04FA0"/>
    <w:rsid w:val="00C05E01"/>
    <w:rsid w:val="00C05E42"/>
    <w:rsid w:val="00C06075"/>
    <w:rsid w:val="00C063F1"/>
    <w:rsid w:val="00C078BD"/>
    <w:rsid w:val="00C11AF5"/>
    <w:rsid w:val="00C13805"/>
    <w:rsid w:val="00C15CA6"/>
    <w:rsid w:val="00C16807"/>
    <w:rsid w:val="00C2025F"/>
    <w:rsid w:val="00C214FA"/>
    <w:rsid w:val="00C2167D"/>
    <w:rsid w:val="00C21BCC"/>
    <w:rsid w:val="00C228FA"/>
    <w:rsid w:val="00C23390"/>
    <w:rsid w:val="00C23C07"/>
    <w:rsid w:val="00C2403A"/>
    <w:rsid w:val="00C24CC2"/>
    <w:rsid w:val="00C260F7"/>
    <w:rsid w:val="00C2632E"/>
    <w:rsid w:val="00C266D3"/>
    <w:rsid w:val="00C266DA"/>
    <w:rsid w:val="00C26FE9"/>
    <w:rsid w:val="00C27941"/>
    <w:rsid w:val="00C27BD3"/>
    <w:rsid w:val="00C27D03"/>
    <w:rsid w:val="00C30D8F"/>
    <w:rsid w:val="00C31095"/>
    <w:rsid w:val="00C31607"/>
    <w:rsid w:val="00C32321"/>
    <w:rsid w:val="00C32332"/>
    <w:rsid w:val="00C349F0"/>
    <w:rsid w:val="00C34A1E"/>
    <w:rsid w:val="00C3720B"/>
    <w:rsid w:val="00C41423"/>
    <w:rsid w:val="00C41D5D"/>
    <w:rsid w:val="00C429A1"/>
    <w:rsid w:val="00C43335"/>
    <w:rsid w:val="00C4334F"/>
    <w:rsid w:val="00C4434A"/>
    <w:rsid w:val="00C44974"/>
    <w:rsid w:val="00C44E9E"/>
    <w:rsid w:val="00C46098"/>
    <w:rsid w:val="00C46439"/>
    <w:rsid w:val="00C46B32"/>
    <w:rsid w:val="00C47A26"/>
    <w:rsid w:val="00C50556"/>
    <w:rsid w:val="00C50E1F"/>
    <w:rsid w:val="00C516EC"/>
    <w:rsid w:val="00C53DC9"/>
    <w:rsid w:val="00C55526"/>
    <w:rsid w:val="00C569A6"/>
    <w:rsid w:val="00C571A9"/>
    <w:rsid w:val="00C57A73"/>
    <w:rsid w:val="00C615A7"/>
    <w:rsid w:val="00C616BF"/>
    <w:rsid w:val="00C62C5D"/>
    <w:rsid w:val="00C64873"/>
    <w:rsid w:val="00C65A0A"/>
    <w:rsid w:val="00C66628"/>
    <w:rsid w:val="00C6723F"/>
    <w:rsid w:val="00C67B39"/>
    <w:rsid w:val="00C734C0"/>
    <w:rsid w:val="00C73966"/>
    <w:rsid w:val="00C73C3D"/>
    <w:rsid w:val="00C7422F"/>
    <w:rsid w:val="00C751BF"/>
    <w:rsid w:val="00C7651A"/>
    <w:rsid w:val="00C77280"/>
    <w:rsid w:val="00C7772C"/>
    <w:rsid w:val="00C812AA"/>
    <w:rsid w:val="00C81AD1"/>
    <w:rsid w:val="00C83111"/>
    <w:rsid w:val="00C84265"/>
    <w:rsid w:val="00C84ED5"/>
    <w:rsid w:val="00C87250"/>
    <w:rsid w:val="00C9070B"/>
    <w:rsid w:val="00C941DC"/>
    <w:rsid w:val="00C94791"/>
    <w:rsid w:val="00C96465"/>
    <w:rsid w:val="00C96D0A"/>
    <w:rsid w:val="00C97EDB"/>
    <w:rsid w:val="00CA001B"/>
    <w:rsid w:val="00CA01AD"/>
    <w:rsid w:val="00CA0417"/>
    <w:rsid w:val="00CA0456"/>
    <w:rsid w:val="00CA0D73"/>
    <w:rsid w:val="00CA1A52"/>
    <w:rsid w:val="00CA2625"/>
    <w:rsid w:val="00CA2C90"/>
    <w:rsid w:val="00CA3024"/>
    <w:rsid w:val="00CA3E46"/>
    <w:rsid w:val="00CA485C"/>
    <w:rsid w:val="00CA5403"/>
    <w:rsid w:val="00CA5475"/>
    <w:rsid w:val="00CA69EC"/>
    <w:rsid w:val="00CA6FE3"/>
    <w:rsid w:val="00CA76CF"/>
    <w:rsid w:val="00CA7880"/>
    <w:rsid w:val="00CB1161"/>
    <w:rsid w:val="00CB19DA"/>
    <w:rsid w:val="00CB1BF5"/>
    <w:rsid w:val="00CB3AF4"/>
    <w:rsid w:val="00CB3F45"/>
    <w:rsid w:val="00CB40A0"/>
    <w:rsid w:val="00CB44F6"/>
    <w:rsid w:val="00CB51FF"/>
    <w:rsid w:val="00CB77CB"/>
    <w:rsid w:val="00CC0334"/>
    <w:rsid w:val="00CC1692"/>
    <w:rsid w:val="00CC1B8B"/>
    <w:rsid w:val="00CC1DF5"/>
    <w:rsid w:val="00CC3A59"/>
    <w:rsid w:val="00CC3B45"/>
    <w:rsid w:val="00CC4253"/>
    <w:rsid w:val="00CC444E"/>
    <w:rsid w:val="00CC4804"/>
    <w:rsid w:val="00CC5133"/>
    <w:rsid w:val="00CC5F27"/>
    <w:rsid w:val="00CC63FE"/>
    <w:rsid w:val="00CC7437"/>
    <w:rsid w:val="00CC7752"/>
    <w:rsid w:val="00CD16A3"/>
    <w:rsid w:val="00CD1841"/>
    <w:rsid w:val="00CD20E1"/>
    <w:rsid w:val="00CD3BBB"/>
    <w:rsid w:val="00CD3C54"/>
    <w:rsid w:val="00CD51EC"/>
    <w:rsid w:val="00CD6961"/>
    <w:rsid w:val="00CD7CC7"/>
    <w:rsid w:val="00CE081E"/>
    <w:rsid w:val="00CE08DD"/>
    <w:rsid w:val="00CE09F2"/>
    <w:rsid w:val="00CE2CDA"/>
    <w:rsid w:val="00CE3521"/>
    <w:rsid w:val="00CE3BC2"/>
    <w:rsid w:val="00CE4873"/>
    <w:rsid w:val="00CE5723"/>
    <w:rsid w:val="00CE57FF"/>
    <w:rsid w:val="00CE6ED8"/>
    <w:rsid w:val="00CE74C3"/>
    <w:rsid w:val="00CF0025"/>
    <w:rsid w:val="00CF0EFF"/>
    <w:rsid w:val="00CF1168"/>
    <w:rsid w:val="00CF1C88"/>
    <w:rsid w:val="00CF3FC7"/>
    <w:rsid w:val="00CF4077"/>
    <w:rsid w:val="00CF4841"/>
    <w:rsid w:val="00CF5493"/>
    <w:rsid w:val="00CF67D8"/>
    <w:rsid w:val="00CF694E"/>
    <w:rsid w:val="00CF6BF4"/>
    <w:rsid w:val="00CF77C7"/>
    <w:rsid w:val="00CF7DE9"/>
    <w:rsid w:val="00D01398"/>
    <w:rsid w:val="00D0189D"/>
    <w:rsid w:val="00D03B93"/>
    <w:rsid w:val="00D041B0"/>
    <w:rsid w:val="00D043DC"/>
    <w:rsid w:val="00D04528"/>
    <w:rsid w:val="00D04DD7"/>
    <w:rsid w:val="00D050BA"/>
    <w:rsid w:val="00D05E32"/>
    <w:rsid w:val="00D0640E"/>
    <w:rsid w:val="00D06FC6"/>
    <w:rsid w:val="00D106A3"/>
    <w:rsid w:val="00D11CE7"/>
    <w:rsid w:val="00D12281"/>
    <w:rsid w:val="00D13BE2"/>
    <w:rsid w:val="00D14D03"/>
    <w:rsid w:val="00D174F0"/>
    <w:rsid w:val="00D175B7"/>
    <w:rsid w:val="00D17707"/>
    <w:rsid w:val="00D26679"/>
    <w:rsid w:val="00D2772F"/>
    <w:rsid w:val="00D3020A"/>
    <w:rsid w:val="00D3079F"/>
    <w:rsid w:val="00D30C5E"/>
    <w:rsid w:val="00D3100A"/>
    <w:rsid w:val="00D312EB"/>
    <w:rsid w:val="00D318BF"/>
    <w:rsid w:val="00D3348F"/>
    <w:rsid w:val="00D3413F"/>
    <w:rsid w:val="00D3477D"/>
    <w:rsid w:val="00D3483B"/>
    <w:rsid w:val="00D3497A"/>
    <w:rsid w:val="00D35B95"/>
    <w:rsid w:val="00D36B51"/>
    <w:rsid w:val="00D3705B"/>
    <w:rsid w:val="00D373B0"/>
    <w:rsid w:val="00D403B7"/>
    <w:rsid w:val="00D40C75"/>
    <w:rsid w:val="00D40F22"/>
    <w:rsid w:val="00D4142C"/>
    <w:rsid w:val="00D4229B"/>
    <w:rsid w:val="00D42F0B"/>
    <w:rsid w:val="00D45597"/>
    <w:rsid w:val="00D45823"/>
    <w:rsid w:val="00D45C32"/>
    <w:rsid w:val="00D462AD"/>
    <w:rsid w:val="00D46FF7"/>
    <w:rsid w:val="00D47AD5"/>
    <w:rsid w:val="00D518C3"/>
    <w:rsid w:val="00D51C09"/>
    <w:rsid w:val="00D532C6"/>
    <w:rsid w:val="00D5426B"/>
    <w:rsid w:val="00D54C4D"/>
    <w:rsid w:val="00D5599A"/>
    <w:rsid w:val="00D55B21"/>
    <w:rsid w:val="00D5693C"/>
    <w:rsid w:val="00D569AD"/>
    <w:rsid w:val="00D5793A"/>
    <w:rsid w:val="00D605E5"/>
    <w:rsid w:val="00D62A8B"/>
    <w:rsid w:val="00D64868"/>
    <w:rsid w:val="00D6594B"/>
    <w:rsid w:val="00D65F89"/>
    <w:rsid w:val="00D71595"/>
    <w:rsid w:val="00D71B33"/>
    <w:rsid w:val="00D72158"/>
    <w:rsid w:val="00D72E9A"/>
    <w:rsid w:val="00D740F4"/>
    <w:rsid w:val="00D7422C"/>
    <w:rsid w:val="00D802FD"/>
    <w:rsid w:val="00D869C5"/>
    <w:rsid w:val="00D92888"/>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0842"/>
    <w:rsid w:val="00DB1B33"/>
    <w:rsid w:val="00DB3F35"/>
    <w:rsid w:val="00DB550E"/>
    <w:rsid w:val="00DB6144"/>
    <w:rsid w:val="00DB6664"/>
    <w:rsid w:val="00DB6EAC"/>
    <w:rsid w:val="00DB73FB"/>
    <w:rsid w:val="00DB745E"/>
    <w:rsid w:val="00DB7CD4"/>
    <w:rsid w:val="00DC0DBE"/>
    <w:rsid w:val="00DC217C"/>
    <w:rsid w:val="00DC429D"/>
    <w:rsid w:val="00DC458D"/>
    <w:rsid w:val="00DC62D9"/>
    <w:rsid w:val="00DC6BCD"/>
    <w:rsid w:val="00DC6E17"/>
    <w:rsid w:val="00DC6F8F"/>
    <w:rsid w:val="00DC747D"/>
    <w:rsid w:val="00DD26B7"/>
    <w:rsid w:val="00DD35D4"/>
    <w:rsid w:val="00DD3848"/>
    <w:rsid w:val="00DD4DCA"/>
    <w:rsid w:val="00DD5181"/>
    <w:rsid w:val="00DD569F"/>
    <w:rsid w:val="00DD5B3A"/>
    <w:rsid w:val="00DD5CCB"/>
    <w:rsid w:val="00DD6003"/>
    <w:rsid w:val="00DD7B1D"/>
    <w:rsid w:val="00DE1A4C"/>
    <w:rsid w:val="00DE285A"/>
    <w:rsid w:val="00DE2F3F"/>
    <w:rsid w:val="00DE3E14"/>
    <w:rsid w:val="00DE5417"/>
    <w:rsid w:val="00DE5630"/>
    <w:rsid w:val="00DE5DD0"/>
    <w:rsid w:val="00DE608E"/>
    <w:rsid w:val="00DE7227"/>
    <w:rsid w:val="00DE76FC"/>
    <w:rsid w:val="00DF011C"/>
    <w:rsid w:val="00DF0BB3"/>
    <w:rsid w:val="00DF33A3"/>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3EEA"/>
    <w:rsid w:val="00E251B1"/>
    <w:rsid w:val="00E25CA8"/>
    <w:rsid w:val="00E26156"/>
    <w:rsid w:val="00E27323"/>
    <w:rsid w:val="00E3046F"/>
    <w:rsid w:val="00E30962"/>
    <w:rsid w:val="00E3099D"/>
    <w:rsid w:val="00E31CB4"/>
    <w:rsid w:val="00E333FB"/>
    <w:rsid w:val="00E3345C"/>
    <w:rsid w:val="00E36150"/>
    <w:rsid w:val="00E367BF"/>
    <w:rsid w:val="00E36EA0"/>
    <w:rsid w:val="00E36F7B"/>
    <w:rsid w:val="00E379CA"/>
    <w:rsid w:val="00E40778"/>
    <w:rsid w:val="00E41FE9"/>
    <w:rsid w:val="00E4501A"/>
    <w:rsid w:val="00E45135"/>
    <w:rsid w:val="00E4586E"/>
    <w:rsid w:val="00E45DEB"/>
    <w:rsid w:val="00E464B9"/>
    <w:rsid w:val="00E46BFA"/>
    <w:rsid w:val="00E477BE"/>
    <w:rsid w:val="00E47B62"/>
    <w:rsid w:val="00E511EA"/>
    <w:rsid w:val="00E51517"/>
    <w:rsid w:val="00E51F74"/>
    <w:rsid w:val="00E54533"/>
    <w:rsid w:val="00E55868"/>
    <w:rsid w:val="00E60C14"/>
    <w:rsid w:val="00E61815"/>
    <w:rsid w:val="00E61B4D"/>
    <w:rsid w:val="00E63806"/>
    <w:rsid w:val="00E65A34"/>
    <w:rsid w:val="00E65D86"/>
    <w:rsid w:val="00E66967"/>
    <w:rsid w:val="00E6717D"/>
    <w:rsid w:val="00E673C6"/>
    <w:rsid w:val="00E67E1C"/>
    <w:rsid w:val="00E67F79"/>
    <w:rsid w:val="00E70E2A"/>
    <w:rsid w:val="00E71B63"/>
    <w:rsid w:val="00E71BD4"/>
    <w:rsid w:val="00E72C1A"/>
    <w:rsid w:val="00E74BBE"/>
    <w:rsid w:val="00E763CD"/>
    <w:rsid w:val="00E76A0F"/>
    <w:rsid w:val="00E7711B"/>
    <w:rsid w:val="00E77E51"/>
    <w:rsid w:val="00E807D4"/>
    <w:rsid w:val="00E8114F"/>
    <w:rsid w:val="00E82425"/>
    <w:rsid w:val="00E828F9"/>
    <w:rsid w:val="00E82AF3"/>
    <w:rsid w:val="00E82B64"/>
    <w:rsid w:val="00E83E08"/>
    <w:rsid w:val="00E850A3"/>
    <w:rsid w:val="00E8528B"/>
    <w:rsid w:val="00E859BA"/>
    <w:rsid w:val="00E864F1"/>
    <w:rsid w:val="00E86A15"/>
    <w:rsid w:val="00E87034"/>
    <w:rsid w:val="00E870B0"/>
    <w:rsid w:val="00E90733"/>
    <w:rsid w:val="00E90F26"/>
    <w:rsid w:val="00E931A2"/>
    <w:rsid w:val="00E93D9A"/>
    <w:rsid w:val="00E96340"/>
    <w:rsid w:val="00EA26A5"/>
    <w:rsid w:val="00EA2E2E"/>
    <w:rsid w:val="00EA38D5"/>
    <w:rsid w:val="00EA4363"/>
    <w:rsid w:val="00EA5409"/>
    <w:rsid w:val="00EA566B"/>
    <w:rsid w:val="00EA5F10"/>
    <w:rsid w:val="00EA5F30"/>
    <w:rsid w:val="00EA6EA0"/>
    <w:rsid w:val="00EA6F59"/>
    <w:rsid w:val="00EA725B"/>
    <w:rsid w:val="00EA789A"/>
    <w:rsid w:val="00EA7F85"/>
    <w:rsid w:val="00EB219C"/>
    <w:rsid w:val="00EB321E"/>
    <w:rsid w:val="00EB62A2"/>
    <w:rsid w:val="00EB63C2"/>
    <w:rsid w:val="00EB64FC"/>
    <w:rsid w:val="00EB7B3E"/>
    <w:rsid w:val="00EC0FC7"/>
    <w:rsid w:val="00EC3466"/>
    <w:rsid w:val="00EC37C6"/>
    <w:rsid w:val="00EC3CEA"/>
    <w:rsid w:val="00EC4D48"/>
    <w:rsid w:val="00EC6339"/>
    <w:rsid w:val="00EC744B"/>
    <w:rsid w:val="00EC778D"/>
    <w:rsid w:val="00EC7B5A"/>
    <w:rsid w:val="00ED1573"/>
    <w:rsid w:val="00ED1966"/>
    <w:rsid w:val="00ED419B"/>
    <w:rsid w:val="00ED4DA5"/>
    <w:rsid w:val="00ED5AAA"/>
    <w:rsid w:val="00ED5AF3"/>
    <w:rsid w:val="00ED6E55"/>
    <w:rsid w:val="00ED71E9"/>
    <w:rsid w:val="00ED7419"/>
    <w:rsid w:val="00ED7443"/>
    <w:rsid w:val="00EE050F"/>
    <w:rsid w:val="00EE081A"/>
    <w:rsid w:val="00EE1EB5"/>
    <w:rsid w:val="00EE243B"/>
    <w:rsid w:val="00EE5AEA"/>
    <w:rsid w:val="00EE60DB"/>
    <w:rsid w:val="00EE654A"/>
    <w:rsid w:val="00EE7E38"/>
    <w:rsid w:val="00EE7EEA"/>
    <w:rsid w:val="00EF1D7E"/>
    <w:rsid w:val="00EF23FD"/>
    <w:rsid w:val="00EF2D5D"/>
    <w:rsid w:val="00EF39FC"/>
    <w:rsid w:val="00EF449C"/>
    <w:rsid w:val="00EF4CEE"/>
    <w:rsid w:val="00EF53E2"/>
    <w:rsid w:val="00EF5638"/>
    <w:rsid w:val="00EF56DF"/>
    <w:rsid w:val="00EF6801"/>
    <w:rsid w:val="00EF6F0E"/>
    <w:rsid w:val="00EF7F09"/>
    <w:rsid w:val="00F016CA"/>
    <w:rsid w:val="00F01E4F"/>
    <w:rsid w:val="00F04143"/>
    <w:rsid w:val="00F0482C"/>
    <w:rsid w:val="00F05C44"/>
    <w:rsid w:val="00F05E09"/>
    <w:rsid w:val="00F0740D"/>
    <w:rsid w:val="00F07750"/>
    <w:rsid w:val="00F07780"/>
    <w:rsid w:val="00F07DB3"/>
    <w:rsid w:val="00F106C0"/>
    <w:rsid w:val="00F10988"/>
    <w:rsid w:val="00F10A7A"/>
    <w:rsid w:val="00F10A86"/>
    <w:rsid w:val="00F12149"/>
    <w:rsid w:val="00F12E25"/>
    <w:rsid w:val="00F13587"/>
    <w:rsid w:val="00F16387"/>
    <w:rsid w:val="00F173FD"/>
    <w:rsid w:val="00F203C7"/>
    <w:rsid w:val="00F210E0"/>
    <w:rsid w:val="00F21646"/>
    <w:rsid w:val="00F21917"/>
    <w:rsid w:val="00F21C85"/>
    <w:rsid w:val="00F23544"/>
    <w:rsid w:val="00F25ABF"/>
    <w:rsid w:val="00F25BBF"/>
    <w:rsid w:val="00F27A4B"/>
    <w:rsid w:val="00F27BB1"/>
    <w:rsid w:val="00F311E3"/>
    <w:rsid w:val="00F31BEE"/>
    <w:rsid w:val="00F32B0E"/>
    <w:rsid w:val="00F331AF"/>
    <w:rsid w:val="00F33DC4"/>
    <w:rsid w:val="00F35946"/>
    <w:rsid w:val="00F359C0"/>
    <w:rsid w:val="00F37DBE"/>
    <w:rsid w:val="00F40203"/>
    <w:rsid w:val="00F411E2"/>
    <w:rsid w:val="00F4212C"/>
    <w:rsid w:val="00F421EA"/>
    <w:rsid w:val="00F430AC"/>
    <w:rsid w:val="00F44E12"/>
    <w:rsid w:val="00F45308"/>
    <w:rsid w:val="00F462D5"/>
    <w:rsid w:val="00F46975"/>
    <w:rsid w:val="00F477B9"/>
    <w:rsid w:val="00F516B5"/>
    <w:rsid w:val="00F53604"/>
    <w:rsid w:val="00F54A39"/>
    <w:rsid w:val="00F54B2D"/>
    <w:rsid w:val="00F54BBB"/>
    <w:rsid w:val="00F55625"/>
    <w:rsid w:val="00F55FAE"/>
    <w:rsid w:val="00F56422"/>
    <w:rsid w:val="00F60171"/>
    <w:rsid w:val="00F603C9"/>
    <w:rsid w:val="00F607F4"/>
    <w:rsid w:val="00F6086F"/>
    <w:rsid w:val="00F613FA"/>
    <w:rsid w:val="00F61795"/>
    <w:rsid w:val="00F6631F"/>
    <w:rsid w:val="00F67447"/>
    <w:rsid w:val="00F7059C"/>
    <w:rsid w:val="00F72112"/>
    <w:rsid w:val="00F723D6"/>
    <w:rsid w:val="00F724AB"/>
    <w:rsid w:val="00F75018"/>
    <w:rsid w:val="00F764DF"/>
    <w:rsid w:val="00F76942"/>
    <w:rsid w:val="00F77E87"/>
    <w:rsid w:val="00F806A9"/>
    <w:rsid w:val="00F81390"/>
    <w:rsid w:val="00F81620"/>
    <w:rsid w:val="00F8217F"/>
    <w:rsid w:val="00F8229F"/>
    <w:rsid w:val="00F83113"/>
    <w:rsid w:val="00F83392"/>
    <w:rsid w:val="00F83C22"/>
    <w:rsid w:val="00F83E61"/>
    <w:rsid w:val="00F84521"/>
    <w:rsid w:val="00F8525D"/>
    <w:rsid w:val="00F86CF5"/>
    <w:rsid w:val="00F87451"/>
    <w:rsid w:val="00F906AB"/>
    <w:rsid w:val="00F91766"/>
    <w:rsid w:val="00F91A6E"/>
    <w:rsid w:val="00F9687E"/>
    <w:rsid w:val="00F96B7D"/>
    <w:rsid w:val="00FA0537"/>
    <w:rsid w:val="00FA0852"/>
    <w:rsid w:val="00FA1D08"/>
    <w:rsid w:val="00FA25EA"/>
    <w:rsid w:val="00FA2ECA"/>
    <w:rsid w:val="00FA2FA8"/>
    <w:rsid w:val="00FA3D82"/>
    <w:rsid w:val="00FA5F04"/>
    <w:rsid w:val="00FA65E5"/>
    <w:rsid w:val="00FA6A63"/>
    <w:rsid w:val="00FB1348"/>
    <w:rsid w:val="00FB1EA0"/>
    <w:rsid w:val="00FB2144"/>
    <w:rsid w:val="00FB2DA4"/>
    <w:rsid w:val="00FB45C2"/>
    <w:rsid w:val="00FB6B51"/>
    <w:rsid w:val="00FC2786"/>
    <w:rsid w:val="00FC36CB"/>
    <w:rsid w:val="00FC3779"/>
    <w:rsid w:val="00FC400D"/>
    <w:rsid w:val="00FC58AA"/>
    <w:rsid w:val="00FC5AC6"/>
    <w:rsid w:val="00FC6F54"/>
    <w:rsid w:val="00FC7979"/>
    <w:rsid w:val="00FC7CE2"/>
    <w:rsid w:val="00FD1489"/>
    <w:rsid w:val="00FD15A5"/>
    <w:rsid w:val="00FD2169"/>
    <w:rsid w:val="00FD245E"/>
    <w:rsid w:val="00FD24D9"/>
    <w:rsid w:val="00FD2B4A"/>
    <w:rsid w:val="00FD43CA"/>
    <w:rsid w:val="00FD4B6C"/>
    <w:rsid w:val="00FD67DB"/>
    <w:rsid w:val="00FD760A"/>
    <w:rsid w:val="00FD7C6C"/>
    <w:rsid w:val="00FE1B51"/>
    <w:rsid w:val="00FE1CB9"/>
    <w:rsid w:val="00FE54A8"/>
    <w:rsid w:val="00FE66D2"/>
    <w:rsid w:val="00FE6741"/>
    <w:rsid w:val="00FE6B1A"/>
    <w:rsid w:val="00FE730D"/>
    <w:rsid w:val="00FF06F9"/>
    <w:rsid w:val="00FF0FB4"/>
    <w:rsid w:val="00FF1A88"/>
    <w:rsid w:val="00FF2308"/>
    <w:rsid w:val="00FF257F"/>
    <w:rsid w:val="00FF2B2A"/>
    <w:rsid w:val="00FF2B97"/>
    <w:rsid w:val="00FF386C"/>
    <w:rsid w:val="00FF3AAA"/>
    <w:rsid w:val="00FF47D8"/>
    <w:rsid w:val="00FF4EE6"/>
    <w:rsid w:val="00FF683E"/>
    <w:rsid w:val="00FF6A5B"/>
    <w:rsid w:val="00FF7BBC"/>
    <w:rsid w:val="016367A9"/>
    <w:rsid w:val="028669BE"/>
    <w:rsid w:val="028E6154"/>
    <w:rsid w:val="02FF0E39"/>
    <w:rsid w:val="03040CCD"/>
    <w:rsid w:val="0337506D"/>
    <w:rsid w:val="03404E17"/>
    <w:rsid w:val="036C4C82"/>
    <w:rsid w:val="03C0185E"/>
    <w:rsid w:val="046B703C"/>
    <w:rsid w:val="04BD2C91"/>
    <w:rsid w:val="05091BBF"/>
    <w:rsid w:val="05C24554"/>
    <w:rsid w:val="061239DA"/>
    <w:rsid w:val="062671DC"/>
    <w:rsid w:val="065674E8"/>
    <w:rsid w:val="06F85D5A"/>
    <w:rsid w:val="071378F5"/>
    <w:rsid w:val="07731EDA"/>
    <w:rsid w:val="090B4468"/>
    <w:rsid w:val="09536CE2"/>
    <w:rsid w:val="097662B8"/>
    <w:rsid w:val="09EC4E9A"/>
    <w:rsid w:val="0A2B3E51"/>
    <w:rsid w:val="0A93603C"/>
    <w:rsid w:val="0A97493E"/>
    <w:rsid w:val="0AB715F7"/>
    <w:rsid w:val="0B3F1AA4"/>
    <w:rsid w:val="0BC11263"/>
    <w:rsid w:val="0BD96283"/>
    <w:rsid w:val="0C510802"/>
    <w:rsid w:val="0D817E81"/>
    <w:rsid w:val="0D9C032D"/>
    <w:rsid w:val="0DAF4280"/>
    <w:rsid w:val="0E076AE9"/>
    <w:rsid w:val="0E421E9F"/>
    <w:rsid w:val="0EBD3DC2"/>
    <w:rsid w:val="0EF75F06"/>
    <w:rsid w:val="0F293E93"/>
    <w:rsid w:val="0FB924B8"/>
    <w:rsid w:val="10B81047"/>
    <w:rsid w:val="10E55ACF"/>
    <w:rsid w:val="113611C5"/>
    <w:rsid w:val="11624886"/>
    <w:rsid w:val="11663B15"/>
    <w:rsid w:val="12176AF0"/>
    <w:rsid w:val="12D90C47"/>
    <w:rsid w:val="13043ED4"/>
    <w:rsid w:val="132C1521"/>
    <w:rsid w:val="13BA3578"/>
    <w:rsid w:val="13F21EF0"/>
    <w:rsid w:val="1403461B"/>
    <w:rsid w:val="143D6DFB"/>
    <w:rsid w:val="14D230EC"/>
    <w:rsid w:val="154272B5"/>
    <w:rsid w:val="159A5456"/>
    <w:rsid w:val="15CF287D"/>
    <w:rsid w:val="15EE3AFE"/>
    <w:rsid w:val="169C4E56"/>
    <w:rsid w:val="174258ED"/>
    <w:rsid w:val="17E21328"/>
    <w:rsid w:val="18FE1D0C"/>
    <w:rsid w:val="190469FF"/>
    <w:rsid w:val="1A0B2B00"/>
    <w:rsid w:val="1A3911E3"/>
    <w:rsid w:val="1C7E1E02"/>
    <w:rsid w:val="1CA848A1"/>
    <w:rsid w:val="1CE005C0"/>
    <w:rsid w:val="1CE354ED"/>
    <w:rsid w:val="1CFB75A6"/>
    <w:rsid w:val="1D1C03D7"/>
    <w:rsid w:val="1D4D3358"/>
    <w:rsid w:val="1D621892"/>
    <w:rsid w:val="1D7579CC"/>
    <w:rsid w:val="1D9317B9"/>
    <w:rsid w:val="1D9E6CC4"/>
    <w:rsid w:val="1DD151B5"/>
    <w:rsid w:val="1DE04BB8"/>
    <w:rsid w:val="1E757AD8"/>
    <w:rsid w:val="1F7E179E"/>
    <w:rsid w:val="1F964275"/>
    <w:rsid w:val="200377F1"/>
    <w:rsid w:val="20135EB8"/>
    <w:rsid w:val="213D2A55"/>
    <w:rsid w:val="21CC533A"/>
    <w:rsid w:val="22961598"/>
    <w:rsid w:val="22E22C59"/>
    <w:rsid w:val="24B578FA"/>
    <w:rsid w:val="251C6852"/>
    <w:rsid w:val="25A4761E"/>
    <w:rsid w:val="25BF622B"/>
    <w:rsid w:val="25E554DD"/>
    <w:rsid w:val="26B54B63"/>
    <w:rsid w:val="271F7879"/>
    <w:rsid w:val="27393819"/>
    <w:rsid w:val="2739606C"/>
    <w:rsid w:val="273D3222"/>
    <w:rsid w:val="280744DD"/>
    <w:rsid w:val="286C493A"/>
    <w:rsid w:val="28A0271E"/>
    <w:rsid w:val="29547BC4"/>
    <w:rsid w:val="296733FA"/>
    <w:rsid w:val="2A75021C"/>
    <w:rsid w:val="2AE45309"/>
    <w:rsid w:val="2B4E79D6"/>
    <w:rsid w:val="2C920118"/>
    <w:rsid w:val="2CCC7A2F"/>
    <w:rsid w:val="2D21013D"/>
    <w:rsid w:val="2D4E158F"/>
    <w:rsid w:val="2E8D4481"/>
    <w:rsid w:val="2F1C72FC"/>
    <w:rsid w:val="2FAA5F34"/>
    <w:rsid w:val="2FC4512F"/>
    <w:rsid w:val="305F56A6"/>
    <w:rsid w:val="30906EF6"/>
    <w:rsid w:val="30B63EEC"/>
    <w:rsid w:val="31E43451"/>
    <w:rsid w:val="31E85DFB"/>
    <w:rsid w:val="326F27DC"/>
    <w:rsid w:val="327A6A63"/>
    <w:rsid w:val="33CE43C5"/>
    <w:rsid w:val="33E2761E"/>
    <w:rsid w:val="33ED0162"/>
    <w:rsid w:val="35163620"/>
    <w:rsid w:val="36292D10"/>
    <w:rsid w:val="367C1606"/>
    <w:rsid w:val="36B56003"/>
    <w:rsid w:val="36C52477"/>
    <w:rsid w:val="36E35581"/>
    <w:rsid w:val="37482116"/>
    <w:rsid w:val="37791B81"/>
    <w:rsid w:val="37BD3B90"/>
    <w:rsid w:val="37D231F3"/>
    <w:rsid w:val="38124733"/>
    <w:rsid w:val="38460B75"/>
    <w:rsid w:val="38C04A2B"/>
    <w:rsid w:val="39B8452F"/>
    <w:rsid w:val="39C51092"/>
    <w:rsid w:val="39F6604A"/>
    <w:rsid w:val="3AB47011"/>
    <w:rsid w:val="3AC93C11"/>
    <w:rsid w:val="3AFA4DFF"/>
    <w:rsid w:val="3B4433D7"/>
    <w:rsid w:val="3CE10208"/>
    <w:rsid w:val="3CF727B5"/>
    <w:rsid w:val="3D5866E5"/>
    <w:rsid w:val="3D5F768E"/>
    <w:rsid w:val="3D8B00CB"/>
    <w:rsid w:val="3DCB075C"/>
    <w:rsid w:val="3F830750"/>
    <w:rsid w:val="3FC741B0"/>
    <w:rsid w:val="3FEA00DC"/>
    <w:rsid w:val="40E8556B"/>
    <w:rsid w:val="41815D2F"/>
    <w:rsid w:val="419747DD"/>
    <w:rsid w:val="41F0685E"/>
    <w:rsid w:val="4254643D"/>
    <w:rsid w:val="42AC04D0"/>
    <w:rsid w:val="42CF7B25"/>
    <w:rsid w:val="42D00296"/>
    <w:rsid w:val="42FB7EAC"/>
    <w:rsid w:val="438A1CC5"/>
    <w:rsid w:val="439422FD"/>
    <w:rsid w:val="43A55CA5"/>
    <w:rsid w:val="43C425E1"/>
    <w:rsid w:val="4427562F"/>
    <w:rsid w:val="445A306B"/>
    <w:rsid w:val="44931256"/>
    <w:rsid w:val="45284074"/>
    <w:rsid w:val="45792FB7"/>
    <w:rsid w:val="457B724C"/>
    <w:rsid w:val="462A10E3"/>
    <w:rsid w:val="46CD39B0"/>
    <w:rsid w:val="46EE3A7C"/>
    <w:rsid w:val="477A1D28"/>
    <w:rsid w:val="47AE02B5"/>
    <w:rsid w:val="47BF466E"/>
    <w:rsid w:val="47D472D7"/>
    <w:rsid w:val="483A7F05"/>
    <w:rsid w:val="48912E94"/>
    <w:rsid w:val="49E44D8A"/>
    <w:rsid w:val="49EC5FF4"/>
    <w:rsid w:val="4A4051EF"/>
    <w:rsid w:val="4AD8290A"/>
    <w:rsid w:val="4AF24623"/>
    <w:rsid w:val="4B0D79C2"/>
    <w:rsid w:val="4B8078D6"/>
    <w:rsid w:val="4BEF5A8E"/>
    <w:rsid w:val="4C245667"/>
    <w:rsid w:val="4C421A8A"/>
    <w:rsid w:val="4D560C97"/>
    <w:rsid w:val="4DA43BD6"/>
    <w:rsid w:val="4DC63991"/>
    <w:rsid w:val="4DC73B97"/>
    <w:rsid w:val="4E5827B1"/>
    <w:rsid w:val="4E76155D"/>
    <w:rsid w:val="4E833A0E"/>
    <w:rsid w:val="4F2C3E65"/>
    <w:rsid w:val="50207E94"/>
    <w:rsid w:val="527B3ECE"/>
    <w:rsid w:val="52E30177"/>
    <w:rsid w:val="53417F4F"/>
    <w:rsid w:val="536E3862"/>
    <w:rsid w:val="550C0DEA"/>
    <w:rsid w:val="555B0AE3"/>
    <w:rsid w:val="55B151A9"/>
    <w:rsid w:val="55BF0E11"/>
    <w:rsid w:val="56136CDA"/>
    <w:rsid w:val="56182B77"/>
    <w:rsid w:val="56D67B51"/>
    <w:rsid w:val="56FA7272"/>
    <w:rsid w:val="573D49E6"/>
    <w:rsid w:val="579F67E1"/>
    <w:rsid w:val="588C3760"/>
    <w:rsid w:val="58981098"/>
    <w:rsid w:val="5901277B"/>
    <w:rsid w:val="592525C4"/>
    <w:rsid w:val="59321CCB"/>
    <w:rsid w:val="59753409"/>
    <w:rsid w:val="59D455F2"/>
    <w:rsid w:val="5AC45BA6"/>
    <w:rsid w:val="5B263A9C"/>
    <w:rsid w:val="5B397FB7"/>
    <w:rsid w:val="5B490CC0"/>
    <w:rsid w:val="5B7E3700"/>
    <w:rsid w:val="5C161418"/>
    <w:rsid w:val="5C16307A"/>
    <w:rsid w:val="5C3E421A"/>
    <w:rsid w:val="5C62269E"/>
    <w:rsid w:val="5C8D470C"/>
    <w:rsid w:val="5C9D39DA"/>
    <w:rsid w:val="5CB669E4"/>
    <w:rsid w:val="5D090ACA"/>
    <w:rsid w:val="5D433826"/>
    <w:rsid w:val="5D67584F"/>
    <w:rsid w:val="5D832EEF"/>
    <w:rsid w:val="5E1A7F73"/>
    <w:rsid w:val="5E390E1F"/>
    <w:rsid w:val="5E4635CA"/>
    <w:rsid w:val="5E584923"/>
    <w:rsid w:val="5E6621D5"/>
    <w:rsid w:val="5E8F6FF0"/>
    <w:rsid w:val="5EA12B1C"/>
    <w:rsid w:val="5EBF1F9E"/>
    <w:rsid w:val="5F3B1BE0"/>
    <w:rsid w:val="5F842392"/>
    <w:rsid w:val="5F991715"/>
    <w:rsid w:val="5FCF11E9"/>
    <w:rsid w:val="5FE4315F"/>
    <w:rsid w:val="600227C8"/>
    <w:rsid w:val="602B2D4A"/>
    <w:rsid w:val="607523D1"/>
    <w:rsid w:val="60F82C89"/>
    <w:rsid w:val="60FE2C3F"/>
    <w:rsid w:val="615146FA"/>
    <w:rsid w:val="62070FA1"/>
    <w:rsid w:val="62093885"/>
    <w:rsid w:val="621217BE"/>
    <w:rsid w:val="623B41C7"/>
    <w:rsid w:val="62526D3D"/>
    <w:rsid w:val="62CD2B33"/>
    <w:rsid w:val="63870B4C"/>
    <w:rsid w:val="63DB479D"/>
    <w:rsid w:val="64620820"/>
    <w:rsid w:val="64681E85"/>
    <w:rsid w:val="65991FF1"/>
    <w:rsid w:val="65EC7B94"/>
    <w:rsid w:val="6619624C"/>
    <w:rsid w:val="66342E08"/>
    <w:rsid w:val="66497A6B"/>
    <w:rsid w:val="666B0070"/>
    <w:rsid w:val="67A32D76"/>
    <w:rsid w:val="67AA3BE1"/>
    <w:rsid w:val="67BF6715"/>
    <w:rsid w:val="67E56BF0"/>
    <w:rsid w:val="68957C01"/>
    <w:rsid w:val="68A01520"/>
    <w:rsid w:val="68C6622F"/>
    <w:rsid w:val="69370731"/>
    <w:rsid w:val="69C04ABB"/>
    <w:rsid w:val="69E17CD8"/>
    <w:rsid w:val="69EB7AC5"/>
    <w:rsid w:val="6ACE4D37"/>
    <w:rsid w:val="6AD94EA8"/>
    <w:rsid w:val="6C1300A2"/>
    <w:rsid w:val="6C2D651B"/>
    <w:rsid w:val="6C43610C"/>
    <w:rsid w:val="6C485EB9"/>
    <w:rsid w:val="6CDE057E"/>
    <w:rsid w:val="6E4D40FD"/>
    <w:rsid w:val="6E7C4447"/>
    <w:rsid w:val="6EFC3A3C"/>
    <w:rsid w:val="6F03408E"/>
    <w:rsid w:val="6F227649"/>
    <w:rsid w:val="6F461335"/>
    <w:rsid w:val="70C7777F"/>
    <w:rsid w:val="72476A02"/>
    <w:rsid w:val="72620D8B"/>
    <w:rsid w:val="72AA2887"/>
    <w:rsid w:val="7396760B"/>
    <w:rsid w:val="73BC0182"/>
    <w:rsid w:val="73DC2F75"/>
    <w:rsid w:val="74966354"/>
    <w:rsid w:val="750263A5"/>
    <w:rsid w:val="752F546D"/>
    <w:rsid w:val="756015F8"/>
    <w:rsid w:val="75A67A21"/>
    <w:rsid w:val="75E848BC"/>
    <w:rsid w:val="761F029E"/>
    <w:rsid w:val="762F4253"/>
    <w:rsid w:val="76355280"/>
    <w:rsid w:val="7655794F"/>
    <w:rsid w:val="7753681B"/>
    <w:rsid w:val="775F5B45"/>
    <w:rsid w:val="77667C2A"/>
    <w:rsid w:val="779C4B53"/>
    <w:rsid w:val="77B15C8C"/>
    <w:rsid w:val="77B91A0C"/>
    <w:rsid w:val="78431FAF"/>
    <w:rsid w:val="78823025"/>
    <w:rsid w:val="79153558"/>
    <w:rsid w:val="79421110"/>
    <w:rsid w:val="7A6E4950"/>
    <w:rsid w:val="7B12208E"/>
    <w:rsid w:val="7B2C1F5B"/>
    <w:rsid w:val="7B5A7743"/>
    <w:rsid w:val="7C27553B"/>
    <w:rsid w:val="7C391D27"/>
    <w:rsid w:val="7D312820"/>
    <w:rsid w:val="7D85733D"/>
    <w:rsid w:val="7DA17EF3"/>
    <w:rsid w:val="7DA85D23"/>
    <w:rsid w:val="7FCC438E"/>
    <w:rsid w:val="7FCE147D"/>
    <w:rsid w:val="7FEB7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5"/>
    <w:next w:val="5"/>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标题 1 Char"/>
    <w:link w:val="2"/>
    <w:qFormat/>
    <w:uiPriority w:val="1"/>
    <w:rPr>
      <w:rFonts w:ascii="黑体" w:hAnsi="Times New Roman" w:eastAsia="黑体" w:cs="黑体"/>
      <w:b/>
      <w:bCs/>
      <w:kern w:val="0"/>
      <w:sz w:val="36"/>
      <w:szCs w:val="36"/>
    </w:rPr>
  </w:style>
  <w:style w:type="character" w:customStyle="1" w:styleId="22">
    <w:name w:val="标题 2 Char"/>
    <w:link w:val="3"/>
    <w:qFormat/>
    <w:uiPriority w:val="9"/>
    <w:rPr>
      <w:rFonts w:ascii="Cambria" w:hAnsi="Cambria" w:eastAsia="宋体" w:cs="Times New Roman"/>
      <w:b/>
      <w:bCs/>
      <w:sz w:val="32"/>
      <w:szCs w:val="32"/>
    </w:rPr>
  </w:style>
  <w:style w:type="character" w:customStyle="1" w:styleId="23">
    <w:name w:val="标题 3 Char"/>
    <w:link w:val="4"/>
    <w:qFormat/>
    <w:uiPriority w:val="1"/>
    <w:rPr>
      <w:rFonts w:ascii="宋体" w:hAnsi="Times New Roman" w:eastAsia="宋体" w:cs="宋体"/>
      <w:b/>
      <w:bCs/>
      <w:kern w:val="0"/>
      <w:szCs w:val="21"/>
    </w:rPr>
  </w:style>
  <w:style w:type="character" w:customStyle="1" w:styleId="24">
    <w:name w:val="批注文字 Char"/>
    <w:link w:val="5"/>
    <w:qFormat/>
    <w:uiPriority w:val="99"/>
    <w:rPr>
      <w:kern w:val="2"/>
      <w:sz w:val="21"/>
      <w:szCs w:val="22"/>
    </w:rPr>
  </w:style>
  <w:style w:type="character" w:customStyle="1" w:styleId="25">
    <w:name w:val="正文文本 Char"/>
    <w:link w:val="6"/>
    <w:qFormat/>
    <w:uiPriority w:val="1"/>
    <w:rPr>
      <w:rFonts w:ascii="宋体" w:hAnsi="Times New Roman" w:eastAsia="宋体" w:cs="宋体"/>
      <w:kern w:val="0"/>
      <w:szCs w:val="21"/>
    </w:rPr>
  </w:style>
  <w:style w:type="character" w:customStyle="1" w:styleId="26">
    <w:name w:val="日期 Char"/>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1"/>
    <w:link w:val="11"/>
    <w:semiHidden/>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character" w:customStyle="1" w:styleId="32">
    <w:name w:val="未处理的提及"/>
    <w:unhideWhenUsed/>
    <w:qFormat/>
    <w:uiPriority w:val="99"/>
    <w:rPr>
      <w:color w:val="605E5C"/>
      <w:shd w:val="clear" w:color="auto" w:fill="E1DFDD"/>
    </w:rPr>
  </w:style>
  <w:style w:type="paragraph" w:customStyle="1" w:styleId="33">
    <w:name w:val="Char Char Char Char Char Char Char Char Char Char Char Char"/>
    <w:basedOn w:val="1"/>
    <w:qFormat/>
    <w:uiPriority w:val="0"/>
    <w:pPr>
      <w:widowControl/>
      <w:spacing w:after="160" w:line="240" w:lineRule="exact"/>
      <w:jc w:val="left"/>
    </w:pPr>
    <w:rPr>
      <w:rFonts w:ascii="Tahoma" w:hAnsi="Tahoma" w:cs="Tahoma"/>
      <w:szCs w:val="21"/>
    </w:r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修订1"/>
    <w:semiHidden/>
    <w:qFormat/>
    <w:uiPriority w:val="99"/>
    <w:rPr>
      <w:rFonts w:ascii="Times New Roman" w:hAnsi="Times New Roman" w:eastAsia="宋体" w:cs="Times New Roman"/>
      <w:kern w:val="2"/>
      <w:sz w:val="21"/>
      <w:szCs w:val="22"/>
      <w:lang w:val="en-US" w:eastAsia="zh-CN" w:bidi="ar-SA"/>
    </w:rPr>
  </w:style>
  <w:style w:type="paragraph" w:customStyle="1" w:styleId="36">
    <w:name w:val="Table Paragraph"/>
    <w:basedOn w:val="1"/>
    <w:qFormat/>
    <w:uiPriority w:val="1"/>
    <w:pPr>
      <w:autoSpaceDE w:val="0"/>
      <w:autoSpaceDN w:val="0"/>
      <w:adjustRightInd w:val="0"/>
      <w:jc w:val="left"/>
    </w:pPr>
    <w:rPr>
      <w:kern w:val="0"/>
      <w:sz w:val="24"/>
      <w:szCs w:val="24"/>
    </w:rPr>
  </w:style>
  <w:style w:type="paragraph" w:styleId="37">
    <w:name w:val="List Paragraph"/>
    <w:basedOn w:val="1"/>
    <w:qFormat/>
    <w:uiPriority w:val="72"/>
    <w:pPr>
      <w:ind w:firstLine="420" w:firstLineChars="200"/>
    </w:pPr>
  </w:style>
  <w:style w:type="character" w:customStyle="1" w:styleId="38">
    <w:name w:val="脚注文本 Char"/>
    <w:semiHidden/>
    <w:qFormat/>
    <w:uiPriority w:val="99"/>
    <w:rPr>
      <w:kern w:val="2"/>
      <w:sz w:val="18"/>
      <w:szCs w:val="18"/>
    </w:rPr>
  </w:style>
  <w:style w:type="character" w:customStyle="1" w:styleId="39">
    <w:name w:val="markedcontent"/>
    <w:qFormat/>
    <w:uiPriority w:val="0"/>
  </w:style>
  <w:style w:type="character" w:customStyle="1" w:styleId="40">
    <w:name w:val="fontstyle01"/>
    <w:qFormat/>
    <w:uiPriority w:val="0"/>
    <w:rPr>
      <w:rFonts w:hint="eastAsia" w:ascii="宋体" w:hAnsi="宋体" w:eastAsia="宋体"/>
      <w:color w:val="000000"/>
      <w:sz w:val="22"/>
      <w:szCs w:val="22"/>
    </w:rPr>
  </w:style>
  <w:style w:type="character" w:styleId="41">
    <w:name w:val="Placeholder Text"/>
    <w:basedOn w:val="16"/>
    <w:unhideWhenUsed/>
    <w:qFormat/>
    <w:uiPriority w:val="99"/>
    <w:rPr>
      <w:color w:val="808080"/>
    </w:rPr>
  </w:style>
  <w:style w:type="paragraph" w:customStyle="1" w:styleId="42">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43">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44">
    <w:name w:val="Revision"/>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5C84CD-8877-47DD-8E2C-A441A4C53E4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41</Pages>
  <Words>6234</Words>
  <Characters>35537</Characters>
  <Lines>296</Lines>
  <Paragraphs>83</Paragraphs>
  <TotalTime>0</TotalTime>
  <ScaleCrop>false</ScaleCrop>
  <LinksUpToDate>false</LinksUpToDate>
  <CharactersWithSpaces>41688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2022-11-13T05:12:00Z</dcterms:created>
  <dc:creator>JSYH</dc:creator>
  <cp:lastModifiedBy>user</cp:lastModifiedBy>
  <cp:lastPrinted>2022-03-04T08:58:00Z</cp:lastPrinted>
  <dcterms:modified xsi:type="dcterms:W3CDTF">2025-08-21T01:39:41Z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A30B4F8233A641D28C6BDF6F2DC6A43F</vt:lpwstr>
  </property>
  <property fmtid="{D5CDD505-2E9C-101B-9397-08002B2CF9AE}" pid="4" name="5B77E7CEEC58BC6AFAE8886BEB80DBEB">
    <vt:lpwstr>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</vt:lpwstr>
  </property>
</Properties>
</file>