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黑体" w:hAnsi="黑体" w:eastAsia="黑体"/>
          <w:sz w:val="44"/>
          <w:szCs w:val="44"/>
        </w:rPr>
      </w:pPr>
      <w:r>
        <w:rPr>
          <w:rStyle w:val="10"/>
          <w:rFonts w:hint="eastAsia" w:ascii="黑体" w:hAnsi="黑体" w:eastAsia="黑体"/>
          <w:sz w:val="44"/>
          <w:szCs w:val="44"/>
        </w:rPr>
        <w:t>兴银理财【添利】理财产品</w:t>
      </w:r>
    </w:p>
    <w:p>
      <w:pPr>
        <w:adjustRightInd w:val="0"/>
        <w:spacing w:line="360" w:lineRule="auto"/>
        <w:jc w:val="center"/>
        <w:rPr>
          <w:rStyle w:val="10"/>
          <w:rFonts w:ascii="黑体" w:hAnsi="黑体" w:eastAsia="黑体"/>
          <w:sz w:val="44"/>
          <w:szCs w:val="44"/>
        </w:rPr>
      </w:pPr>
      <w:r>
        <w:rPr>
          <w:rStyle w:val="10"/>
          <w:rFonts w:hint="eastAsia" w:ascii="黑体" w:hAnsi="黑体" w:eastAsia="黑体"/>
          <w:sz w:val="44"/>
          <w:szCs w:val="44"/>
        </w:rPr>
        <w:t>产品说明书</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黑体" w:hAnsi="黑体" w:eastAsia="黑体"/>
          <w:bCs w:val="0"/>
          <w:sz w:val="28"/>
          <w:szCs w:val="28"/>
        </w:rPr>
      </w:pPr>
    </w:p>
    <w:p>
      <w:pPr>
        <w:adjustRightInd w:val="0"/>
        <w:spacing w:line="360" w:lineRule="auto"/>
        <w:jc w:val="center"/>
        <w:rPr>
          <w:rStyle w:val="10"/>
          <w:rFonts w:ascii="宋体" w:hAnsi="宋体" w:cs="Times New Roman"/>
          <w:sz w:val="32"/>
          <w:szCs w:val="32"/>
        </w:rPr>
      </w:pPr>
      <w:r>
        <w:rPr>
          <w:rStyle w:val="10"/>
          <w:rFonts w:hint="eastAsia" w:ascii="宋体" w:hAnsi="宋体" w:cs="Times New Roman"/>
          <w:sz w:val="32"/>
          <w:szCs w:val="32"/>
        </w:rPr>
        <w:t>理财产品管理人：兴银理财有限责任公司</w:t>
      </w: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sz w:val="32"/>
          <w:szCs w:val="32"/>
        </w:rPr>
      </w:pPr>
    </w:p>
    <w:p>
      <w:pPr>
        <w:adjustRightInd w:val="0"/>
        <w:spacing w:line="360" w:lineRule="auto"/>
        <w:jc w:val="center"/>
        <w:rPr>
          <w:rStyle w:val="10"/>
          <w:rFonts w:ascii="宋体" w:hAnsi="宋体" w:cs="Times New Roman"/>
          <w:sz w:val="32"/>
          <w:szCs w:val="32"/>
        </w:rPr>
      </w:pPr>
      <w:r>
        <w:rPr>
          <w:rStyle w:val="10"/>
          <w:rFonts w:hint="eastAsia" w:ascii="宋体" w:hAnsi="宋体" w:cs="Times New Roman"/>
          <w:sz w:val="32"/>
          <w:szCs w:val="32"/>
        </w:rPr>
        <w:t>日期</w:t>
      </w:r>
      <w:r>
        <w:rPr>
          <w:rStyle w:val="10"/>
          <w:rFonts w:ascii="宋体" w:hAnsi="宋体" w:cs="Times New Roman"/>
          <w:sz w:val="32"/>
          <w:szCs w:val="32"/>
        </w:rPr>
        <w:t>：</w:t>
      </w:r>
      <w:r>
        <w:rPr>
          <w:rStyle w:val="10"/>
          <w:rFonts w:hint="eastAsia" w:ascii="宋体" w:hAnsi="宋体" w:cs="Times New Roman"/>
          <w:sz w:val="32"/>
          <w:szCs w:val="32"/>
        </w:rPr>
        <w:t>【</w:t>
      </w:r>
      <w:r>
        <w:rPr>
          <w:rStyle w:val="10"/>
          <w:rFonts w:hint="eastAsia" w:ascii="宋体" w:hAnsi="宋体" w:cs="Times New Roman"/>
          <w:sz w:val="32"/>
          <w:szCs w:val="32"/>
          <w:lang w:val="en-US" w:eastAsia="zh-CN"/>
        </w:rPr>
        <w:t>2025</w:t>
      </w:r>
      <w:r>
        <w:rPr>
          <w:rStyle w:val="10"/>
          <w:rFonts w:hint="eastAsia" w:ascii="宋体" w:hAnsi="宋体" w:cs="Times New Roman"/>
          <w:sz w:val="32"/>
          <w:szCs w:val="32"/>
        </w:rPr>
        <w:t>】年【</w:t>
      </w:r>
      <w:r>
        <w:rPr>
          <w:rStyle w:val="10"/>
          <w:rFonts w:hint="eastAsia" w:ascii="宋体" w:hAnsi="宋体" w:cs="Times New Roman"/>
          <w:sz w:val="32"/>
          <w:szCs w:val="32"/>
          <w:lang w:val="en-US" w:eastAsia="zh-CN"/>
        </w:rPr>
        <w:t>12</w:t>
      </w:r>
      <w:r>
        <w:rPr>
          <w:rStyle w:val="10"/>
          <w:rFonts w:hint="eastAsia" w:ascii="宋体" w:hAnsi="宋体" w:cs="Times New Roman"/>
          <w:sz w:val="32"/>
          <w:szCs w:val="32"/>
        </w:rPr>
        <w:t>】月</w:t>
      </w:r>
    </w:p>
    <w:p>
      <w:pPr>
        <w:adjustRightInd w:val="0"/>
        <w:spacing w:line="360" w:lineRule="auto"/>
        <w:jc w:val="center"/>
        <w:rPr>
          <w:rStyle w:val="10"/>
          <w:rFonts w:ascii="宋体" w:hAnsi="宋体"/>
          <w:sz w:val="32"/>
          <w:szCs w:val="32"/>
        </w:rPr>
      </w:pPr>
    </w:p>
    <w:p>
      <w:pPr>
        <w:pStyle w:val="12"/>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13"/>
            <w:spacing w:line="360" w:lineRule="auto"/>
            <w:jc w:val="center"/>
          </w:pPr>
          <w:bookmarkStart w:id="0" w:name="_Toc78276587"/>
          <w:r>
            <w:rPr>
              <w:lang w:val="zh-CN"/>
            </w:rPr>
            <w:t>目录</w:t>
          </w:r>
        </w:p>
        <w:p>
          <w:pPr>
            <w:pStyle w:val="5"/>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"_Toc176189278" </w:instrText>
          </w:r>
          <w:r>
            <w:fldChar w:fldCharType="separate"/>
          </w:r>
          <w:r>
            <w:rPr>
              <w:rStyle w:val="11"/>
              <w:rFonts w:hint="eastAsia" w:ascii="Times New Roman"/>
            </w:rPr>
            <w:t>第一条</w:t>
          </w:r>
          <w:r>
            <w:rPr>
              <w:rStyle w:val="11"/>
              <w:rFonts w:ascii="Times New Roman"/>
            </w:rPr>
            <w:t xml:space="preserve">  </w:t>
          </w:r>
          <w:r>
            <w:rPr>
              <w:rStyle w:val="11"/>
              <w:rFonts w:hint="eastAsia" w:ascii="Times New Roman"/>
            </w:rPr>
            <w:t>释义</w:t>
          </w:r>
          <w:r>
            <w:tab/>
          </w:r>
          <w:r>
            <w:fldChar w:fldCharType="begin"/>
          </w:r>
          <w:r>
            <w:instrText xml:space="preserve"> PAGEREF _Toc176189278 \h </w:instrText>
          </w:r>
          <w:r>
            <w:fldChar w:fldCharType="separate"/>
          </w:r>
          <w:r>
            <w:t>3</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"_Toc176189279" </w:instrText>
          </w:r>
          <w:r>
            <w:fldChar w:fldCharType="separate"/>
          </w:r>
          <w:r>
            <w:rPr>
              <w:rStyle w:val="11"/>
              <w:rFonts w:hint="eastAsia" w:hAnsi="宋体"/>
            </w:rPr>
            <w:t>第二条</w:t>
          </w:r>
          <w:r>
            <w:rPr>
              <w:rStyle w:val="11"/>
              <w:rFonts w:hAnsi="宋体"/>
            </w:rPr>
            <w:t xml:space="preserve">  </w:t>
          </w:r>
          <w:r>
            <w:rPr>
              <w:rStyle w:val="11"/>
              <w:rFonts w:hint="eastAsia" w:hAnsi="宋体"/>
            </w:rPr>
            <w:t>理财产品基本情况</w:t>
          </w:r>
          <w:r>
            <w:tab/>
          </w:r>
          <w:r>
            <w:fldChar w:fldCharType="begin"/>
          </w:r>
          <w:r>
            <w:instrText xml:space="preserve"> PAGEREF _Toc176189279 \h </w:instrText>
          </w:r>
          <w:r>
            <w:fldChar w:fldCharType="separate"/>
          </w:r>
          <w:r>
            <w:t>8</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"_Toc176189280" </w:instrText>
          </w:r>
          <w:r>
            <w:fldChar w:fldCharType="separate"/>
          </w:r>
          <w:r>
            <w:rPr>
              <w:rStyle w:val="11"/>
              <w:rFonts w:hint="eastAsia" w:ascii="Times New Roman"/>
            </w:rPr>
            <w:t>第三条</w:t>
          </w:r>
          <w:r>
            <w:rPr>
              <w:rStyle w:val="11"/>
              <w:rFonts w:ascii="Times New Roman"/>
            </w:rPr>
            <w:t xml:space="preserve">  </w:t>
          </w:r>
          <w:r>
            <w:rPr>
              <w:rStyle w:val="11"/>
              <w:rFonts w:hint="eastAsia" w:ascii="Times New Roman"/>
            </w:rPr>
            <w:t>理财产品的认购</w:t>
          </w:r>
          <w:r>
            <w:tab/>
          </w:r>
          <w:r>
            <w:fldChar w:fldCharType="begin"/>
          </w:r>
          <w:r>
            <w:instrText xml:space="preserve"> PAGEREF _Toc176189280 \h </w:instrText>
          </w:r>
          <w:r>
            <w:fldChar w:fldCharType="separate"/>
          </w:r>
          <w:r>
            <w:t>15</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"_Toc176189281" </w:instrText>
          </w:r>
          <w:r>
            <w:fldChar w:fldCharType="separate"/>
          </w:r>
          <w:r>
            <w:rPr>
              <w:rStyle w:val="11"/>
              <w:rFonts w:hint="eastAsia" w:ascii="Times New Roman"/>
            </w:rPr>
            <w:t>第四条</w:t>
          </w:r>
          <w:r>
            <w:rPr>
              <w:rStyle w:val="11"/>
              <w:rFonts w:ascii="Times New Roman"/>
            </w:rPr>
            <w:t xml:space="preserve">  </w:t>
          </w:r>
          <w:r>
            <w:rPr>
              <w:rStyle w:val="11"/>
              <w:rFonts w:hint="eastAsia" w:ascii="Times New Roman"/>
            </w:rPr>
            <w:t>理财产品的申购与赎回</w:t>
          </w:r>
          <w:r>
            <w:tab/>
          </w:r>
          <w:r>
            <w:fldChar w:fldCharType="begin"/>
          </w:r>
          <w:r>
            <w:instrText xml:space="preserve"> PAGEREF _Toc176189281 \h </w:instrText>
          </w:r>
          <w:r>
            <w:fldChar w:fldCharType="separate"/>
          </w:r>
          <w:r>
            <w:t>17</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"_Toc176189282" </w:instrText>
          </w:r>
          <w:r>
            <w:fldChar w:fldCharType="separate"/>
          </w:r>
          <w:r>
            <w:rPr>
              <w:rStyle w:val="11"/>
              <w:rFonts w:hint="eastAsia" w:ascii="Times New Roman"/>
            </w:rPr>
            <w:t>第五条</w:t>
          </w:r>
          <w:r>
            <w:rPr>
              <w:rStyle w:val="11"/>
              <w:rFonts w:ascii="Times New Roman"/>
            </w:rPr>
            <w:t xml:space="preserve">  </w:t>
          </w:r>
          <w:r>
            <w:rPr>
              <w:rStyle w:val="11"/>
              <w:rFonts w:hint="eastAsia" w:ascii="Times New Roman"/>
            </w:rPr>
            <w:t>理财产品的投资</w:t>
          </w:r>
          <w:r>
            <w:tab/>
          </w:r>
          <w:r>
            <w:fldChar w:fldCharType="begin"/>
          </w:r>
          <w:r>
            <w:instrText xml:space="preserve"> PAGEREF _Toc176189282 \h </w:instrText>
          </w:r>
          <w:r>
            <w:fldChar w:fldCharType="separate"/>
          </w:r>
          <w:r>
            <w:t>21</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"_Toc176189283" </w:instrText>
          </w:r>
          <w:r>
            <w:fldChar w:fldCharType="separate"/>
          </w:r>
          <w:r>
            <w:rPr>
              <w:rStyle w:val="11"/>
              <w:rFonts w:hint="eastAsia" w:ascii="Times New Roman"/>
            </w:rPr>
            <w:t>第六条</w:t>
          </w:r>
          <w:r>
            <w:rPr>
              <w:rStyle w:val="11"/>
              <w:rFonts w:ascii="Times New Roman"/>
            </w:rPr>
            <w:t xml:space="preserve">  </w:t>
          </w:r>
          <w:r>
            <w:rPr>
              <w:rStyle w:val="11"/>
              <w:rFonts w:hint="eastAsia" w:ascii="Times New Roman"/>
            </w:rPr>
            <w:t>理财产品的资产</w:t>
          </w:r>
          <w:r>
            <w:tab/>
          </w:r>
          <w:r>
            <w:fldChar w:fldCharType="begin"/>
          </w:r>
          <w:r>
            <w:instrText xml:space="preserve"> PAGEREF _Toc176189283 \h </w:instrText>
          </w:r>
          <w:r>
            <w:fldChar w:fldCharType="separate"/>
          </w:r>
          <w:r>
            <w:t>25</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"_Toc176189284" </w:instrText>
          </w:r>
          <w:r>
            <w:fldChar w:fldCharType="separate"/>
          </w:r>
          <w:r>
            <w:rPr>
              <w:rStyle w:val="11"/>
              <w:rFonts w:hint="eastAsia" w:ascii="Times New Roman"/>
            </w:rPr>
            <w:t>第七条</w:t>
          </w:r>
          <w:r>
            <w:rPr>
              <w:rStyle w:val="11"/>
              <w:rFonts w:ascii="Times New Roman"/>
            </w:rPr>
            <w:t xml:space="preserve">  </w:t>
          </w:r>
          <w:r>
            <w:rPr>
              <w:rStyle w:val="11"/>
              <w:rFonts w:hint="eastAsia" w:ascii="Times New Roman"/>
            </w:rPr>
            <w:t>理财产品项下资产的估值</w:t>
          </w:r>
          <w:r>
            <w:tab/>
          </w:r>
          <w:r>
            <w:fldChar w:fldCharType="begin"/>
          </w:r>
          <w:r>
            <w:instrText xml:space="preserve"> PAGEREF _Toc176189284 \h </w:instrText>
          </w:r>
          <w:r>
            <w:fldChar w:fldCharType="separate"/>
          </w:r>
          <w:r>
            <w:t>26</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"_Toc176189285" </w:instrText>
          </w:r>
          <w:r>
            <w:fldChar w:fldCharType="separate"/>
          </w:r>
          <w:r>
            <w:rPr>
              <w:rStyle w:val="11"/>
              <w:rFonts w:hint="eastAsia" w:ascii="Times New Roman"/>
            </w:rPr>
            <w:t>第八条</w:t>
          </w:r>
          <w:r>
            <w:rPr>
              <w:rStyle w:val="11"/>
              <w:rFonts w:ascii="Times New Roman"/>
            </w:rPr>
            <w:t xml:space="preserve">  </w:t>
          </w:r>
          <w:r>
            <w:rPr>
              <w:rStyle w:val="11"/>
              <w:rFonts w:hint="eastAsia" w:ascii="Times New Roman"/>
            </w:rPr>
            <w:t>理财产品的利益分配</w:t>
          </w:r>
          <w:r>
            <w:tab/>
          </w:r>
          <w:r>
            <w:fldChar w:fldCharType="begin"/>
          </w:r>
          <w:r>
            <w:instrText xml:space="preserve"> PAGEREF _Toc176189285 \h </w:instrText>
          </w:r>
          <w:r>
            <w:fldChar w:fldCharType="separate"/>
          </w:r>
          <w:r>
            <w:t>29</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"_Toc176189286" </w:instrText>
          </w:r>
          <w:r>
            <w:fldChar w:fldCharType="separate"/>
          </w:r>
          <w:r>
            <w:rPr>
              <w:rStyle w:val="11"/>
              <w:rFonts w:hint="eastAsia" w:ascii="Times New Roman"/>
            </w:rPr>
            <w:t>第九条</w:t>
          </w:r>
          <w:r>
            <w:rPr>
              <w:rStyle w:val="11"/>
              <w:rFonts w:ascii="Times New Roman"/>
            </w:rPr>
            <w:t xml:space="preserve">  </w:t>
          </w:r>
          <w:r>
            <w:rPr>
              <w:rStyle w:val="11"/>
              <w:rFonts w:hint="eastAsia" w:ascii="Times New Roman"/>
            </w:rPr>
            <w:t>理财产品的费用与税收</w:t>
          </w:r>
          <w:r>
            <w:tab/>
          </w:r>
          <w:r>
            <w:fldChar w:fldCharType="begin"/>
          </w:r>
          <w:r>
            <w:instrText xml:space="preserve"> PAGEREF _Toc176189286 \h </w:instrText>
          </w:r>
          <w:r>
            <w:fldChar w:fldCharType="separate"/>
          </w:r>
          <w:r>
            <w:t>31</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"_Toc176189287" </w:instrText>
          </w:r>
          <w:r>
            <w:fldChar w:fldCharType="separate"/>
          </w:r>
          <w:r>
            <w:rPr>
              <w:rStyle w:val="11"/>
              <w:rFonts w:hint="eastAsia"/>
            </w:rPr>
            <w:t>第十条</w:t>
          </w:r>
          <w:r>
            <w:rPr>
              <w:rStyle w:val="11"/>
            </w:rPr>
            <w:t xml:space="preserve">  </w:t>
          </w:r>
          <w:r>
            <w:rPr>
              <w:rStyle w:val="11"/>
              <w:rFonts w:hint="eastAsia"/>
            </w:rPr>
            <w:t>理财产品的终止与清算</w:t>
          </w:r>
          <w:r>
            <w:tab/>
          </w:r>
          <w:r>
            <w:fldChar w:fldCharType="begin"/>
          </w:r>
          <w:r>
            <w:instrText xml:space="preserve"> PAGEREF _Toc176189287 \h </w:instrText>
          </w:r>
          <w:r>
            <w:fldChar w:fldCharType="separate"/>
          </w:r>
          <w:r>
            <w:t>33</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"_Toc176189288" </w:instrText>
          </w:r>
          <w:r>
            <w:fldChar w:fldCharType="separate"/>
          </w:r>
          <w:r>
            <w:rPr>
              <w:rStyle w:val="11"/>
              <w:rFonts w:hint="eastAsia" w:ascii="Times New Roman"/>
            </w:rPr>
            <w:t>第十一条</w:t>
          </w:r>
          <w:r>
            <w:rPr>
              <w:rStyle w:val="11"/>
              <w:rFonts w:ascii="Times New Roman"/>
            </w:rPr>
            <w:t xml:space="preserve">  </w:t>
          </w:r>
          <w:r>
            <w:rPr>
              <w:rStyle w:val="11"/>
              <w:rFonts w:hint="eastAsia" w:ascii="Times New Roman"/>
            </w:rPr>
            <w:t>理财产品的信息披露</w:t>
          </w:r>
          <w:r>
            <w:tab/>
          </w:r>
          <w:r>
            <w:fldChar w:fldCharType="begin"/>
          </w:r>
          <w:r>
            <w:instrText xml:space="preserve"> PAGEREF _Toc176189288 \h </w:instrText>
          </w:r>
          <w:r>
            <w:fldChar w:fldCharType="separate"/>
          </w:r>
          <w:r>
            <w:t>35</w:t>
          </w:r>
          <w:r>
            <w:fldChar w:fldCharType="end"/>
          </w:r>
          <w:r>
            <w:fldChar w:fldCharType="end"/>
          </w:r>
        </w:p>
        <w:p>
          <w:pPr>
            <w:pStyle w:val="5"/>
            <w:tabs>
              <w:tab w:val="right" w:leader="dot" w:pos="8296"/>
            </w:tabs>
            <w:rPr>
              <w:rFonts w:asciiTheme="minorHAnsi" w:hAnsiTheme="minorHAnsi" w:eastAsiaTheme="minorEastAsia" w:cstheme="minorBidi"/>
              <w:kern w:val="2"/>
              <w:sz w:val="21"/>
            </w:rPr>
          </w:pPr>
          <w:r>
            <w:fldChar w:fldCharType="begin"/>
          </w:r>
          <w:r>
            <w:instrText xml:space="preserve"> HYPERLINK \l "_Toc176189289" </w:instrText>
          </w:r>
          <w:r>
            <w:fldChar w:fldCharType="separate"/>
          </w:r>
          <w:r>
            <w:rPr>
              <w:rStyle w:val="11"/>
              <w:rFonts w:hint="eastAsia" w:ascii="Times New Roman"/>
            </w:rPr>
            <w:t>第十二条</w:t>
          </w:r>
          <w:r>
            <w:rPr>
              <w:rStyle w:val="11"/>
              <w:rFonts w:ascii="Times New Roman"/>
            </w:rPr>
            <w:t xml:space="preserve">  </w:t>
          </w:r>
          <w:r>
            <w:rPr>
              <w:rStyle w:val="11"/>
              <w:rFonts w:hint="eastAsia" w:ascii="Times New Roman"/>
            </w:rPr>
            <w:t>理财产品的风险揭示</w:t>
          </w:r>
          <w:r>
            <w:tab/>
          </w:r>
          <w:r>
            <w:fldChar w:fldCharType="begin"/>
          </w:r>
          <w:r>
            <w:instrText xml:space="preserve"> PAGEREF _Toc176189289 \h </w:instrText>
          </w:r>
          <w:r>
            <w:fldChar w:fldCharType="separate"/>
          </w:r>
          <w:r>
            <w:t>37</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278"/>
      <w:bookmarkStart w:id="2" w:name="_Toc6906"/>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12"/>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12"/>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：指产品管理人向投资者提供的，用于描述产品特征，约定权利义务的文件。具体指《兴银理财【添利】理财产品销售文件》，包括《投资协议书》《产品说明书》《（代理）销售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《投资协议书》：指管理人统一编制的《兴银理财【添利】理财产品投资协议书》，以及对该文件的有效修改或补充。</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）《产品说明书》：指管理人统一编制的《兴银理财【添利】理财产品产品说明书》，以及对该文件的有效修改或补充。</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（4）《（代理）销售协议书》：指管理人统一编制的《兴银理财【添利】理财产品（代理）销售协议书》或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的《兴银理财【添利】理财产品（代理）销售协议书》（文件名称以代理销售机构实际编制为准），以及对该文件的有效修改或补充。</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）《风险揭示书》：指管理人统一编制的《兴银理财【添利】理财产品风险揭示书》或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的《兴银理财【添利】理财产品风险揭示书》（文件名称以代理销售机构实际编制为准），以及对该文件的有效修改或补充。</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）《投资者权益须知》：指管理人统一编制的《兴银理财【添利】理财产品投资者权益须知》或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《兴银理财【添利】理财产品投资者权益须知》（文件名称以代理销售机构实际编制为准），以及对该文件的有效修改或补充。</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每</w:t>
      </w:r>
      <w:r>
        <w:rPr>
          <w:rFonts w:asciiTheme="majorEastAsia" w:hAnsiTheme="majorEastAsia" w:eastAsiaTheme="majorEastAsia"/>
          <w:bCs/>
          <w:color w:val="auto"/>
          <w:sz w:val="18"/>
          <w:szCs w:val="18"/>
        </w:rPr>
        <w:t>类份额类别设置的</w:t>
      </w:r>
      <w:r>
        <w:rPr>
          <w:rFonts w:hint="eastAsia" w:asciiTheme="majorEastAsia" w:hAnsiTheme="majorEastAsia" w:eastAsiaTheme="majorEastAsia"/>
          <w:bCs/>
          <w:color w:val="auto"/>
          <w:sz w:val="18"/>
          <w:szCs w:val="18"/>
        </w:rPr>
        <w:t>唯一性内部识别码。若本款理财产品不设置差异化产品份额类别，理财产品代码即为理财产品销售代码。</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12"/>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12"/>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（10）理财产品估值：指计算评估理财产品资产和理财产品负债的价值，以确定理财产品份额净值、每万份理财产品收益和7日年化收益率的过程。</w:t>
      </w:r>
    </w:p>
    <w:p>
      <w:pPr>
        <w:pStyle w:val="12"/>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12"/>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8）申购：</w:t>
      </w:r>
      <w:r>
        <w:rPr>
          <w:rFonts w:hint="eastAsia" w:asciiTheme="minorEastAsia" w:hAnsiTheme="minorEastAsia" w:eastAsiaTheme="minorEastAsia"/>
          <w:color w:val="auto"/>
          <w:sz w:val="18"/>
          <w:szCs w:val="18"/>
        </w:rPr>
        <w:t>指开放式理财产品成立后，投资者申请购买理财产品份额的行为。</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（19）赎回：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12"/>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12"/>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12"/>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12"/>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12"/>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w:t>
      </w:r>
      <w:r>
        <w:rPr>
          <w:rFonts w:hint="eastAsia" w:hAnsi="宋体"/>
          <w:color w:val="auto"/>
          <w:sz w:val="18"/>
          <w:szCs w:val="18"/>
        </w:rPr>
        <w:t>利益的日期。</w:t>
      </w:r>
    </w:p>
    <w:p>
      <w:pPr>
        <w:pStyle w:val="12"/>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1）产品存续期：指自理财产品成立日起，至理财产品终止日的期间。</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（16）申购确认日：指产品管理人确认投资者申购申请有效性的当日。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（17）赎回确认日：指产品管理人确认投资者赎回申请有效性的当日。</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12"/>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12"/>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12"/>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12"/>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12"/>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12"/>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12"/>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3" w:name="_Toc176189279"/>
      <w:bookmarkStart w:id="4" w:name="_Toc29961"/>
      <w:bookmarkStart w:id="5" w:name="_Toc79154665"/>
      <w:r>
        <w:rPr>
          <w:rFonts w:hint="eastAsia" w:hAnsi="宋体"/>
          <w:sz w:val="28"/>
          <w:szCs w:val="28"/>
        </w:rPr>
        <w:t>第二条  理财产品基本情况</w:t>
      </w:r>
      <w:bookmarkEnd w:id="3"/>
      <w:bookmarkEnd w:id="4"/>
      <w:bookmarkEnd w:id="5"/>
      <w:r>
        <w:rPr>
          <w:rFonts w:hint="eastAsia" w:hAnsi="宋体"/>
          <w:sz w:val="28"/>
          <w:szCs w:val="28"/>
        </w:rPr>
        <w:t xml:space="preserve"> </w:t>
      </w:r>
    </w:p>
    <w:tbl>
      <w:tblPr>
        <w:tblStyle w:val="7"/>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69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699"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53</w:t>
            </w:r>
            <w:r>
              <w:rPr>
                <w:rFonts w:hint="eastAsia" w:asciiTheme="minorEastAsia" w:hAnsiTheme="minorEastAsia"/>
                <w:sz w:val="18"/>
                <w:szCs w:val="18"/>
              </w:rPr>
              <w:t>号现金管理型理财产品</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99" w:type="dxa"/>
            <w:shd w:val="solid" w:color="FFFFFF" w:fill="FFFFFF"/>
          </w:tcPr>
          <w:p>
            <w:pPr>
              <w:widowControl/>
              <w:spacing w:line="360" w:lineRule="auto"/>
              <w:jc w:val="left"/>
              <w:rPr>
                <w:rFonts w:ascii="宋体" w:hAnsi="宋体"/>
                <w:kern w:val="0"/>
                <w:sz w:val="22"/>
              </w:rPr>
            </w:pPr>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兴银添利天天利53号J（鑫福款）</w:t>
            </w:r>
            <w:r>
              <w:rPr>
                <w:rFonts w:hint="eastAsia" w:asciiTheme="majorEastAsia" w:hAnsiTheme="majorEastAsia" w:eastAsiaTheme="majorEastAsia"/>
                <w:bCs/>
                <w:kern w:val="0"/>
                <w:sz w:val="18"/>
                <w:szCs w:val="18"/>
              </w:rPr>
              <w:t>】</w:t>
            </w:r>
            <w:r>
              <w:rPr>
                <w:rFonts w:hint="eastAsia" w:hAnsi="宋体"/>
                <w:sz w:val="18"/>
                <w:szCs w:val="18"/>
              </w:rPr>
              <w:t>（</w:t>
            </w:r>
            <w:r>
              <w:rPr>
                <w:rFonts w:hint="eastAsia" w:hAnsi="宋体"/>
                <w:sz w:val="18"/>
                <w:szCs w:val="18"/>
                <w:lang w:eastAsia="zh-CN"/>
              </w:rPr>
              <w:t>适用【J】类份额</w:t>
            </w:r>
            <w:r>
              <w:rPr>
                <w:rFonts w:hint="eastAsia"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99"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Z70020250001</w:t>
            </w:r>
            <w:r>
              <w:rPr>
                <w:rFonts w:hint="eastAsia" w:ascii="宋体" w:hAnsi="宋体"/>
                <w:bCs/>
                <w:sz w:val="18"/>
                <w:szCs w:val="18"/>
                <w:lang w:val="en-US" w:eastAsia="zh-CN"/>
              </w:rPr>
              <w:t>27</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99"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000000" w:themeColor="text1"/>
                <w:sz w:val="18"/>
                <w:szCs w:val="18"/>
                <w14:textFill>
                  <w14:solidFill>
                    <w14:schemeClr w14:val="tx1"/>
                  </w14:solidFill>
                </w14:textFill>
              </w:rPr>
              <w:t>9TTL9</w:t>
            </w:r>
            <w:r>
              <w:rPr>
                <w:rFonts w:hint="eastAsia" w:ascii="宋体" w:hAnsi="宋体"/>
                <w:bCs/>
                <w:color w:val="000000" w:themeColor="text1"/>
                <w:sz w:val="18"/>
                <w:szCs w:val="18"/>
                <w:lang w:val="en-US" w:eastAsia="zh-CN"/>
                <w14:textFill>
                  <w14:solidFill>
                    <w14:schemeClr w14:val="tx1"/>
                  </w14:solidFill>
                </w14:textFill>
              </w:rPr>
              <w:t>53</w:t>
            </w:r>
            <w:r>
              <w:rPr>
                <w:rFonts w:hint="eastAsia"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99"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ascii="宋体" w:hAnsi="宋体"/>
                <w:bCs/>
                <w:sz w:val="18"/>
                <w:szCs w:val="18"/>
              </w:rPr>
              <w:t>9TTL953J</w:t>
            </w:r>
            <w:r>
              <w:rPr>
                <w:rFonts w:hint="eastAsia" w:hAnsi="宋体"/>
                <w:sz w:val="18"/>
                <w:szCs w:val="18"/>
              </w:rPr>
              <w:t>】（</w:t>
            </w:r>
            <w:r>
              <w:rPr>
                <w:rFonts w:hint="eastAsia" w:hAnsi="宋体"/>
                <w:sz w:val="18"/>
                <w:szCs w:val="18"/>
                <w:lang w:eastAsia="zh-CN"/>
              </w:rPr>
              <w:t>适用【J】类份额</w:t>
            </w:r>
            <w:r>
              <w:rPr>
                <w:rFonts w:hint="eastAsia"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99"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99" w:type="dxa"/>
            <w:shd w:val="solid" w:color="FFFFFF" w:fill="FFFFFF"/>
            <w:vAlign w:val="center"/>
          </w:tcPr>
          <w:p>
            <w:pPr>
              <w:spacing w:line="360" w:lineRule="auto"/>
              <w:rPr>
                <w:rFonts w:ascii="黑体" w:hAnsi="黑体" w:eastAsia="黑体"/>
                <w:b/>
                <w:bCs/>
                <w:sz w:val="18"/>
                <w:szCs w:val="18"/>
              </w:rPr>
            </w:pPr>
            <w:r>
              <w:rPr>
                <w:rFonts w:hint="eastAsia" w:ascii="黑体" w:hAnsi="黑体" w:eastAsia="黑体"/>
                <w:sz w:val="18"/>
                <w:szCs w:val="18"/>
              </w:rPr>
              <w:t>公募</w:t>
            </w:r>
            <w:r>
              <w:rPr>
                <w:rFonts w:hint="eastAsia" w:ascii="黑体" w:hAnsi="黑体" w:eastAsia="黑体"/>
                <w:bCs/>
                <w:sz w:val="18"/>
                <w:szCs w:val="18"/>
              </w:rPr>
              <w:t>、开放式、固定</w:t>
            </w:r>
            <w:r>
              <w:rPr>
                <w:rFonts w:ascii="黑体" w:hAnsi="黑体" w:eastAsia="黑体"/>
                <w:bCs/>
                <w:sz w:val="18"/>
                <w:szCs w:val="18"/>
              </w:rPr>
              <w:t>收益</w:t>
            </w:r>
            <w:r>
              <w:rPr>
                <w:rFonts w:hint="eastAsia" w:ascii="黑体" w:hAnsi="黑体" w:eastAsia="黑体"/>
                <w:bCs/>
                <w:sz w:val="18"/>
                <w:szCs w:val="18"/>
              </w:rPr>
              <w:t>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99" w:type="dxa"/>
            <w:shd w:val="solid" w:color="FFFFFF" w:fill="FFFFFF"/>
            <w:vAlign w:val="center"/>
          </w:tcPr>
          <w:p>
            <w:pPr>
              <w:spacing w:line="360" w:lineRule="auto"/>
              <w:rPr>
                <w:rFonts w:ascii="宋体" w:hAnsi="宋体"/>
                <w:b/>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99" w:type="dxa"/>
            <w:shd w:val="solid" w:color="FFFFFF" w:fill="FFFFFF"/>
            <w:vAlign w:val="center"/>
          </w:tcPr>
          <w:p>
            <w:pPr>
              <w:spacing w:line="360" w:lineRule="auto"/>
              <w:rPr>
                <w:rFonts w:ascii="宋体" w:hAnsi="宋体"/>
                <w:b/>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产品投资性质</w:t>
            </w:r>
          </w:p>
        </w:tc>
        <w:tc>
          <w:tcPr>
            <w:tcW w:w="7699"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黑体" w:hAnsi="黑体" w:eastAsia="黑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99" w:type="dxa"/>
            <w:shd w:val="solid" w:color="FFFFFF" w:fill="FFFFFF"/>
            <w:vAlign w:val="center"/>
          </w:tcPr>
          <w:p>
            <w:pPr>
              <w:adjustRightInd w:val="0"/>
              <w:snapToGrid w:val="0"/>
              <w:spacing w:line="360" w:lineRule="auto"/>
              <w:rPr>
                <w:rFonts w:ascii="黑体" w:hAnsi="黑体" w:eastAsia="黑体"/>
                <w:b/>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b/>
                <w:color w:val="000000" w:themeColor="text1"/>
                <w:sz w:val="18"/>
                <w:szCs w:val="18"/>
                <w14:textFill>
                  <w14:solidFill>
                    <w14:schemeClr w14:val="tx1"/>
                  </w14:solidFill>
                </w14:textFill>
              </w:rPr>
            </w:pPr>
            <w:r>
              <w:rPr>
                <w:rFonts w:hint="eastAsia" w:ascii="黑体" w:hAnsi="黑体" w:eastAsia="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99"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99"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99"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0.1</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r>
              <w:rPr>
                <w:rFonts w:hint="eastAsia" w:cs="Times New Roman" w:asciiTheme="minorEastAsia" w:hAnsiTheme="minorEastAsia"/>
                <w:sz w:val="18"/>
                <w:szCs w:val="18"/>
              </w:rPr>
              <w:t>】日【</w:t>
            </w:r>
            <w:r>
              <w:rPr>
                <w:rFonts w:hint="eastAsia" w:cs="Times New Roman" w:asciiTheme="minorEastAsia" w:hAnsiTheme="minorEastAsia"/>
                <w:sz w:val="18"/>
                <w:szCs w:val="18"/>
                <w:lang w:val="en-US" w:eastAsia="zh-CN"/>
              </w:rPr>
              <w:t>0：00</w:t>
            </w:r>
            <w:r>
              <w:rPr>
                <w:rFonts w:hint="eastAsia" w:cs="Times New Roman" w:asciiTheme="minorEastAsia" w:hAnsiTheme="minorEastAsia"/>
                <w:sz w:val="18"/>
                <w:szCs w:val="18"/>
              </w:rPr>
              <w:t>】</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27</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r>
              <w:rPr>
                <w:rFonts w:hint="eastAsia" w:asciiTheme="majorEastAsia" w:hAnsiTheme="majorEastAsia" w:eastAsiaTheme="majorEastAsia"/>
                <w:sz w:val="18"/>
                <w:szCs w:val="18"/>
                <w:lang w:val="en-US" w:eastAsia="zh-CN"/>
              </w:rPr>
              <w:t>24：00</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Theme="majorEastAsia" w:hAnsiTheme="majorEastAsia" w:eastAsiaTheme="majorEastAsia"/>
                <w:bCs/>
                <w:sz w:val="18"/>
                <w:szCs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2025</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03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28</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699" w:type="dxa"/>
            <w:shd w:val="solid" w:color="FFFFFF" w:fill="FFFFFF"/>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cs="仿宋_GB2312" w:asciiTheme="minorEastAsia" w:hAnsiTheme="minorEastAsia"/>
                <w:sz w:val="18"/>
                <w:szCs w:val="18"/>
              </w:rPr>
              <w:t>至</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w:t>
            </w:r>
          </w:p>
          <w:p>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sz w:val="18"/>
                <w:szCs w:val="18"/>
              </w:rPr>
            </w:pPr>
            <w:r>
              <w:rPr>
                <w:rFonts w:hint="eastAsia" w:hAnsi="宋体"/>
                <w:sz w:val="18"/>
                <w:szCs w:val="18"/>
              </w:rPr>
              <w:t>★</w:t>
            </w:r>
            <w:r>
              <w:rPr>
                <w:rFonts w:hint="eastAsia" w:hAnsi="宋体"/>
                <w:b/>
                <w:sz w:val="18"/>
                <w:szCs w:val="18"/>
              </w:rPr>
              <w:t>申购/赎回安排</w:t>
            </w:r>
          </w:p>
        </w:tc>
        <w:tc>
          <w:tcPr>
            <w:tcW w:w="7699" w:type="dxa"/>
            <w:shd w:val="solid" w:color="FFFFFF" w:fill="FFFFFF"/>
          </w:tcPr>
          <w:p>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本产品在封闭期后，产品按以下规则设置开放期：</w:t>
            </w:r>
          </w:p>
          <w:p>
            <w:pPr>
              <w:spacing w:line="360" w:lineRule="auto"/>
              <w:rPr>
                <w:rFonts w:asciiTheme="minorEastAsia" w:hAnsiTheme="minorEastAsia"/>
                <w:sz w:val="18"/>
                <w:szCs w:val="18"/>
              </w:rPr>
            </w:pPr>
            <w:r>
              <w:rPr>
                <w:rFonts w:hint="eastAsia" w:asciiTheme="minorEastAsia" w:hAnsiTheme="minorEastAsia"/>
                <w:sz w:val="18"/>
                <w:szCs w:val="18"/>
              </w:rPr>
              <w:t>（1）本</w:t>
            </w:r>
            <w:r>
              <w:rPr>
                <w:rFonts w:asciiTheme="minorEastAsia" w:hAnsiTheme="minorEastAsia"/>
                <w:sz w:val="18"/>
                <w:szCs w:val="18"/>
              </w:rPr>
              <w:t>产品成立后</w:t>
            </w:r>
            <w:r>
              <w:rPr>
                <w:rFonts w:hint="eastAsia" w:asciiTheme="minorEastAsia" w:hAnsiTheme="minorEastAsia"/>
                <w:sz w:val="18"/>
                <w:szCs w:val="18"/>
              </w:rPr>
              <w:t>，</w:t>
            </w:r>
            <w:r>
              <w:rPr>
                <w:rFonts w:asciiTheme="minorEastAsia" w:hAnsiTheme="minorEastAsia"/>
                <w:sz w:val="18"/>
                <w:szCs w:val="18"/>
              </w:rPr>
              <w:t>在封闭期之</w:t>
            </w:r>
            <w:r>
              <w:rPr>
                <w:rFonts w:hint="eastAsia" w:asciiTheme="minorEastAsia" w:hAnsiTheme="minorEastAsia"/>
                <w:sz w:val="18"/>
                <w:szCs w:val="18"/>
              </w:rPr>
              <w:t>后的每个【</w:t>
            </w:r>
            <w:r>
              <w:rPr>
                <w:rFonts w:hint="eastAsia" w:asciiTheme="minorEastAsia" w:hAnsiTheme="minorEastAsia"/>
                <w:sz w:val="18"/>
                <w:szCs w:val="18"/>
                <w:lang w:val="en-US" w:eastAsia="zh-CN"/>
              </w:rPr>
              <w:t>工作日</w:t>
            </w:r>
            <w:r>
              <w:rPr>
                <w:rFonts w:hint="eastAsia" w:asciiTheme="minorEastAsia" w:hAnsiTheme="minorEastAsia"/>
                <w:sz w:val="18"/>
                <w:szCs w:val="18"/>
              </w:rPr>
              <w:t>】为开放日，开放日开放投资者的申购与赎回；</w:t>
            </w:r>
          </w:p>
          <w:p>
            <w:pPr>
              <w:spacing w:line="360" w:lineRule="auto"/>
              <w:rPr>
                <w:rFonts w:asciiTheme="minorEastAsia" w:hAnsiTheme="minorEastAsia"/>
                <w:sz w:val="18"/>
                <w:szCs w:val="18"/>
              </w:rPr>
            </w:pPr>
            <w:r>
              <w:rPr>
                <w:rFonts w:hint="eastAsia" w:asciiTheme="minorEastAsia" w:hAnsiTheme="minorEastAsia"/>
                <w:sz w:val="18"/>
                <w:szCs w:val="18"/>
              </w:rPr>
              <w:t>（2）产品管理人公告暂停开放的日期除外。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eastAsia="黑体" w:asciiTheme="minorEastAsia" w:hAnsiTheme="minorEastAsia"/>
                <w:b/>
                <w:sz w:val="18"/>
                <w:szCs w:val="18"/>
              </w:rPr>
            </w:pPr>
            <w:r>
              <w:rPr>
                <w:rFonts w:hint="eastAsia" w:asciiTheme="minorEastAsia" w:hAnsiTheme="minorEastAsia"/>
                <w:sz w:val="18"/>
                <w:szCs w:val="18"/>
              </w:rPr>
              <w:t>（1）申购的时间</w:t>
            </w:r>
          </w:p>
          <w:p>
            <w:pPr>
              <w:spacing w:line="360" w:lineRule="auto"/>
              <w:rPr>
                <w:rFonts w:eastAsia="黑体" w:asciiTheme="minorEastAsia" w:hAnsiTheme="minorEastAsia"/>
                <w:b/>
                <w:sz w:val="18"/>
                <w:szCs w:val="18"/>
              </w:rPr>
            </w:pPr>
            <w:r>
              <w:rPr>
                <w:rFonts w:hint="eastAsia" w:asciiTheme="minorEastAsia" w:hAnsiTheme="minorEastAsia"/>
                <w:sz w:val="18"/>
                <w:szCs w:val="18"/>
              </w:rPr>
              <w:t>本产品封闭期后的每个开放日开放申购。投资者可于开放日内提交申购申请，产品管理人公告暂停开放的日期除外。</w:t>
            </w:r>
          </w:p>
          <w:p>
            <w:pPr>
              <w:spacing w:line="360" w:lineRule="auto"/>
              <w:rPr>
                <w:rFonts w:eastAsia="黑体" w:asciiTheme="minorEastAsia" w:hAnsiTheme="minorEastAsia"/>
                <w:b/>
                <w:sz w:val="18"/>
                <w:szCs w:val="18"/>
              </w:rPr>
            </w:pPr>
            <w:r>
              <w:rPr>
                <w:rFonts w:hint="eastAsia" w:asciiTheme="minorEastAsia" w:hAnsiTheme="minorEastAsia"/>
                <w:sz w:val="18"/>
                <w:szCs w:val="18"/>
              </w:rPr>
              <w:t>（2）申购的确认</w:t>
            </w:r>
          </w:p>
          <w:tbl>
            <w:tblPr>
              <w:tblStyle w:val="8"/>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67"/>
              <w:gridCol w:w="157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967" w:type="dxa"/>
                  <w:vAlign w:val="center"/>
                </w:tcPr>
                <w:p>
                  <w:pPr>
                    <w:pStyle w:val="12"/>
                    <w:spacing w:line="360" w:lineRule="auto"/>
                    <w:jc w:val="center"/>
                    <w:rPr>
                      <w:rFonts w:asciiTheme="minorEastAsia" w:hAnsiTheme="minorEastAsia"/>
                      <w:b/>
                      <w:bCs/>
                      <w:kern w:val="2"/>
                      <w:sz w:val="18"/>
                      <w:szCs w:val="18"/>
                    </w:rPr>
                  </w:pPr>
                  <w:r>
                    <w:rPr>
                      <w:rFonts w:hint="eastAsia" w:asciiTheme="majorEastAsia" w:hAnsiTheme="majorEastAsia" w:eastAsiaTheme="majorEastAsia"/>
                      <w:b/>
                      <w:bCs/>
                      <w:color w:val="auto"/>
                      <w:sz w:val="18"/>
                      <w:szCs w:val="18"/>
                    </w:rPr>
                    <w:t>申购申请日</w:t>
                  </w:r>
                </w:p>
              </w:tc>
              <w:tc>
                <w:tcPr>
                  <w:tcW w:w="1571" w:type="dxa"/>
                  <w:vAlign w:val="center"/>
                </w:tcPr>
                <w:p>
                  <w:pPr>
                    <w:pStyle w:val="12"/>
                    <w:spacing w:line="360" w:lineRule="auto"/>
                    <w:jc w:val="center"/>
                    <w:rPr>
                      <w:rFonts w:cs="Times New Roman" w:asciiTheme="minorEastAsia" w:hAnsiTheme="minorEastAsia"/>
                      <w:b/>
                      <w:bCs/>
                      <w:color w:val="auto"/>
                      <w:kern w:val="2"/>
                      <w:sz w:val="18"/>
                      <w:szCs w:val="18"/>
                    </w:rPr>
                  </w:pPr>
                  <w:r>
                    <w:rPr>
                      <w:rFonts w:hint="eastAsia" w:cs="Times New Roman" w:asciiTheme="minorEastAsia" w:hAnsiTheme="minorEastAsia"/>
                      <w:b/>
                      <w:bCs/>
                      <w:color w:val="auto"/>
                      <w:sz w:val="18"/>
                      <w:szCs w:val="18"/>
                    </w:rPr>
                    <w:t>申购日</w:t>
                  </w:r>
                </w:p>
              </w:tc>
              <w:tc>
                <w:tcPr>
                  <w:tcW w:w="1984" w:type="dxa"/>
                  <w:vAlign w:val="center"/>
                </w:tcPr>
                <w:p>
                  <w:pPr>
                    <w:pStyle w:val="12"/>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985" w:type="dxa"/>
                  <w:vAlign w:val="center"/>
                </w:tcPr>
                <w:p>
                  <w:pPr>
                    <w:pStyle w:val="12"/>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967"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 xml:space="preserve">】 </w:t>
                  </w:r>
                </w:p>
              </w:tc>
              <w:tc>
                <w:tcPr>
                  <w:tcW w:w="1571"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pPr>
                    <w:pStyle w:val="12"/>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restart"/>
                </w:tcPr>
                <w:p>
                  <w:pPr>
                    <w:pStyle w:val="12"/>
                    <w:spacing w:line="360" w:lineRule="auto"/>
                    <w:jc w:val="left"/>
                    <w:rPr>
                      <w:rFonts w:asciiTheme="majorEastAsia" w:hAnsiTheme="majorEastAsia" w:eastAsiaTheme="majorEastAsia"/>
                      <w:bCs/>
                      <w:color w:val="auto"/>
                      <w:kern w:val="2"/>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967"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asciiTheme="majorEastAsia" w:hAnsiTheme="majorEastAsia" w:eastAsiaTheme="majorEastAsia"/>
                      <w:bCs/>
                      <w:color w:val="auto"/>
                      <w:sz w:val="18"/>
                      <w:szCs w:val="18"/>
                    </w:rPr>
                    <w:t>】</w:t>
                  </w:r>
                </w:p>
              </w:tc>
              <w:tc>
                <w:tcPr>
                  <w:tcW w:w="1571"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12"/>
                    <w:spacing w:line="360" w:lineRule="auto"/>
                    <w:jc w:val="left"/>
                    <w:rPr>
                      <w:rFonts w:asciiTheme="majorEastAsia" w:hAnsiTheme="majorEastAsia" w:eastAsiaTheme="majorEastAsia"/>
                      <w:bCs/>
                      <w:color w:val="auto"/>
                      <w:kern w:val="2"/>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967"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571"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pStyle w:val="12"/>
                    <w:spacing w:line="360" w:lineRule="auto"/>
                    <w:jc w:val="left"/>
                    <w:rPr>
                      <w:rFonts w:asciiTheme="majorEastAsia" w:hAnsiTheme="majorEastAsia" w:eastAsiaTheme="majorEastAsia"/>
                      <w:bCs/>
                      <w:color w:val="auto"/>
                      <w:kern w:val="2"/>
                      <w:sz w:val="18"/>
                      <w:szCs w:val="18"/>
                    </w:rPr>
                  </w:pPr>
                </w:p>
              </w:tc>
            </w:tr>
          </w:tbl>
          <w:p>
            <w:pPr>
              <w:spacing w:line="360" w:lineRule="auto"/>
              <w:rPr>
                <w:rFonts w:asciiTheme="minorEastAsia" w:hAnsiTheme="minorEastAsia"/>
                <w:sz w:val="18"/>
                <w:szCs w:val="18"/>
              </w:rPr>
            </w:pPr>
            <w:r>
              <w:rPr>
                <w:rFonts w:asciiTheme="minorEastAsia" w:hAnsiTheme="minorEastAsia"/>
                <w:sz w:val="18"/>
                <w:szCs w:val="18"/>
              </w:rPr>
              <w:t>3.赎回</w:t>
            </w:r>
            <w:r>
              <w:rPr>
                <w:rFonts w:hint="eastAsia" w:asciiTheme="minorEastAsia" w:hAnsiTheme="minorEastAsia"/>
                <w:sz w:val="18"/>
                <w:szCs w:val="18"/>
              </w:rPr>
              <w:t>安排</w:t>
            </w:r>
          </w:p>
          <w:p>
            <w:pPr>
              <w:spacing w:line="360" w:lineRule="auto"/>
              <w:rPr>
                <w:rFonts w:asciiTheme="minorEastAsia" w:hAnsiTheme="minorEastAsia"/>
                <w:sz w:val="18"/>
                <w:szCs w:val="18"/>
              </w:rPr>
            </w:pPr>
            <w:r>
              <w:rPr>
                <w:rFonts w:hint="eastAsia" w:asciiTheme="minorEastAsia" w:hAnsiTheme="minorEastAsia"/>
                <w:sz w:val="18"/>
                <w:szCs w:val="18"/>
              </w:rPr>
              <w:t>（1）赎回的时间</w:t>
            </w:r>
          </w:p>
          <w:p>
            <w:pPr>
              <w:spacing w:line="360" w:lineRule="auto"/>
              <w:rPr>
                <w:rFonts w:asciiTheme="minorEastAsia" w:hAnsiTheme="minorEastAsia"/>
                <w:sz w:val="18"/>
                <w:szCs w:val="18"/>
              </w:rPr>
            </w:pPr>
            <w:r>
              <w:rPr>
                <w:rFonts w:hint="eastAsia" w:asciiTheme="minorEastAsia" w:hAnsiTheme="minorEastAsia"/>
                <w:sz w:val="18"/>
                <w:szCs w:val="18"/>
              </w:rPr>
              <w:t>本产品</w:t>
            </w:r>
            <w:r>
              <w:rPr>
                <w:rFonts w:asciiTheme="minorEastAsia" w:hAnsiTheme="minorEastAsia"/>
                <w:sz w:val="18"/>
                <w:szCs w:val="18"/>
              </w:rPr>
              <w:t>封闭期</w:t>
            </w:r>
            <w:r>
              <w:rPr>
                <w:rFonts w:hint="eastAsia" w:asciiTheme="minorEastAsia" w:hAnsiTheme="minorEastAsia"/>
                <w:sz w:val="18"/>
                <w:szCs w:val="18"/>
              </w:rPr>
              <w:t>后</w:t>
            </w:r>
            <w:r>
              <w:rPr>
                <w:rFonts w:hint="eastAsia" w:cs="Times New Roman" w:asciiTheme="minorEastAsia" w:hAnsiTheme="minorEastAsia"/>
                <w:sz w:val="18"/>
                <w:szCs w:val="18"/>
              </w:rPr>
              <w:t>的</w:t>
            </w:r>
            <w:r>
              <w:rPr>
                <w:rFonts w:hint="eastAsia" w:asciiTheme="minorEastAsia" w:hAnsiTheme="minorEastAsia"/>
                <w:sz w:val="18"/>
                <w:szCs w:val="18"/>
              </w:rPr>
              <w:t>每个开放日开放</w:t>
            </w:r>
            <w:r>
              <w:rPr>
                <w:rFonts w:hint="eastAsia" w:asciiTheme="minorEastAsia" w:hAnsiTheme="minorEastAsia"/>
                <w:bCs/>
                <w:sz w:val="18"/>
                <w:szCs w:val="18"/>
              </w:rPr>
              <w:t>赎回</w:t>
            </w:r>
            <w:r>
              <w:rPr>
                <w:rFonts w:asciiTheme="minorEastAsia" w:hAnsiTheme="minorEastAsia"/>
                <w:sz w:val="18"/>
                <w:szCs w:val="18"/>
              </w:rPr>
              <w:t>。</w:t>
            </w:r>
            <w:r>
              <w:rPr>
                <w:rFonts w:hint="eastAsia" w:asciiTheme="minorEastAsia" w:hAnsiTheme="minorEastAsia"/>
                <w:sz w:val="18"/>
                <w:szCs w:val="18"/>
              </w:rPr>
              <w:t>投资者可于开放日内提交赎回申请，产品管理人公告暂停开放的日期除外</w:t>
            </w:r>
            <w:r>
              <w:rPr>
                <w:rFonts w:hint="eastAsia" w:asciiTheme="majorEastAsia" w:hAnsiTheme="majorEastAsia" w:eastAsiaTheme="majorEastAsia"/>
                <w:bCs/>
                <w:sz w:val="18"/>
                <w:szCs w:val="18"/>
              </w:rPr>
              <w:t>。</w:t>
            </w:r>
          </w:p>
          <w:p>
            <w:pPr>
              <w:spacing w:line="360" w:lineRule="auto"/>
              <w:rPr>
                <w:rFonts w:asciiTheme="minorEastAsia" w:hAnsiTheme="minorEastAsia"/>
                <w:sz w:val="18"/>
                <w:szCs w:val="18"/>
              </w:rPr>
            </w:pPr>
            <w:r>
              <w:rPr>
                <w:rFonts w:hint="eastAsia" w:asciiTheme="minorEastAsia" w:hAnsiTheme="minorEastAsia"/>
                <w:sz w:val="18"/>
                <w:szCs w:val="18"/>
              </w:rPr>
              <w:t>（2）赎回的确认</w:t>
            </w:r>
          </w:p>
          <w:tbl>
            <w:tblPr>
              <w:tblStyle w:val="8"/>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2006"/>
              <w:gridCol w:w="1528"/>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2006"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528" w:type="dxa"/>
                </w:tcPr>
                <w:p>
                  <w:pPr>
                    <w:spacing w:line="360" w:lineRule="auto"/>
                    <w:jc w:val="center"/>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pPr>
                    <w:spacing w:line="360" w:lineRule="auto"/>
                    <w:jc w:val="center"/>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2006" w:type="dxa"/>
                  <w:tcBorders>
                    <w:bottom w:val="single" w:color="auto" w:sz="12" w:space="0"/>
                  </w:tcBorders>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w:t>
                  </w:r>
                </w:p>
              </w:tc>
              <w:tc>
                <w:tcPr>
                  <w:tcW w:w="1528" w:type="dxa"/>
                  <w:tcBorders>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赎回申请日当日</w:t>
                  </w:r>
                </w:p>
              </w:tc>
              <w:tc>
                <w:tcPr>
                  <w:tcW w:w="1984" w:type="dxa"/>
                  <w:tcBorders>
                    <w:bottom w:val="single" w:color="auto" w:sz="12" w:space="0"/>
                  </w:tcBorders>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restart"/>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2006" w:type="dxa"/>
                  <w:tcBorders>
                    <w:top w:val="single" w:color="auto" w:sz="12" w:space="0"/>
                    <w:bottom w:val="single" w:color="auto" w:sz="12" w:space="0"/>
                  </w:tcBorders>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hint="eastAsia" w:asciiTheme="majorEastAsia" w:hAnsiTheme="majorEastAsia" w:eastAsiaTheme="majorEastAsia"/>
                      <w:bCs/>
                      <w:color w:val="auto"/>
                      <w:sz w:val="18"/>
                      <w:szCs w:val="18"/>
                      <w:lang w:val="en-US" w:eastAsia="zh-CN"/>
                    </w:rPr>
                    <w:t>17：00</w:t>
                  </w: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24：00</w:t>
                  </w:r>
                  <w:r>
                    <w:rPr>
                      <w:rFonts w:asciiTheme="majorEastAsia" w:hAnsiTheme="majorEastAsia" w:eastAsiaTheme="majorEastAsia"/>
                      <w:bCs/>
                      <w:color w:val="auto"/>
                      <w:sz w:val="18"/>
                      <w:szCs w:val="18"/>
                    </w:rPr>
                    <w:t>】</w:t>
                  </w:r>
                </w:p>
              </w:tc>
              <w:tc>
                <w:tcPr>
                  <w:tcW w:w="1528"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2006" w:type="dxa"/>
                  <w:tcBorders>
                    <w:top w:val="single" w:color="auto" w:sz="12" w:space="0"/>
                  </w:tcBorders>
                  <w:vAlign w:val="center"/>
                </w:tcPr>
                <w:p>
                  <w:pPr>
                    <w:pStyle w:val="12"/>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528" w:type="dxa"/>
                  <w:tcBorders>
                    <w:top w:val="single" w:color="auto" w:sz="12" w:space="0"/>
                  </w:tcBorders>
                  <w:vAlign w:val="center"/>
                </w:tcPr>
                <w:p>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kern w:val="0"/>
                      <w:sz w:val="18"/>
                      <w:szCs w:val="18"/>
                    </w:rPr>
                  </w:pP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1</w:t>
            </w:r>
            <w:r>
              <w:rPr>
                <w:rFonts w:hint="eastAsia" w:ascii="黑体" w:hAnsi="黑体" w:eastAsia="黑体" w:cs="黑体"/>
                <w:kern w:val="0"/>
                <w:sz w:val="18"/>
              </w:rPr>
              <w:t>】个开放日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inorEastAsia" w:hAnsiTheme="minorEastAsia"/>
                <w:sz w:val="18"/>
                <w:szCs w:val="18"/>
              </w:rPr>
            </w:pPr>
            <w:r>
              <w:rPr>
                <w:rFonts w:asciiTheme="majorEastAsia" w:hAnsiTheme="majorEastAsia" w:eastAsiaTheme="majorEastAsia"/>
                <w:bCs/>
                <w:color w:val="000000" w:themeColor="text1"/>
                <w:sz w:val="18"/>
                <w:szCs w:val="18"/>
                <w14:textFill>
                  <w14:solidFill>
                    <w14:schemeClr w14:val="tx1"/>
                  </w14:solidFill>
                </w14:textFill>
              </w:rPr>
              <w:t>4.申购/</w:t>
            </w:r>
            <w:r>
              <w:rPr>
                <w:rFonts w:hint="eastAsia"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pPr>
              <w:spacing w:line="360" w:lineRule="auto"/>
              <w:rPr>
                <w:rFonts w:ascii="黑体" w:hAnsi="黑体" w:eastAsia="黑体"/>
                <w:bCs/>
                <w:sz w:val="18"/>
                <w:szCs w:val="18"/>
              </w:rPr>
            </w:pPr>
            <w:r>
              <w:rPr>
                <w:rFonts w:hint="eastAsia" w:ascii="黑体" w:hAnsi="黑体" w:eastAsia="黑体"/>
                <w:bCs/>
                <w:sz w:val="18"/>
                <w:szCs w:val="18"/>
              </w:rPr>
              <w:t>注：关于代理销售机构的实际工作服务时段的提示</w:t>
            </w:r>
          </w:p>
          <w:p>
            <w:pPr>
              <w:spacing w:line="360" w:lineRule="auto"/>
              <w:rPr>
                <w:rFonts w:ascii="黑体" w:hAnsi="黑体" w:eastAsia="黑体"/>
                <w:bCs/>
                <w:sz w:val="18"/>
                <w:szCs w:val="18"/>
              </w:rPr>
            </w:pPr>
            <w:r>
              <w:rPr>
                <w:rFonts w:hint="eastAsia" w:ascii="黑体" w:hAnsi="黑体" w:eastAsia="黑体"/>
                <w:bCs/>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黑体" w:hAnsi="黑体" w:eastAsia="黑体"/>
                <w:bCs/>
                <w:sz w:val="18"/>
                <w:szCs w:val="18"/>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99"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】元；超出起点金额的部分以【</w:t>
            </w:r>
            <w:r>
              <w:rPr>
                <w:rFonts w:hint="eastAsia" w:asciiTheme="majorEastAsia" w:hAnsiTheme="majorEastAsia" w:eastAsiaTheme="majorEastAsia"/>
                <w:bCs/>
                <w:sz w:val="18"/>
                <w:szCs w:val="18"/>
                <w:lang w:val="en-US" w:eastAsia="zh-CN"/>
              </w:rPr>
              <w:t>0.01</w:t>
            </w:r>
            <w:r>
              <w:rPr>
                <w:rFonts w:hint="eastAsia" w:asciiTheme="majorEastAsia" w:hAnsiTheme="majorEastAsia" w:eastAsiaTheme="majorEastAsia"/>
                <w:bCs/>
                <w:sz w:val="18"/>
                <w:szCs w:val="18"/>
              </w:rPr>
              <w:t>】元的整数倍递增。</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适用【J】类份额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b/>
                <w:sz w:val="18"/>
                <w:szCs w:val="18"/>
              </w:rPr>
              <w:t>★认购、申购与赎回的数量限制</w:t>
            </w:r>
          </w:p>
        </w:tc>
        <w:tc>
          <w:tcPr>
            <w:tcW w:w="7699" w:type="dxa"/>
            <w:shd w:val="solid" w:color="FFFFFF" w:fill="FFFFFF"/>
            <w:vAlign w:val="center"/>
          </w:tcPr>
          <w:p>
            <w:pPr>
              <w:pStyle w:val="12"/>
              <w:spacing w:line="360" w:lineRule="auto"/>
              <w:rPr>
                <w:rFonts w:hAnsi="宋体"/>
                <w:bCs/>
                <w:sz w:val="18"/>
                <w:szCs w:val="18"/>
              </w:rPr>
            </w:pPr>
            <w:r>
              <w:rPr>
                <w:rFonts w:hint="eastAsia" w:hAnsi="宋体"/>
                <w:bCs/>
                <w:sz w:val="18"/>
                <w:szCs w:val="18"/>
              </w:rPr>
              <w:t>（</w:t>
            </w:r>
            <w:r>
              <w:rPr>
                <w:rFonts w:hint="eastAsia" w:hAnsi="宋体"/>
                <w:bCs/>
                <w:sz w:val="18"/>
                <w:szCs w:val="18"/>
                <w:lang w:eastAsia="zh-CN"/>
              </w:rPr>
              <w:t>适用【J】类份额</w:t>
            </w:r>
            <w:r>
              <w:rPr>
                <w:rFonts w:hint="eastAsia" w:hAnsi="宋体"/>
                <w:bCs/>
                <w:sz w:val="18"/>
                <w:szCs w:val="18"/>
              </w:rPr>
              <w:t>）</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12"/>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12"/>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12"/>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12"/>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12"/>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699" w:type="dxa"/>
            <w:shd w:val="solid" w:color="FFFFFF" w:fill="FFFFFF"/>
          </w:tcPr>
          <w:p>
            <w:pPr>
              <w:pStyle w:val="12"/>
              <w:spacing w:line="360" w:lineRule="auto"/>
              <w:rPr>
                <w:rFonts w:asciiTheme="minorEastAsia" w:hAnsiTheme="minorEastAsia" w:eastAsiaTheme="minorEastAsia"/>
                <w:color w:val="auto"/>
                <w:kern w:val="2"/>
                <w:sz w:val="18"/>
                <w:szCs w:val="18"/>
              </w:rPr>
            </w:pPr>
            <w:r>
              <w:rPr>
                <w:rFonts w:hint="eastAsia" w:asciiTheme="minorEastAsia" w:hAnsiTheme="minorEastAsia"/>
                <w:bCs/>
                <w:sz w:val="18"/>
                <w:szCs w:val="18"/>
              </w:rPr>
              <w:t>单个开放日中</w:t>
            </w:r>
            <w:r>
              <w:rPr>
                <w:rFonts w:hint="eastAsia" w:asciiTheme="majorEastAsia" w:hAnsiTheme="majorEastAsia" w:eastAsiaTheme="majorEastAsia"/>
                <w:bCs/>
                <w:sz w:val="18"/>
                <w:szCs w:val="18"/>
              </w:rPr>
              <w:t>，本产品的累计产品份额净赎回申请（赎回申请总份额扣除申购总份额后的余额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下同）之和达到上一日产品总份额的1</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99"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99"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sz w:val="18"/>
                <w:szCs w:val="18"/>
              </w:rPr>
              <w:t>.</w:t>
            </w:r>
            <w:r>
              <w:rPr>
                <w:rFonts w:hint="eastAsia" w:asciiTheme="minorEastAsia" w:hAnsiTheme="minorEastAsia"/>
                <w:bCs/>
                <w:sz w:val="18"/>
                <w:szCs w:val="18"/>
              </w:rPr>
              <w:t>理财产品份额净值</w:t>
            </w:r>
            <w:r>
              <w:rPr>
                <w:rFonts w:asciiTheme="minorEastAsia" w:hAnsiTheme="minorEastAsia"/>
                <w:bCs/>
                <w:sz w:val="18"/>
                <w:szCs w:val="18"/>
              </w:rPr>
              <w:t>为提取</w:t>
            </w:r>
            <w:r>
              <w:rPr>
                <w:rFonts w:hint="eastAsia" w:asciiTheme="minorEastAsia" w:hAnsiTheme="minorEastAsia"/>
                <w:bCs/>
                <w:sz w:val="18"/>
                <w:szCs w:val="18"/>
              </w:rPr>
              <w:t>理财产品</w:t>
            </w:r>
            <w:r>
              <w:rPr>
                <w:rFonts w:asciiTheme="minorEastAsia" w:hAnsiTheme="minorEastAsia"/>
                <w:bCs/>
                <w:sz w:val="18"/>
                <w:szCs w:val="18"/>
              </w:rPr>
              <w:t>费用后的理财产品份额净值，</w:t>
            </w:r>
            <w:r>
              <w:rPr>
                <w:rFonts w:hint="eastAsia" w:asciiTheme="minorEastAsia" w:hAnsiTheme="minorEastAsia"/>
                <w:bCs/>
                <w:sz w:val="18"/>
                <w:szCs w:val="18"/>
              </w:rPr>
              <w:t>投资者</w:t>
            </w:r>
            <w:r>
              <w:rPr>
                <w:rFonts w:asciiTheme="minorEastAsia" w:hAnsiTheme="minorEastAsia"/>
                <w:bCs/>
                <w:sz w:val="18"/>
                <w:szCs w:val="18"/>
              </w:rPr>
              <w:t>按该</w:t>
            </w:r>
            <w:r>
              <w:rPr>
                <w:rFonts w:hint="eastAsia" w:asciiTheme="minorEastAsia" w:hAnsiTheme="minorEastAsia"/>
                <w:bCs/>
                <w:sz w:val="18"/>
                <w:szCs w:val="18"/>
              </w:rPr>
              <w:t>理财产品份额净值</w:t>
            </w:r>
            <w:r>
              <w:rPr>
                <w:rFonts w:asciiTheme="minorEastAsia" w:hAnsiTheme="minorEastAsia"/>
                <w:bCs/>
                <w:sz w:val="18"/>
                <w:szCs w:val="18"/>
              </w:rPr>
              <w:t>进行赎回和提前终止分配。</w:t>
            </w:r>
          </w:p>
          <w:p>
            <w:pPr>
              <w:spacing w:line="360" w:lineRule="auto"/>
              <w:jc w:val="left"/>
              <w:rPr>
                <w:rFonts w:cs="Times New Roman" w:asciiTheme="minorEastAsia" w:hAnsiTheme="minorEastAsia"/>
                <w:sz w:val="18"/>
                <w:szCs w:val="18"/>
              </w:rPr>
            </w:pPr>
            <w:r>
              <w:rPr>
                <w:rFonts w:asciiTheme="minorEastAsia" w:hAnsiTheme="minorEastAsia"/>
                <w:bCs/>
                <w:sz w:val="18"/>
                <w:szCs w:val="18"/>
              </w:rPr>
              <w:t>2</w:t>
            </w:r>
            <w:r>
              <w:rPr>
                <w:rFonts w:asciiTheme="minorEastAsia" w:hAnsiTheme="minorEastAsia"/>
                <w:sz w:val="18"/>
                <w:szCs w:val="18"/>
              </w:rPr>
              <w:t>.</w:t>
            </w:r>
            <w:r>
              <w:rPr>
                <w:rFonts w:asciiTheme="minorEastAsia" w:hAnsiTheme="minorEastAsia"/>
                <w:bCs/>
                <w:sz w:val="18"/>
                <w:szCs w:val="18"/>
              </w:rPr>
              <w:t>本产品采用1.00</w:t>
            </w:r>
            <w:r>
              <w:rPr>
                <w:rFonts w:hint="eastAsia" w:asciiTheme="minorEastAsia" w:hAnsiTheme="minorEastAsia"/>
                <w:bCs/>
                <w:sz w:val="18"/>
                <w:szCs w:val="18"/>
              </w:rPr>
              <w:t>元固定理财产品份额净值交易方式，自产品成立日起每日将实现的产品净收益以分红形式（或净损失）分配给理财产品投资者，并将该部分收益以份额形式按日结转到投资者理财账户，参与下一日产品收益分配，使理财产品份额净值始终保持</w:t>
            </w:r>
            <w:r>
              <w:rPr>
                <w:rFonts w:asciiTheme="minorEastAsia" w:hAnsiTheme="minorEastAsia"/>
                <w:bCs/>
                <w:sz w:val="18"/>
                <w:szCs w:val="18"/>
              </w:rPr>
              <w:t>1.00</w:t>
            </w:r>
            <w:r>
              <w:rPr>
                <w:rFonts w:hint="eastAsia" w:asciiTheme="minorEastAsia" w:hAnsiTheme="minorEastAsia"/>
                <w:bCs/>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hint="eastAsia" w:asciiTheme="minorEastAsia" w:hAnsiTheme="minorEastAsia"/>
                <w:b/>
                <w:sz w:val="18"/>
                <w:szCs w:val="18"/>
              </w:rPr>
              <w:t>每万份理财产品收益</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asciiTheme="minorEastAsia" w:hAnsiTheme="minorEastAsia"/>
                <w:sz w:val="18"/>
                <w:szCs w:val="18"/>
              </w:rPr>
              <w:t>1.每万份理财产品收益</w:t>
            </w:r>
            <w:r>
              <w:rPr>
                <w:rFonts w:hint="eastAsia" w:asciiTheme="minorEastAsia" w:hAnsiTheme="minorEastAsia"/>
                <w:bCs/>
                <w:sz w:val="18"/>
                <w:szCs w:val="18"/>
              </w:rPr>
              <w:t>＝</w:t>
            </w:r>
            <w:r>
              <w:rPr>
                <w:rFonts w:hint="eastAsia" w:asciiTheme="minorEastAsia" w:hAnsiTheme="minorEastAsia"/>
                <w:sz w:val="18"/>
                <w:szCs w:val="18"/>
              </w:rPr>
              <w:t>当日理财产品收益÷当日理财产品份额×</w:t>
            </w:r>
            <w:r>
              <w:rPr>
                <w:rFonts w:asciiTheme="minorEastAsia" w:hAnsiTheme="minorEastAsia"/>
                <w:sz w:val="18"/>
                <w:szCs w:val="18"/>
              </w:rPr>
              <w:t>10000</w:t>
            </w:r>
            <w:r>
              <w:rPr>
                <w:rFonts w:hint="eastAsia" w:asciiTheme="minorEastAsia" w:hAnsiTheme="minorEastAsia"/>
                <w:sz w:val="18"/>
                <w:szCs w:val="18"/>
              </w:rPr>
              <w:t>。</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2.</w:t>
            </w:r>
            <w:r>
              <w:rPr>
                <w:rFonts w:hint="eastAsia" w:asciiTheme="minorEastAsia" w:hAnsiTheme="minorEastAsia"/>
                <w:kern w:val="0"/>
                <w:sz w:val="18"/>
                <w:szCs w:val="18"/>
              </w:rPr>
              <w:t>每万份理财产品收益是</w:t>
            </w:r>
            <w:r>
              <w:rPr>
                <w:rFonts w:hint="eastAsia" w:asciiTheme="minorEastAsia" w:hAnsiTheme="minorEastAsia"/>
                <w:sz w:val="18"/>
                <w:szCs w:val="18"/>
              </w:rPr>
              <w:t>每万份理财份额的日</w:t>
            </w:r>
            <w:r>
              <w:rPr>
                <w:rFonts w:asciiTheme="minorEastAsia" w:hAnsiTheme="minorEastAsia"/>
                <w:sz w:val="18"/>
                <w:szCs w:val="18"/>
              </w:rPr>
              <w:t>净收益</w:t>
            </w:r>
            <w:r>
              <w:rPr>
                <w:rFonts w:hint="eastAsia" w:asciiTheme="minorEastAsia" w:hAnsiTheme="minorEastAsia"/>
                <w:sz w:val="18"/>
                <w:szCs w:val="18"/>
              </w:rPr>
              <w:t>，精确至小数点后第</w:t>
            </w:r>
            <w:r>
              <w:rPr>
                <w:rFonts w:asciiTheme="minorEastAsia" w:hAnsiTheme="minorEastAsia"/>
                <w:sz w:val="18"/>
                <w:szCs w:val="18"/>
              </w:rPr>
              <w:t>4位，小数点后第5</w:t>
            </w:r>
            <w:r>
              <w:rPr>
                <w:rFonts w:hint="eastAsia" w:asciiTheme="minorEastAsia" w:hAnsiTheme="minorEastAsia"/>
                <w:sz w:val="18"/>
                <w:szCs w:val="18"/>
              </w:rPr>
              <w:t>位按去尾原则处理。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宋体" w:hAnsi="宋体"/>
                <w:b/>
                <w:bCs/>
                <w:kern w:val="0"/>
                <w:sz w:val="18"/>
                <w:szCs w:val="18"/>
              </w:rPr>
            </w:pPr>
            <w:r>
              <w:rPr>
                <w:rFonts w:hint="eastAsia" w:hAnsi="宋体"/>
                <w:sz w:val="18"/>
                <w:szCs w:val="18"/>
              </w:rPr>
              <w:t>★</w:t>
            </w:r>
            <w:r>
              <w:rPr>
                <w:rFonts w:asciiTheme="minorEastAsia" w:hAnsiTheme="minorEastAsia"/>
                <w:b/>
                <w:bCs/>
                <w:sz w:val="18"/>
                <w:szCs w:val="18"/>
              </w:rPr>
              <w:t>7日</w:t>
            </w:r>
            <w:r>
              <w:rPr>
                <w:rFonts w:hint="eastAsia" w:asciiTheme="minorEastAsia" w:hAnsiTheme="minorEastAsia"/>
                <w:b/>
                <w:bCs/>
                <w:sz w:val="18"/>
                <w:szCs w:val="18"/>
              </w:rPr>
              <w:t>年化收益率</w:t>
            </w:r>
          </w:p>
        </w:tc>
        <w:tc>
          <w:tcPr>
            <w:tcW w:w="7699" w:type="dxa"/>
            <w:shd w:val="solid" w:color="FFFFFF" w:fill="FFFFFF"/>
          </w:tcPr>
          <w:p>
            <w:pPr>
              <w:autoSpaceDE w:val="0"/>
              <w:autoSpaceDN w:val="0"/>
              <w:adjustRightInd w:val="0"/>
              <w:spacing w:line="360" w:lineRule="auto"/>
              <w:jc w:val="left"/>
              <w:rPr>
                <w:rFonts w:asciiTheme="minorEastAsia" w:hAnsiTheme="minorEastAsia"/>
                <w:sz w:val="18"/>
                <w:szCs w:val="18"/>
              </w:rPr>
            </w:pPr>
            <w:r>
              <w:rPr>
                <w:rFonts w:hint="eastAsia" w:asciiTheme="minorEastAsia" w:hAnsiTheme="minorEastAsia"/>
                <w:sz w:val="18"/>
                <w:szCs w:val="18"/>
              </w:rPr>
              <w:t>指以本产品最近七日（含节假日）收益率所折算的产品年化收益率。产品成立不满七日时以实际日收益率折算年收益率。</w:t>
            </w:r>
          </w:p>
          <w:p>
            <w:pPr>
              <w:adjustRightInd w:val="0"/>
              <w:snapToGrid w:val="0"/>
              <w:spacing w:line="360" w:lineRule="auto"/>
              <w:rPr>
                <w:rFonts w:asciiTheme="minorEastAsia" w:hAnsiTheme="minorEastAsia"/>
                <w:sz w:val="18"/>
                <w:szCs w:val="18"/>
              </w:rPr>
            </w:pPr>
            <m:oMathPara>
              <m:oMathParaPr>
                <m:jc m:val="left"/>
              </m:oMathParaPr>
              <m:oMath>
                <m:r>
                  <m:rPr>
                    <m:sty m:val="p"/>
                  </m:rPr>
                  <w:rPr>
                    <w:rFonts w:ascii="Cambria Math" w:hAnsi="Cambria Math"/>
                    <w:sz w:val="18"/>
                    <w:szCs w:val="18"/>
                  </w:rPr>
                  <m:t>7日年化收益率</m:t>
                </m:r>
                <m:d>
                  <m:dPr>
                    <m:begChr m:val="（"/>
                    <m:endChr m:val="）"/>
                    <m:ctrlPr>
                      <w:rPr>
                        <w:rFonts w:ascii="Cambria Math" w:hAnsi="Cambria Math"/>
                        <w:sz w:val="18"/>
                        <w:szCs w:val="18"/>
                      </w:rPr>
                    </m:ctrlPr>
                  </m:dPr>
                  <m:e>
                    <m:r>
                      <m:rPr>
                        <m:sty m:val="p"/>
                      </m:rPr>
                      <w:rPr>
                        <w:rFonts w:hint="eastAsia" w:ascii="Cambria Math" w:hAnsi="Cambria Math"/>
                        <w:sz w:val="18"/>
                        <w:szCs w:val="18"/>
                      </w:rPr>
                      <m:t>%</m:t>
                    </m:r>
                    <m:ctrlPr>
                      <w:rPr>
                        <w:rFonts w:ascii="Cambria Math" w:hAnsi="Cambria Math"/>
                        <w:sz w:val="18"/>
                        <w:szCs w:val="18"/>
                      </w:rPr>
                    </m:ctrlPr>
                  </m:e>
                </m:d>
                <m:r>
                  <m:rPr>
                    <m:sty m:val="p"/>
                  </m:rPr>
                  <w:rPr>
                    <w:rFonts w:ascii="Cambria Math" w:hAnsi="Cambria Math"/>
                    <w:sz w:val="18"/>
                    <w:szCs w:val="18"/>
                  </w:rPr>
                  <m:t>=</m:t>
                </m:r>
                <m:d>
                  <m:dPr>
                    <m:begChr m:val="{"/>
                    <m:endChr m:val="}"/>
                    <m:ctrlPr>
                      <w:rPr>
                        <w:rFonts w:ascii="Cambria Math" w:hAnsi="Cambria Math"/>
                        <w:sz w:val="18"/>
                        <w:szCs w:val="18"/>
                      </w:rPr>
                    </m:ctrlPr>
                  </m:dPr>
                  <m:e>
                    <m:sSup>
                      <m:sSupPr>
                        <m:ctrlPr>
                          <w:rPr>
                            <w:rFonts w:ascii="Cambria Math" w:hAnsi="Cambria Math"/>
                            <w:sz w:val="18"/>
                            <w:szCs w:val="18"/>
                          </w:rPr>
                        </m:ctrlPr>
                      </m:sSupPr>
                      <m:e>
                        <m:d>
                          <m:dPr>
                            <m:begChr m:val="["/>
                            <m:endChr m:val="]"/>
                            <m:ctrlPr>
                              <w:rPr>
                                <w:rFonts w:ascii="Cambria Math" w:hAnsi="Cambria Math"/>
                                <w:sz w:val="18"/>
                                <w:szCs w:val="18"/>
                              </w:rPr>
                            </m:ctrlPr>
                          </m:dPr>
                          <m:e>
                            <m:nary>
                              <m:naryPr>
                                <m:chr m:val="∏"/>
                                <m:limLoc m:val="undOvr"/>
                                <m:ctrlPr>
                                  <w:rPr>
                                    <w:rFonts w:ascii="Cambria Math" w:hAnsi="Cambria Math"/>
                                    <w:sz w:val="18"/>
                                    <w:szCs w:val="18"/>
                                  </w:rPr>
                                </m:ctrlPr>
                              </m:naryPr>
                              <m:sub>
                                <m:r>
                                  <m:rPr>
                                    <m:sty m:val="p"/>
                                  </m:rPr>
                                  <w:rPr>
                                    <w:rFonts w:ascii="Cambria Math" w:hAnsi="Cambria Math"/>
                                    <w:sz w:val="18"/>
                                    <w:szCs w:val="18"/>
                                  </w:rPr>
                                  <m:t>i=1</m:t>
                                </m:r>
                                <m:ctrlPr>
                                  <w:rPr>
                                    <w:rFonts w:ascii="Cambria Math" w:hAnsi="Cambria Math"/>
                                    <w:sz w:val="18"/>
                                    <w:szCs w:val="18"/>
                                  </w:rPr>
                                </m:ctrlPr>
                              </m:sub>
                              <m:sup>
                                <m:r>
                                  <m:rPr>
                                    <m:sty m:val="p"/>
                                  </m:rPr>
                                  <w:rPr>
                                    <w:rFonts w:ascii="Cambria Math" w:hAnsi="Cambria Math"/>
                                    <w:sz w:val="18"/>
                                    <w:szCs w:val="18"/>
                                  </w:rPr>
                                  <m:t>7</m:t>
                                </m:r>
                                <m:ctrlPr>
                                  <w:rPr>
                                    <w:rFonts w:ascii="Cambria Math" w:hAnsi="Cambria Math"/>
                                    <w:sz w:val="18"/>
                                    <w:szCs w:val="18"/>
                                  </w:rPr>
                                </m:ctrlPr>
                              </m:sup>
                              <m:e>
                                <m:d>
                                  <m:dPr>
                                    <m:ctrlPr>
                                      <w:rPr>
                                        <w:rFonts w:ascii="Cambria Math" w:hAnsi="Cambria Math"/>
                                        <w:sz w:val="18"/>
                                        <w:szCs w:val="18"/>
                                      </w:rPr>
                                    </m:ctrlPr>
                                  </m:dPr>
                                  <m:e>
                                    <m:r>
                                      <m:rPr>
                                        <m:sty m:val="p"/>
                                      </m:rPr>
                                      <w:rPr>
                                        <w:rFonts w:ascii="Cambria Math" w:hAnsi="Cambria Math"/>
                                        <w:sz w:val="18"/>
                                        <w:szCs w:val="18"/>
                                      </w:rPr>
                                      <m:t>1+</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R</m:t>
                                            </m:r>
                                            <m:ctrlPr>
                                              <w:rPr>
                                                <w:rFonts w:ascii="Cambria Math" w:hAnsi="Cambria Math"/>
                                                <w:sz w:val="18"/>
                                                <w:szCs w:val="18"/>
                                              </w:rPr>
                                            </m:ctrlPr>
                                          </m:e>
                                          <m:sub>
                                            <m:r>
                                              <m:rPr>
                                                <m:sty m:val="p"/>
                                              </m:rPr>
                                              <w:rPr>
                                                <w:rFonts w:ascii="Cambria Math" w:hAnsi="Cambria Math"/>
                                                <w:sz w:val="18"/>
                                                <w:szCs w:val="18"/>
                                              </w:rPr>
                                              <m:t>i</m:t>
                                            </m:r>
                                            <m:ctrlPr>
                                              <w:rPr>
                                                <w:rFonts w:ascii="Cambria Math" w:hAnsi="Cambria Math"/>
                                                <w:sz w:val="18"/>
                                                <w:szCs w:val="18"/>
                                              </w:rPr>
                                            </m:ctrlPr>
                                          </m:sub>
                                        </m:sSub>
                                        <m:ctrlPr>
                                          <w:rPr>
                                            <w:rFonts w:ascii="Cambria Math" w:hAnsi="Cambria Math"/>
                                            <w:sz w:val="18"/>
                                            <w:szCs w:val="18"/>
                                          </w:rPr>
                                        </m:ctrlPr>
                                      </m:num>
                                      <m:den>
                                        <m:r>
                                          <m:rPr>
                                            <m:sty m:val="p"/>
                                          </m:rPr>
                                          <w:rPr>
                                            <w:rFonts w:ascii="Cambria Math" w:hAnsi="Cambria Math"/>
                                            <w:sz w:val="18"/>
                                            <w:szCs w:val="18"/>
                                          </w:rPr>
                                          <m:t>10000</m:t>
                                        </m:r>
                                        <m:ctrlPr>
                                          <w:rPr>
                                            <w:rFonts w:ascii="Cambria Math" w:hAnsi="Cambria Math"/>
                                            <w:sz w:val="18"/>
                                            <w:szCs w:val="18"/>
                                          </w:rPr>
                                        </m:ctrlPr>
                                      </m:den>
                                    </m:f>
                                    <m:ctrlPr>
                                      <w:rPr>
                                        <w:rFonts w:ascii="Cambria Math" w:hAnsi="Cambria Math"/>
                                        <w:sz w:val="18"/>
                                        <w:szCs w:val="18"/>
                                      </w:rPr>
                                    </m:ctrlPr>
                                  </m:e>
                                </m:d>
                                <m:ctrlPr>
                                  <w:rPr>
                                    <w:rFonts w:ascii="Cambria Math" w:hAnsi="Cambria Math"/>
                                    <w:sz w:val="18"/>
                                    <w:szCs w:val="18"/>
                                  </w:rPr>
                                </m:ctrlPr>
                              </m:e>
                            </m:nary>
                            <m:ctrlPr>
                              <w:rPr>
                                <w:rFonts w:ascii="Cambria Math" w:hAnsi="Cambria Math"/>
                                <w:sz w:val="18"/>
                                <w:szCs w:val="18"/>
                              </w:rPr>
                            </m:ctrlPr>
                          </m:e>
                        </m:d>
                        <m:ctrlPr>
                          <w:rPr>
                            <w:rFonts w:ascii="Cambria Math" w:hAnsi="Cambria Math"/>
                            <w:sz w:val="18"/>
                            <w:szCs w:val="18"/>
                          </w:rPr>
                        </m:ctrlPr>
                      </m:e>
                      <m:sup>
                        <m:r>
                          <m:rPr>
                            <m:sty m:val="p"/>
                          </m:rPr>
                          <w:rPr>
                            <w:rFonts w:ascii="Cambria Math" w:hAnsi="Cambria Math"/>
                            <w:sz w:val="18"/>
                            <w:szCs w:val="18"/>
                          </w:rPr>
                          <m:t>365/7</m:t>
                        </m:r>
                        <m:ctrlPr>
                          <w:rPr>
                            <w:rFonts w:ascii="Cambria Math" w:hAnsi="Cambria Math"/>
                            <w:sz w:val="18"/>
                            <w:szCs w:val="18"/>
                          </w:rPr>
                        </m:ctrlPr>
                      </m:sup>
                    </m:sSup>
                    <m:r>
                      <m:rPr>
                        <m:sty m:val="p"/>
                      </m:rPr>
                      <w:rPr>
                        <w:rFonts w:ascii="Cambria Math" w:hAnsi="Cambria Math"/>
                        <w:sz w:val="18"/>
                        <w:szCs w:val="18"/>
                      </w:rPr>
                      <m:t>−1</m:t>
                    </m:r>
                    <m:ctrlPr>
                      <w:rPr>
                        <w:rFonts w:ascii="Cambria Math" w:hAnsi="Cambria Math"/>
                        <w:sz w:val="18"/>
                        <w:szCs w:val="18"/>
                      </w:rPr>
                    </m:ctrlPr>
                  </m:e>
                </m:d>
                <m:r>
                  <m:rPr>
                    <m:sty m:val="p"/>
                  </m:rPr>
                  <w:rPr>
                    <w:rFonts w:ascii="Cambria Math" w:hAnsi="Cambria Math"/>
                    <w:sz w:val="18"/>
                    <w:szCs w:val="18"/>
                  </w:rPr>
                  <m:t>×100%</m:t>
                </m:r>
              </m:oMath>
            </m:oMathPara>
          </w:p>
          <w:p>
            <w:pPr>
              <w:adjustRightInd w:val="0"/>
              <w:snapToGrid w:val="0"/>
              <w:spacing w:line="360" w:lineRule="auto"/>
              <w:rPr>
                <w:rFonts w:asciiTheme="minorEastAsia" w:hAnsiTheme="minorEastAsia"/>
                <w:sz w:val="18"/>
                <w:szCs w:val="18"/>
              </w:rPr>
            </w:pPr>
            <w:r>
              <w:rPr>
                <w:rFonts w:hint="eastAsia" w:asciiTheme="minorEastAsia" w:hAnsiTheme="minorEastAsia"/>
                <w:sz w:val="18"/>
                <w:szCs w:val="18"/>
              </w:rPr>
              <w:t>其中，</w:t>
            </w:r>
            <w:r>
              <w:rPr>
                <w:rFonts w:asciiTheme="minorEastAsia" w:hAnsiTheme="minorEastAsia"/>
                <w:sz w:val="18"/>
                <w:szCs w:val="18"/>
              </w:rPr>
              <w:t>Ri</w:t>
            </w:r>
            <w:r>
              <w:rPr>
                <w:rFonts w:hint="eastAsia" w:asciiTheme="minorEastAsia" w:hAnsiTheme="minorEastAsia"/>
                <w:sz w:val="18"/>
                <w:szCs w:val="18"/>
              </w:rPr>
              <w:t>为最近第</w:t>
            </w:r>
            <w:r>
              <w:rPr>
                <w:rFonts w:asciiTheme="minorEastAsia" w:hAnsiTheme="minorEastAsia"/>
                <w:sz w:val="18"/>
                <w:szCs w:val="18"/>
              </w:rPr>
              <w:t>i</w:t>
            </w:r>
            <w:r>
              <w:rPr>
                <w:rFonts w:hint="eastAsia" w:asciiTheme="minorEastAsia" w:hAnsiTheme="minorEastAsia"/>
                <w:sz w:val="18"/>
                <w:szCs w:val="18"/>
              </w:rPr>
              <w:t>个自然日</w:t>
            </w:r>
            <w:r>
              <w:rPr>
                <w:rFonts w:asciiTheme="minorEastAsia" w:hAnsiTheme="minorEastAsia"/>
                <w:sz w:val="18"/>
                <w:szCs w:val="18"/>
              </w:rPr>
              <w:t>(</w:t>
            </w:r>
            <w:r>
              <w:rPr>
                <w:rFonts w:hint="eastAsia" w:asciiTheme="minorEastAsia" w:hAnsiTheme="minorEastAsia"/>
                <w:sz w:val="18"/>
                <w:szCs w:val="18"/>
              </w:rPr>
              <w:t>包括计算当日</w:t>
            </w:r>
            <w:r>
              <w:rPr>
                <w:rFonts w:asciiTheme="minorEastAsia" w:hAnsiTheme="minorEastAsia"/>
                <w:sz w:val="18"/>
                <w:szCs w:val="18"/>
              </w:rPr>
              <w:t>)</w:t>
            </w:r>
            <w:r>
              <w:rPr>
                <w:rFonts w:hint="eastAsia" w:asciiTheme="minorEastAsia" w:hAnsiTheme="minorEastAsia"/>
                <w:sz w:val="18"/>
                <w:szCs w:val="18"/>
              </w:rPr>
              <w:t>的每万份理财产品收益。</w:t>
            </w:r>
          </w:p>
          <w:p>
            <w:pPr>
              <w:spacing w:line="360" w:lineRule="auto"/>
              <w:jc w:val="left"/>
              <w:rPr>
                <w:rFonts w:asciiTheme="majorEastAsia" w:hAnsiTheme="majorEastAsia" w:eastAsiaTheme="majorEastAsia"/>
                <w:bCs/>
                <w:sz w:val="18"/>
                <w:szCs w:val="18"/>
              </w:rPr>
            </w:pPr>
            <w:r>
              <w:rPr>
                <w:rFonts w:asciiTheme="minorEastAsia" w:hAnsiTheme="minorEastAsia"/>
                <w:sz w:val="18"/>
                <w:szCs w:val="18"/>
              </w:rPr>
              <w:t>7日年化收益率</w:t>
            </w:r>
            <w:r>
              <w:rPr>
                <w:rFonts w:hint="eastAsia" w:asciiTheme="minorEastAsia" w:hAnsiTheme="minorEastAsia"/>
                <w:sz w:val="18"/>
                <w:szCs w:val="18"/>
              </w:rPr>
              <w:t>采用四舍五入保留至百分号内小数点后第</w:t>
            </w:r>
            <w:r>
              <w:rPr>
                <w:rFonts w:hint="eastAsia" w:asciiTheme="minorEastAsia" w:hAnsiTheme="minorEastAsia"/>
                <w:sz w:val="18"/>
                <w:szCs w:val="18"/>
                <w:lang w:val="en-US" w:eastAsia="zh-CN"/>
              </w:rPr>
              <w:t>4</w:t>
            </w:r>
            <w:r>
              <w:rPr>
                <w:rFonts w:asciiTheme="minorEastAsia" w:hAnsiTheme="minorEastAsia"/>
                <w:sz w:val="18"/>
                <w:szCs w:val="18"/>
              </w:rPr>
              <w:t>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99"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eastAsia="zh-CN"/>
              </w:rPr>
              <w:t>适用【J】类份额</w:t>
            </w:r>
            <w:r>
              <w:rPr>
                <w:rFonts w:hint="eastAsia" w:ascii="宋体" w:hAnsi="宋体"/>
                <w:bCs/>
                <w:sz w:val="18"/>
                <w:szCs w:val="18"/>
              </w:rPr>
              <w:t>）</w:t>
            </w:r>
          </w:p>
          <w:p>
            <w:pPr>
              <w:spacing w:line="360" w:lineRule="auto"/>
              <w:jc w:val="left"/>
              <w:rPr>
                <w:rFonts w:ascii="宋体" w:hAnsi="宋体"/>
                <w:bCs/>
                <w:sz w:val="18"/>
                <w:szCs w:val="18"/>
              </w:rPr>
            </w:pPr>
            <w:r>
              <w:rPr>
                <w:rFonts w:hint="eastAsia"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（1）业绩比较基准的说明：【本产品主要投资于货币市场工具，根据货币市场工具当前以及未来一段时期的收益率水平预测，设定业绩比较基准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r>
              <w:rPr>
                <w:rFonts w:hint="eastAsia" w:ascii="宋体" w:hAnsi="宋体"/>
                <w:bCs/>
                <w:sz w:val="18"/>
                <w:szCs w:val="18"/>
              </w:rPr>
              <w:t>【</w:t>
            </w:r>
            <w:r>
              <w:rPr>
                <w:rFonts w:hint="eastAsia" w:asciiTheme="minorEastAsia" w:hAnsiTheme="minorEastAsia"/>
                <w:sz w:val="18"/>
                <w:szCs w:val="18"/>
              </w:rPr>
              <w:t>人民银行</w:t>
            </w:r>
            <w:r>
              <w:rPr>
                <w:rFonts w:asciiTheme="minorEastAsia" w:hAnsiTheme="minorEastAsia"/>
                <w:sz w:val="18"/>
                <w:szCs w:val="18"/>
              </w:rPr>
              <w:t>7天通知存款利率</w:t>
            </w:r>
            <w:r>
              <w:rPr>
                <w:rFonts w:ascii="宋体" w:hAnsi="宋体"/>
                <w:bCs/>
                <w:sz w:val="18"/>
                <w:szCs w:val="18"/>
              </w:rPr>
              <w:t>】</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2.业绩</w:t>
            </w:r>
            <w:r>
              <w:rPr>
                <w:rFonts w:asciiTheme="majorEastAsia" w:hAnsiTheme="majorEastAsia" w:eastAsiaTheme="majorEastAsia"/>
                <w:bCs/>
                <w:sz w:val="18"/>
                <w:szCs w:val="18"/>
              </w:rPr>
              <w:t>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699"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（适用【】类份额）</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kern w:val="0"/>
                <w:sz w:val="18"/>
                <w:szCs w:val="18"/>
              </w:rPr>
              <w:t xml:space="preserve"> 产品管理人不设置业绩报酬计提基准。</w:t>
            </w:r>
          </w:p>
          <w:p>
            <w:pPr>
              <w:spacing w:line="360" w:lineRule="auto"/>
              <w:jc w:val="left"/>
              <w:rPr>
                <w:rFonts w:ascii="宋体" w:hAnsi="宋体"/>
                <w:bCs/>
                <w:sz w:val="18"/>
                <w:szCs w:val="18"/>
              </w:rPr>
            </w:pPr>
            <w:r>
              <w:rPr>
                <w:rFonts w:hint="eastAsia" w:ascii="宋体" w:hAnsi="宋体"/>
                <w:bCs/>
                <w:sz w:val="18"/>
                <w:szCs w:val="18"/>
              </w:rPr>
              <w:t>2</w:t>
            </w:r>
            <w:r>
              <w:rPr>
                <w:rFonts w:ascii="宋体" w:hAnsi="宋体"/>
                <w:bCs/>
                <w:sz w:val="18"/>
                <w:szCs w:val="18"/>
              </w:rPr>
              <w:t>.业绩报酬计提基准的提示</w:t>
            </w:r>
            <w:r>
              <w:rPr>
                <w:rFonts w:hint="eastAsia" w:ascii="宋体" w:hAnsi="宋体"/>
                <w:bCs/>
                <w:sz w:val="18"/>
                <w:szCs w:val="18"/>
              </w:rPr>
              <w:t>：</w:t>
            </w:r>
          </w:p>
          <w:p>
            <w:pPr>
              <w:autoSpaceDE w:val="0"/>
              <w:autoSpaceDN w:val="0"/>
              <w:adjustRightInd w:val="0"/>
              <w:spacing w:line="360" w:lineRule="auto"/>
              <w:jc w:val="left"/>
              <w:rPr>
                <w:rFonts w:ascii="宋体" w:hAnsi="宋体"/>
                <w:b/>
                <w:bCs/>
                <w:sz w:val="18"/>
                <w:szCs w:val="18"/>
              </w:rPr>
            </w:pPr>
            <w:r>
              <w:rPr>
                <w:rFonts w:hint="eastAsia" w:ascii="宋体" w:hAnsi="宋体"/>
                <w:bCs/>
                <w:sz w:val="18"/>
                <w:szCs w:val="18"/>
              </w:rPr>
              <w:t>（1）</w:t>
            </w:r>
            <w:r>
              <w:rPr>
                <w:rFonts w:hint="eastAsia"/>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99"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本产品</w:t>
            </w:r>
            <w:r>
              <w:rPr>
                <w:rFonts w:hint="eastAsia" w:asciiTheme="minorEastAsia" w:hAnsiTheme="minorEastAsia" w:eastAsiaTheme="minorEastAsia"/>
                <w:sz w:val="18"/>
                <w:szCs w:val="18"/>
              </w:rPr>
              <w:t>每日进行收益分配，</w:t>
            </w:r>
            <w:r>
              <w:rPr>
                <w:rFonts w:hint="eastAsia" w:hAnsi="宋体"/>
                <w:bCs/>
                <w:sz w:val="18"/>
                <w:szCs w:val="18"/>
              </w:rPr>
              <w:t>收益分配方式为红利再投资，免收再投资的费用。</w:t>
            </w:r>
          </w:p>
          <w:p>
            <w:pPr>
              <w:spacing w:line="360" w:lineRule="auto"/>
              <w:jc w:val="left"/>
              <w:rPr>
                <w:rFonts w:hAnsi="宋体"/>
                <w:bCs/>
                <w:sz w:val="18"/>
                <w:szCs w:val="18"/>
              </w:rPr>
            </w:pPr>
            <w:r>
              <w:rPr>
                <w:rFonts w:hAnsi="宋体"/>
                <w:bCs/>
                <w:sz w:val="18"/>
                <w:szCs w:val="18"/>
              </w:rPr>
              <w:t>2.</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Ansi="宋体"/>
                <w:bCs/>
                <w:sz w:val="18"/>
                <w:szCs w:val="18"/>
              </w:rPr>
              <w:t>3.具体理财产品利益分配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99"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eastAsia="zh-CN"/>
                <w14:textFill>
                  <w14:solidFill>
                    <w14:schemeClr w14:val="tx1"/>
                  </w14:solidFill>
                </w14:textFill>
              </w:rPr>
              <w:t>适用【J】类份额</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w:t>
            </w:r>
            <w:r>
              <w:rPr>
                <w:rFonts w:hint="eastAsia" w:ascii="黑体" w:hAnsi="黑体" w:eastAsia="黑体"/>
                <w:bCs/>
                <w:color w:val="000000" w:themeColor="text1"/>
                <w:sz w:val="18"/>
                <w:szCs w:val="18"/>
                <w14:textFill>
                  <w14:solidFill>
                    <w14:schemeClr w14:val="tx1"/>
                  </w14:solidFill>
                </w14:textFill>
              </w:rPr>
              <w:t>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（2）</w:t>
            </w:r>
            <w:r>
              <w:rPr>
                <w:rFonts w:ascii="黑体" w:hAnsi="黑体" w:eastAsia="黑体"/>
                <w:bCs/>
                <w:color w:val="000000" w:themeColor="text1"/>
                <w:sz w:val="18"/>
                <w:szCs w:val="18"/>
                <w14:textFill>
                  <w14:solidFill>
                    <w14:schemeClr w14:val="tx1"/>
                  </w14:solidFill>
                </w14:textFill>
              </w:rPr>
              <w:t>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w:t>
            </w:r>
            <w:r>
              <w:rPr>
                <w:rFonts w:hint="eastAsia" w:ascii="黑体" w:hAnsi="黑体" w:eastAsia="黑体"/>
                <w:sz w:val="18"/>
                <w:szCs w:val="18"/>
              </w:rPr>
              <w:t>★</w:t>
            </w:r>
            <w:r>
              <w:rPr>
                <w:rFonts w:ascii="黑体" w:hAnsi="黑体" w:eastAsia="黑体"/>
                <w:bCs/>
                <w:color w:val="000000" w:themeColor="text1"/>
                <w:sz w:val="18"/>
                <w:szCs w:val="18"/>
                <w14:textFill>
                  <w14:solidFill>
                    <w14:schemeClr w14:val="tx1"/>
                  </w14:solidFill>
                </w14:textFill>
              </w:rPr>
              <w:t>强制赎回费</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kern w:val="0"/>
                <w:sz w:val="18"/>
                <w:szCs w:val="18"/>
              </w:rPr>
            </w:pPr>
            <w:r>
              <w:rPr>
                <w:rFonts w:ascii="黑体" w:hAnsi="黑体" w:eastAsia="黑体"/>
                <w:kern w:val="0"/>
                <w:sz w:val="18"/>
                <w:szCs w:val="18"/>
              </w:rPr>
              <w:t>1）当产品持有的现金、国债、中央银行票据、政策性金融债券以及5个交易日内到期的其他金融工具占产品资产净值的比例合计低于5%且偏离度为负时，产品管理人有权对当日单个投资者申请赎回份额超过产品总份额1%以上的赎回申请征收1%的强制赎回费用，并将上述赎回费用全额计入产品财产。</w:t>
            </w:r>
          </w:p>
          <w:p>
            <w:pPr>
              <w:widowControl/>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）产品前</w:t>
            </w:r>
            <w:r>
              <w:rPr>
                <w:rFonts w:ascii="黑体" w:hAnsi="黑体" w:eastAsia="黑体"/>
                <w:kern w:val="0"/>
                <w:sz w:val="18"/>
                <w:szCs w:val="18"/>
              </w:rPr>
              <w:t>10</w:t>
            </w:r>
            <w:r>
              <w:rPr>
                <w:rFonts w:hint="eastAsia" w:ascii="黑体" w:hAnsi="黑体" w:eastAsia="黑体"/>
                <w:kern w:val="0"/>
                <w:sz w:val="18"/>
                <w:szCs w:val="18"/>
              </w:rPr>
              <w:t>名投资者的持有份额合计超过产品总份额</w:t>
            </w:r>
            <w:r>
              <w:rPr>
                <w:rFonts w:ascii="黑体" w:hAnsi="黑体" w:eastAsia="黑体"/>
                <w:kern w:val="0"/>
                <w:sz w:val="18"/>
                <w:szCs w:val="18"/>
              </w:rPr>
              <w:t>50%</w:t>
            </w:r>
            <w:r>
              <w:rPr>
                <w:rFonts w:hint="eastAsia" w:ascii="黑体" w:hAnsi="黑体" w:eastAsia="黑体"/>
                <w:kern w:val="0"/>
                <w:sz w:val="18"/>
                <w:szCs w:val="18"/>
              </w:rPr>
              <w:t>的，当投资组合中现金、国债、中央银行票据、政策性金融债券以及</w:t>
            </w:r>
            <w:r>
              <w:rPr>
                <w:rFonts w:ascii="黑体" w:hAnsi="黑体" w:eastAsia="黑体"/>
                <w:kern w:val="0"/>
                <w:sz w:val="18"/>
                <w:szCs w:val="18"/>
              </w:rPr>
              <w:t>5</w:t>
            </w:r>
            <w:r>
              <w:rPr>
                <w:rFonts w:hint="eastAsia" w:ascii="黑体" w:hAnsi="黑体" w:eastAsia="黑体"/>
                <w:kern w:val="0"/>
                <w:sz w:val="18"/>
                <w:szCs w:val="18"/>
              </w:rPr>
              <w:t>个交易日内到期的其他金融工具占该产品资产净值的比例合计低于</w:t>
            </w:r>
            <w:r>
              <w:rPr>
                <w:rFonts w:ascii="黑体" w:hAnsi="黑体" w:eastAsia="黑体"/>
                <w:kern w:val="0"/>
                <w:sz w:val="18"/>
                <w:szCs w:val="18"/>
              </w:rPr>
              <w:t>10%</w:t>
            </w:r>
            <w:r>
              <w:rPr>
                <w:rFonts w:hint="eastAsia" w:ascii="黑体" w:hAnsi="黑体" w:eastAsia="黑体"/>
                <w:kern w:val="0"/>
                <w:sz w:val="18"/>
                <w:szCs w:val="18"/>
              </w:rPr>
              <w:t>且偏离度为负时，产品管理人有权对投资者超过产品总份额</w:t>
            </w:r>
            <w:r>
              <w:rPr>
                <w:rFonts w:ascii="黑体" w:hAnsi="黑体" w:eastAsia="黑体"/>
                <w:kern w:val="0"/>
                <w:sz w:val="18"/>
                <w:szCs w:val="18"/>
              </w:rPr>
              <w:t>1%</w:t>
            </w:r>
            <w:r>
              <w:rPr>
                <w:rFonts w:hint="eastAsia" w:ascii="黑体" w:hAnsi="黑体" w:eastAsia="黑体"/>
                <w:kern w:val="0"/>
                <w:sz w:val="18"/>
                <w:szCs w:val="18"/>
              </w:rPr>
              <w:t>以上的赎回申请征收</w:t>
            </w:r>
            <w:r>
              <w:rPr>
                <w:rFonts w:ascii="黑体" w:hAnsi="黑体" w:eastAsia="黑体"/>
                <w:kern w:val="0"/>
                <w:sz w:val="18"/>
                <w:szCs w:val="18"/>
              </w:rPr>
              <w:t>1%</w:t>
            </w:r>
            <w:r>
              <w:rPr>
                <w:rFonts w:hint="eastAsia" w:ascii="黑体" w:hAnsi="黑体" w:eastAsia="黑体"/>
                <w:kern w:val="0"/>
                <w:sz w:val="18"/>
                <w:szCs w:val="18"/>
              </w:rPr>
              <w:t>的强制赎回费用。</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（5）</w:t>
            </w:r>
            <w:r>
              <w:rPr>
                <w:rFonts w:ascii="黑体" w:hAnsi="黑体" w:eastAsia="黑体"/>
                <w:bCs/>
                <w:color w:val="000000" w:themeColor="text1"/>
                <w:sz w:val="18"/>
                <w:szCs w:val="18"/>
                <w14:textFill>
                  <w14:solidFill>
                    <w14:schemeClr w14:val="tx1"/>
                  </w14:solidFill>
                </w14:textFill>
              </w:rPr>
              <w:t>销售服</w:t>
            </w:r>
            <w:r>
              <w:rPr>
                <w:rFonts w:hint="eastAsia" w:ascii="黑体" w:hAnsi="黑体" w:eastAsia="黑体"/>
                <w:bCs/>
                <w:color w:val="000000" w:themeColor="text1"/>
                <w:sz w:val="18"/>
                <w:szCs w:val="18"/>
                <w14:textFill>
                  <w14:solidFill>
                    <w14:schemeClr w14:val="tx1"/>
                  </w14:solidFill>
                </w14:textFill>
              </w:rPr>
              <w:t>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hint="eastAsia"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（6）投资管理费：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0.30%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（7）产品托管费：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（8）超额业绩报酬：</w:t>
            </w:r>
          </w:p>
          <w:p>
            <w:pPr>
              <w:widowControl/>
              <w:spacing w:line="360" w:lineRule="auto"/>
              <w:jc w:val="left"/>
              <w:rPr>
                <w:rFonts w:ascii="宋体" w:hAnsi="宋体"/>
                <w:kern w:val="0"/>
                <w:sz w:val="18"/>
                <w:szCs w:val="18"/>
              </w:rPr>
            </w:pPr>
            <w:r>
              <w:rPr>
                <w:rFonts w:ascii="宋体" w:hAnsi="宋体"/>
                <w:sz w:val="18"/>
                <w:szCs w:val="18"/>
              </w:rPr>
              <w:t>本产品不收取超额业绩报酬</w:t>
            </w:r>
            <w:r>
              <w:rPr>
                <w:rFonts w:hint="eastAsia" w:ascii="宋体" w:hAnsi="宋体"/>
                <w:sz w:val="18"/>
                <w:szCs w:val="18"/>
              </w:rPr>
              <w:t>。</w:t>
            </w:r>
          </w:p>
          <w:p>
            <w:pPr>
              <w:spacing w:line="360" w:lineRule="auto"/>
              <w:rPr>
                <w:rFonts w:ascii="黑体" w:hAnsi="黑体" w:eastAsia="黑体"/>
                <w:bCs/>
                <w:sz w:val="18"/>
                <w:szCs w:val="18"/>
              </w:rPr>
            </w:pPr>
            <w:r>
              <w:rPr>
                <w:rFonts w:hint="eastAsia" w:ascii="宋体" w:hAnsi="宋体"/>
                <w:bCs/>
                <w:sz w:val="18"/>
                <w:szCs w:val="18"/>
              </w:rPr>
              <w:t>2</w:t>
            </w:r>
            <w:r>
              <w:rPr>
                <w:rFonts w:hint="eastAsia" w:asciiTheme="majorEastAsia" w:hAnsiTheme="majorEastAsia" w:eastAsiaTheme="majorEastAsia"/>
                <w:bCs/>
                <w:sz w:val="18"/>
                <w:szCs w:val="18"/>
              </w:rPr>
              <w:t>.</w:t>
            </w:r>
            <w:r>
              <w:rPr>
                <w:rFonts w:hint="eastAsia"/>
                <w:sz w:val="18"/>
                <w:szCs w:val="18"/>
              </w:rPr>
              <w:t xml:space="preserve"> </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99"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99"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12"/>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6" w:name="_Toc79154666"/>
      <w:bookmarkStart w:id="7" w:name="_Toc3800"/>
      <w:bookmarkStart w:id="8" w:name="_Toc176189280"/>
      <w:r>
        <w:rPr>
          <w:rFonts w:ascii="Times New Roman"/>
          <w:sz w:val="30"/>
        </w:rPr>
        <w:t>第</w:t>
      </w:r>
      <w:r>
        <w:rPr>
          <w:rFonts w:hint="eastAsia" w:ascii="Times New Roman"/>
          <w:sz w:val="30"/>
        </w:rPr>
        <w:t>三条</w:t>
      </w:r>
      <w:r>
        <w:rPr>
          <w:rFonts w:ascii="Times New Roman"/>
          <w:sz w:val="30"/>
        </w:rPr>
        <w:t xml:space="preserve">  </w:t>
      </w:r>
      <w:bookmarkStart w:id="9" w:name="_Toc79392573"/>
      <w:r>
        <w:rPr>
          <w:rFonts w:hint="eastAsia" w:ascii="Times New Roman"/>
          <w:sz w:val="30"/>
        </w:rPr>
        <w:t>理财产品的认购</w:t>
      </w:r>
      <w:bookmarkEnd w:id="6"/>
      <w:bookmarkEnd w:id="7"/>
      <w:bookmarkEnd w:id="8"/>
    </w:p>
    <w:p>
      <w:pPr>
        <w:spacing w:line="360" w:lineRule="auto"/>
        <w:ind w:firstLine="361" w:firstLineChars="200"/>
        <w:rPr>
          <w:rFonts w:asciiTheme="minorEastAsia" w:hAnsiTheme="minorEastAsia"/>
          <w:b/>
          <w:bCs/>
          <w:sz w:val="18"/>
          <w:szCs w:val="18"/>
        </w:rPr>
      </w:pPr>
      <w:bookmarkStart w:id="10" w:name="_Hlt88031774"/>
      <w:bookmarkEnd w:id="10"/>
      <w:bookmarkStart w:id="11"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12"/>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12"/>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12"/>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8"/>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12"/>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12"/>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w:t>
      </w:r>
      <w:r>
        <w:rPr>
          <w:rFonts w:asciiTheme="minorEastAsia" w:hAnsiTheme="minorEastAsia" w:eastAsiaTheme="minorEastAsia"/>
          <w:color w:val="auto"/>
          <w:sz w:val="18"/>
          <w:szCs w:val="18"/>
        </w:rPr>
        <w:t>1.00</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12"/>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2"/>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12"/>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2" w:name="_Toc79154667"/>
      <w:bookmarkStart w:id="13" w:name="_Toc176189281"/>
      <w:bookmarkStart w:id="14" w:name="_Toc2877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2"/>
      <w:bookmarkEnd w:id="13"/>
      <w:bookmarkEnd w:id="14"/>
    </w:p>
    <w:bookmarkEnd w:id="11"/>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12"/>
        <w:spacing w:line="360" w:lineRule="auto"/>
        <w:ind w:firstLine="360" w:firstLineChars="200"/>
        <w:rPr>
          <w:rFonts w:asciiTheme="majorEastAsia" w:hAnsiTheme="majorEastAsia"/>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12"/>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2"/>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2"/>
        <w:spacing w:line="360" w:lineRule="auto"/>
        <w:ind w:firstLine="360" w:firstLineChars="200"/>
        <w:rPr>
          <w:rFonts w:asciiTheme="minorEastAsia" w:hAnsiTheme="minorEastAsia"/>
          <w:color w:val="auto"/>
          <w:sz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本产品的申购价格为每份理财份额人民币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2"/>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w:t>
      </w:r>
      <w:r>
        <w:rPr>
          <w:rFonts w:asciiTheme="minorEastAsia" w:hAnsiTheme="minorEastAsia" w:eastAsiaTheme="minorEastAsia"/>
          <w:color w:val="auto"/>
          <w:sz w:val="18"/>
          <w:szCs w:val="18"/>
        </w:rPr>
        <w:t>1.00</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12"/>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2"/>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12"/>
        <w:spacing w:line="360" w:lineRule="auto"/>
        <w:ind w:firstLine="360" w:firstLineChars="200"/>
        <w:rPr>
          <w:rFonts w:asciiTheme="majorEastAsia" w:hAnsiTheme="majorEastAsia"/>
          <w:color w:val="auto"/>
          <w:sz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12"/>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12"/>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12"/>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inorEastAsia" w:hAnsiTheme="minorEastAsia" w:eastAsiaTheme="minorEastAsia"/>
          <w:color w:val="auto"/>
          <w:sz w:val="18"/>
          <w:szCs w:val="18"/>
        </w:rPr>
        <w:t>本产品的赎回价格为每份理财份额人民币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12"/>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赎回总金额=赎回份额×1</w:t>
      </w:r>
      <w:r>
        <w:rPr>
          <w:rFonts w:asciiTheme="majorEastAsia" w:hAnsiTheme="majorEastAsia" w:eastAsiaTheme="majorEastAsia"/>
          <w:color w:val="auto"/>
          <w:sz w:val="18"/>
          <w:szCs w:val="18"/>
        </w:rPr>
        <w:t>.00</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12"/>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12"/>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“确定价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w:t>
      </w:r>
      <w:r>
        <w:rPr>
          <w:rFonts w:hint="eastAsia" w:asciiTheme="minorEastAsia" w:hAnsiTheme="minorEastAsia" w:eastAsiaTheme="minorEastAsia"/>
          <w:color w:val="auto"/>
          <w:sz w:val="18"/>
          <w:szCs w:val="18"/>
        </w:rPr>
        <w:t>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r>
        <w:rPr>
          <w:rFonts w:hint="eastAsia" w:asciiTheme="majorEastAsia" w:hAnsiTheme="majorEastAsia" w:eastAsiaTheme="majorEastAsia"/>
          <w:bCs/>
          <w:color w:val="auto"/>
          <w:sz w:val="18"/>
          <w:szCs w:val="18"/>
        </w:rPr>
        <w:t>。</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w:t>
      </w:r>
      <w:r>
        <w:rPr>
          <w:rFonts w:hint="eastAsia" w:asciiTheme="majorEastAsia" w:hAnsiTheme="majorEastAsia" w:eastAsiaTheme="majorEastAsia"/>
          <w:color w:val="auto"/>
          <w:sz w:val="18"/>
          <w:szCs w:val="18"/>
        </w:rPr>
        <w:t>开放日【</w:t>
      </w:r>
      <w:r>
        <w:rPr>
          <w:rFonts w:hint="eastAsia" w:asciiTheme="majorEastAsia" w:hAnsiTheme="majorEastAsia" w:eastAsiaTheme="majorEastAsia"/>
          <w:color w:val="auto"/>
          <w:sz w:val="18"/>
          <w:szCs w:val="18"/>
          <w:lang w:val="en-US" w:eastAsia="zh-CN"/>
        </w:rPr>
        <w:t>17:00</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截止前撤销</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widowControl/>
        <w:spacing w:line="360" w:lineRule="auto"/>
        <w:ind w:firstLine="360" w:firstLineChars="200"/>
        <w:jc w:val="left"/>
        <w:rPr>
          <w:rFonts w:asciiTheme="minorEastAsia" w:hAnsiTheme="minorEastAsia" w:eastAsiaTheme="minorEastAsia"/>
          <w:sz w:val="18"/>
          <w:szCs w:val="18"/>
        </w:rPr>
      </w:pPr>
      <w:r>
        <w:rPr>
          <w:rFonts w:hint="eastAsia" w:asciiTheme="minorEastAsia" w:hAnsiTheme="minorEastAsia" w:eastAsiaTheme="minorEastAsia"/>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inorEastAsia" w:hAnsiTheme="minorEastAsia"/>
          <w:bCs/>
          <w:sz w:val="18"/>
          <w:szCs w:val="18"/>
        </w:rPr>
      </w:pPr>
      <w:r>
        <w:rPr>
          <w:rFonts w:hint="eastAsia" w:asciiTheme="majorEastAsia" w:hAnsiTheme="majorEastAsia" w:eastAsiaTheme="majorEastAsia"/>
          <w:bCs/>
          <w:sz w:val="18"/>
          <w:szCs w:val="18"/>
        </w:rPr>
        <w:t>出现巨额赎回时，产品管理人有权决定：（1）申购申请不得撤销；（2）</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3）延缓支付赎回款项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（4）理财产品连续两个开放日（含）发生因巨额赎回导致拒绝赎回情况的，产品管理人可暂停接受投资者的赎回申请。投资者根据产品管理人披露的开放日可重新进行申购和赎回；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（5）法律法规规定或监管机构规定的其他措施。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12"/>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12"/>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12"/>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12"/>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9"/>
    <w:p>
      <w:pPr>
        <w:pStyle w:val="2"/>
        <w:spacing w:before="0" w:after="0" w:line="360" w:lineRule="auto"/>
        <w:jc w:val="center"/>
        <w:rPr>
          <w:rFonts w:ascii="Times New Roman"/>
          <w:sz w:val="30"/>
        </w:rPr>
      </w:pPr>
      <w:bookmarkStart w:id="15" w:name="_Toc176189282"/>
      <w:bookmarkStart w:id="16" w:name="_Toc90742321"/>
      <w:bookmarkStart w:id="17" w:name="_Toc29948"/>
      <w:bookmarkStart w:id="18" w:name="_Toc29784"/>
      <w:bookmarkStart w:id="19" w:name="_Toc90742688"/>
      <w:bookmarkStart w:id="20" w:name="_Toc7151"/>
      <w:bookmarkStart w:id="21" w:name="_Toc2561"/>
      <w:bookmarkStart w:id="22" w:name="_Toc79154668"/>
      <w:bookmarkStart w:id="23" w:name="_Toc6714"/>
      <w:bookmarkStart w:id="24" w:name="_Toc27226"/>
      <w:bookmarkStart w:id="25" w:name="_Toc90742390"/>
      <w:bookmarkStart w:id="26" w:name="_Toc15203"/>
      <w:bookmarkStart w:id="27" w:name="_Toc27189"/>
      <w:bookmarkStart w:id="28" w:name="_Toc22074"/>
      <w:bookmarkStart w:id="29" w:name="_Toc16265"/>
      <w:bookmarkStart w:id="30" w:name="_Toc74065741"/>
      <w:bookmarkStart w:id="31" w:name="_Toc3266"/>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12"/>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
      <w:pPr>
        <w:pStyle w:val="12"/>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（1）现金；</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（2）期限在1年以内（含1年）的银行存款、债券回购、中央银行票据、同业存单；</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（3）剩余期限在397天以内（含397天）的债券、在银行间市场和证券交易所市场发行的资产支持证券；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（4）监管部门、中国人民银行认可的其他具有良好流动性的货币市场工具。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直接或通过依法设立的资产管理产品（包括信托公司、证券公司、证券公司子公司、基金管理公司、基金管理子公司、期货公司、期货公司子公司、保险资产管理机构、金融资产投资公司发行的资产管理产品等）以及其他符合国家相关政策、法律法规的投资渠道和方式投资于上述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本产品投资于债权类资产的比例不低于产品总资产的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12"/>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12"/>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（1）本产品不得投资于以下金融工具：</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1）股票；</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2）可转换债券、可交换债券；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3）以定期存款利率为基准利率的浮动利率债券，已进入最后一个利率调整期的除外；</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4）信用等级在AA+以下的债券、资产支持证券；</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5）监管部门、中国人民银行禁止投资的其他金融工具。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（2）投资于同一机构发行的债券及其作为原始权益人的资产支持证券的比例合计不得超过产品资产净值的10%，投资于国债、中央银行票据、政策性金融债券的除外。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所有主体信用评级低于AAA的机构发行的金融工具的比例合计不得超过产品资产净值的10%，其中单一机构发行的金融工具的比例合计不得超过产品资产净值的2%。金融工具包括债券、银行存款、同业存单、相关机构作为原始权益人的资产支持证券及监管部门认可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有固定期限银行存款的比例合计不得超过产品资产净值的30%，投资于有存款期限，根据协议可提前支取的银行存款除外；投资于主体信用评级为AAA的同一商业银行的银行存款、同业存单占产品资产净值的比例合计不得超过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（5）全部现金管理类理财产品投资于同一商业银行的存款、同业存单和债券，不得超过该商业银行最近一个季度末净资产的10%。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（6）投资于主体信用评级低于AA+的商业银行的银行存款与同业存单的，应当经产品管理人董事会审议批准，事先告知托管人，并作为重大事项履行信息披露程序。</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w:t>
      </w:r>
      <w:r>
        <w:rPr>
          <w:rFonts w:hint="eastAsia" w:asciiTheme="majorEastAsia" w:hAnsiTheme="majorEastAsia" w:eastAsiaTheme="majorEastAsia"/>
          <w:bCs/>
          <w:sz w:val="18"/>
          <w:szCs w:val="18"/>
        </w:rPr>
        <w:t>）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面向单一投资者发行的私募理财产品可不受前款比例限制。</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非主观因素导致突破前款各项比例限制的，产品管理人应当在10个交易日内调整至符合要求，监管部门规定的特殊情形除外。</w:t>
      </w:r>
      <w:bookmarkStart w:id="169" w:name="_GoBack"/>
      <w:bookmarkEnd w:id="169"/>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本</w:t>
      </w:r>
      <w:r>
        <w:rPr>
          <w:rFonts w:hint="eastAsia" w:asciiTheme="majorEastAsia" w:hAnsiTheme="majorEastAsia" w:eastAsiaTheme="majorEastAsia"/>
          <w:bCs/>
          <w:sz w:val="18"/>
          <w:szCs w:val="18"/>
        </w:rPr>
        <w:t>产品持有足够的具有良好流动性的资产，投资组合符合以下要求：</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（1）产品持有不低于产品资产净值5%的现金、国债、中央银行票据、政策性金融债券；</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（2）产品持有不低于产品资产净值10%的现金、国债、中央银行票据、政策性金融债券以及五个交易日内到期的其他金融工具；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产品资产净值的10%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（4）产品的杠杆水平不得超过120%，发生巨额赎回、连续3个交易日累计赎回20%以上或者连续5个交易日累计赎回30%以上的情形除外。</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非主观因素导致突破前款第（2）（4）项比例限制的，产品管理人应当在10个交易日内调整至符合要求；非主观因素导致突破前款第（3）项比例限制的，产品管理人不得主动新增流动性受限资产的投资。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3.产品投资组合的平均剩余期限不得超过120天，平均剩余存续期限不得超过240天。</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w:t>
      </w:r>
      <w:r>
        <w:rPr>
          <w:rFonts w:asciiTheme="majorEastAsia" w:hAnsiTheme="majorEastAsia" w:eastAsiaTheme="majorEastAsia"/>
          <w:bCs/>
          <w:kern w:val="0"/>
          <w:sz w:val="18"/>
          <w:szCs w:val="18"/>
        </w:rPr>
        <w:t>.产品管理人对产品的投资者</w:t>
      </w:r>
      <w:r>
        <w:rPr>
          <w:rFonts w:hint="eastAsia" w:asciiTheme="majorEastAsia" w:hAnsiTheme="majorEastAsia" w:eastAsiaTheme="majorEastAsia"/>
          <w:bCs/>
          <w:kern w:val="0"/>
          <w:sz w:val="18"/>
          <w:szCs w:val="18"/>
        </w:rPr>
        <w:t>集中度实施严格的监控与管理，并根据投资者集中度情况对投资组合实施调整：</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当前10名投资者的持有份额合计超过产品总份额的50%时,投资组合的平均剩余期限不得超过60天,平均剩余存续期限不得超过120天，投资组合中现金、国债、中央银行票据、政策性金融债券以及5个交易日内到期的其他金融工具占产品资产净值的比例合计不得低于30%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当前10名投资者的持有份额合计超过产品总份额的20%时,投资组合的平均剩余期限不得超过90天,平均剩余存续期限不得超过180天,投资组合中现金、国债、中央银行票据、政策性金融债券以及5个交易日内到期的其他金融工具占该产品资产净值的比例合计不得低于20%。</w:t>
      </w:r>
    </w:p>
    <w:p>
      <w:pPr>
        <w:widowControl/>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非因管理人主观因素导致突破前款第(1)(2)项比例限制的，管理人应当在10个交易日内调整至符合要求,监管部门规定的特殊情形除外。</w:t>
      </w:r>
    </w:p>
    <w:p>
      <w:pPr>
        <w:spacing w:line="360" w:lineRule="auto"/>
        <w:ind w:firstLine="360" w:firstLineChars="200"/>
        <w:rPr>
          <w:rFonts w:ascii="宋体" w:hAnsi="宋体"/>
          <w:bCs/>
          <w:sz w:val="18"/>
          <w:szCs w:val="18"/>
        </w:rPr>
      </w:pPr>
      <w:r>
        <w:rPr>
          <w:rFonts w:hint="eastAsia" w:ascii="宋体" w:hAnsi="宋体"/>
          <w:bCs/>
          <w:sz w:val="18"/>
          <w:szCs w:val="18"/>
        </w:rPr>
        <w:t>5</w:t>
      </w:r>
      <w:r>
        <w:rPr>
          <w:rFonts w:ascii="宋体" w:hAnsi="宋体"/>
          <w:bCs/>
          <w:sz w:val="18"/>
          <w:szCs w:val="18"/>
        </w:rPr>
        <w:t>.</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6.</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12"/>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
      <w:pPr>
        <w:pStyle w:val="6"/>
        <w:shd w:val="clear" w:color="auto" w:fill="FFFFFF"/>
        <w:spacing w:line="360" w:lineRule="auto"/>
        <w:rPr>
          <w:rFonts w:asciiTheme="majorEastAsia" w:hAnsiTheme="majorEastAsia" w:eastAsiaTheme="majorEastAsia"/>
          <w:sz w:val="18"/>
          <w:szCs w:val="18"/>
        </w:rPr>
      </w:pPr>
    </w:p>
    <w:p>
      <w:pPr>
        <w:pStyle w:val="6"/>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2" w:name="_Toc176189283"/>
      <w:bookmarkStart w:id="33" w:name="_Toc24783"/>
      <w:bookmarkStart w:id="34" w:name="_Toc74065742"/>
      <w:bookmarkStart w:id="35" w:name="_Toc141703885"/>
      <w:bookmarkStart w:id="36" w:name="_Toc79154669"/>
      <w:bookmarkStart w:id="37" w:name="_Toc17912"/>
      <w:bookmarkStart w:id="38" w:name="_Toc26986"/>
      <w:bookmarkStart w:id="39" w:name="_Toc7848"/>
      <w:bookmarkStart w:id="40" w:name="_Toc14893"/>
      <w:bookmarkStart w:id="41" w:name="_Toc18329"/>
      <w:bookmarkStart w:id="42" w:name="_Toc18797"/>
      <w:bookmarkStart w:id="43" w:name="_Toc1823"/>
      <w:bookmarkStart w:id="44" w:name="_Toc18526"/>
      <w:bookmarkStart w:id="45" w:name="_Toc4741"/>
      <w:bookmarkStart w:id="46" w:name="_Toc21988"/>
      <w:bookmarkStart w:id="47" w:name="_Toc139991735"/>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12"/>
        <w:spacing w:line="360" w:lineRule="auto"/>
        <w:ind w:firstLine="361" w:firstLineChars="200"/>
        <w:rPr>
          <w:rFonts w:asciiTheme="majorEastAsia" w:hAnsiTheme="majorEastAsia" w:eastAsiaTheme="majorEastAsia"/>
          <w:b/>
          <w:color w:val="auto"/>
          <w:sz w:val="18"/>
          <w:szCs w:val="18"/>
        </w:rPr>
      </w:pPr>
      <w:bookmarkStart w:id="48" w:name="_Hlk490214295"/>
      <w:r>
        <w:rPr>
          <w:rFonts w:hint="eastAsia" w:asciiTheme="majorEastAsia" w:hAnsiTheme="majorEastAsia" w:eastAsiaTheme="majorEastAsia"/>
          <w:b/>
          <w:color w:val="auto"/>
          <w:sz w:val="18"/>
          <w:szCs w:val="18"/>
        </w:rPr>
        <w:t>（一）理财产品的资产的保管和处分</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12"/>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8"/>
    <w:p>
      <w:pPr>
        <w:pStyle w:val="2"/>
        <w:spacing w:before="0" w:after="0" w:line="360" w:lineRule="auto"/>
        <w:jc w:val="center"/>
        <w:rPr>
          <w:rFonts w:ascii="Times New Roman"/>
          <w:sz w:val="30"/>
        </w:rPr>
      </w:pPr>
      <w:bookmarkStart w:id="49" w:name="_Toc176189284"/>
      <w:bookmarkStart w:id="50" w:name="_Toc23261"/>
      <w:bookmarkStart w:id="51" w:name="_Toc139991736"/>
      <w:bookmarkStart w:id="52" w:name="_Toc123051452"/>
      <w:bookmarkStart w:id="53" w:name="_Toc20733"/>
      <w:bookmarkStart w:id="54" w:name="_Toc23822"/>
      <w:bookmarkStart w:id="55" w:name="_Toc5681"/>
      <w:bookmarkStart w:id="56" w:name="_Toc7920"/>
      <w:bookmarkStart w:id="57" w:name="_Toc74065743"/>
      <w:bookmarkStart w:id="58" w:name="_Toc4003"/>
      <w:bookmarkStart w:id="59" w:name="_Toc1270"/>
      <w:bookmarkStart w:id="60" w:name="_Toc48649707"/>
      <w:bookmarkStart w:id="61" w:name="_Toc123112234"/>
      <w:bookmarkStart w:id="62" w:name="_Toc10463"/>
      <w:bookmarkStart w:id="63" w:name="_Toc79392606"/>
      <w:bookmarkStart w:id="64" w:name="_Toc98560352"/>
      <w:bookmarkStart w:id="65" w:name="_Toc79154670"/>
      <w:bookmarkStart w:id="66" w:name="_Toc141703886"/>
      <w:bookmarkStart w:id="67" w:name="_Toc1427"/>
      <w:bookmarkStart w:id="68" w:name="_Toc123102453"/>
      <w:bookmarkStart w:id="69" w:name="_Toc17244"/>
      <w:bookmarkStart w:id="70" w:name="_Toc610"/>
      <w:r>
        <w:rPr>
          <w:rFonts w:ascii="Times New Roman"/>
          <w:sz w:val="30"/>
        </w:rPr>
        <w:t>第</w:t>
      </w:r>
      <w:r>
        <w:rPr>
          <w:rFonts w:hint="eastAsia" w:ascii="Times New Roman"/>
          <w:sz w:val="30"/>
        </w:rPr>
        <w:t>七条</w:t>
      </w:r>
      <w:r>
        <w:rPr>
          <w:rFonts w:ascii="Times New Roman"/>
          <w:sz w:val="30"/>
        </w:rPr>
        <w:t xml:space="preserve">  </w:t>
      </w:r>
      <w:r>
        <w:rPr>
          <w:rFonts w:hint="eastAsia" w:ascii="Times New Roman"/>
          <w:sz w:val="30"/>
        </w:rPr>
        <w:t>理财产品项下资产的估值</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12"/>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12"/>
        <w:spacing w:line="360" w:lineRule="auto"/>
        <w:ind w:firstLine="361"/>
        <w:rPr>
          <w:rFonts w:hAnsi="宋体"/>
          <w:b/>
          <w:color w:val="auto"/>
          <w:sz w:val="18"/>
          <w:szCs w:val="18"/>
        </w:rPr>
      </w:pPr>
      <w:r>
        <w:rPr>
          <w:rFonts w:hint="eastAsia" w:hAnsi="宋体"/>
          <w:b/>
          <w:color w:val="auto"/>
          <w:sz w:val="18"/>
          <w:szCs w:val="18"/>
        </w:rPr>
        <w:t>（一）估值目的</w:t>
      </w:r>
    </w:p>
    <w:p>
      <w:pPr>
        <w:pStyle w:val="12"/>
        <w:spacing w:line="360" w:lineRule="auto"/>
        <w:ind w:firstLine="360"/>
        <w:rPr>
          <w:rFonts w:hAnsi="宋体"/>
          <w:color w:val="auto"/>
          <w:sz w:val="18"/>
          <w:szCs w:val="18"/>
        </w:rPr>
      </w:pPr>
      <w:r>
        <w:rPr>
          <w:rFonts w:hint="eastAsia" w:hAnsi="宋体"/>
          <w:color w:val="auto"/>
          <w:sz w:val="18"/>
          <w:szCs w:val="18"/>
        </w:rPr>
        <w:t>理财资产估值的目的是客观、准确地反映理财资产是否保值、增值。</w:t>
      </w:r>
    </w:p>
    <w:p>
      <w:pPr>
        <w:pStyle w:val="12"/>
        <w:spacing w:line="360" w:lineRule="auto"/>
        <w:ind w:firstLine="361"/>
        <w:rPr>
          <w:rFonts w:hAnsi="宋体"/>
          <w:b/>
          <w:color w:val="auto"/>
          <w:sz w:val="18"/>
          <w:szCs w:val="18"/>
        </w:rPr>
      </w:pPr>
      <w:r>
        <w:rPr>
          <w:rFonts w:hint="eastAsia" w:hAnsi="宋体"/>
          <w:b/>
          <w:color w:val="auto"/>
          <w:sz w:val="18"/>
          <w:szCs w:val="18"/>
        </w:rPr>
        <w:t>（二）估值频率</w:t>
      </w:r>
    </w:p>
    <w:p>
      <w:pPr>
        <w:pStyle w:val="12"/>
        <w:spacing w:line="360" w:lineRule="auto"/>
        <w:ind w:firstLine="450" w:firstLineChars="250"/>
        <w:rPr>
          <w:rFonts w:hAnsi="宋体"/>
          <w:color w:val="auto"/>
          <w:sz w:val="18"/>
          <w:szCs w:val="18"/>
        </w:rPr>
      </w:pPr>
      <w:r>
        <w:rPr>
          <w:rFonts w:hint="eastAsia"/>
          <w:color w:val="auto"/>
          <w:sz w:val="18"/>
          <w:szCs w:val="18"/>
        </w:rPr>
        <w:t>本产品存续期间，管理人每日进行估值。</w:t>
      </w:r>
    </w:p>
    <w:p>
      <w:pPr>
        <w:pStyle w:val="12"/>
        <w:spacing w:line="360" w:lineRule="auto"/>
        <w:ind w:firstLine="361"/>
        <w:rPr>
          <w:rFonts w:hAnsi="宋体"/>
          <w:b/>
          <w:color w:val="auto"/>
          <w:sz w:val="18"/>
          <w:szCs w:val="18"/>
        </w:rPr>
      </w:pPr>
      <w:r>
        <w:rPr>
          <w:rFonts w:hint="eastAsia" w:hAnsi="宋体"/>
          <w:b/>
          <w:color w:val="auto"/>
          <w:sz w:val="18"/>
          <w:szCs w:val="18"/>
        </w:rPr>
        <w:t>（三）估值对象</w:t>
      </w:r>
    </w:p>
    <w:p>
      <w:pPr>
        <w:pStyle w:val="12"/>
        <w:spacing w:line="360" w:lineRule="auto"/>
        <w:ind w:firstLine="450" w:firstLineChars="250"/>
        <w:rPr>
          <w:rFonts w:hAnsi="宋体"/>
          <w:color w:val="auto"/>
          <w:sz w:val="18"/>
          <w:szCs w:val="18"/>
        </w:rPr>
      </w:pPr>
      <w:r>
        <w:rPr>
          <w:rFonts w:hint="eastAsia" w:hAnsi="宋体"/>
          <w:color w:val="auto"/>
          <w:sz w:val="18"/>
          <w:szCs w:val="18"/>
        </w:rPr>
        <w:t>本产品所拥有的各类证券、资产管理产品和银行存款本息、应收款项、其它投资等资产及负债。</w:t>
      </w:r>
    </w:p>
    <w:p>
      <w:pPr>
        <w:pStyle w:val="12"/>
        <w:spacing w:line="360" w:lineRule="auto"/>
        <w:ind w:firstLine="361"/>
        <w:rPr>
          <w:rFonts w:hAnsi="宋体"/>
          <w:b/>
          <w:color w:val="auto"/>
          <w:sz w:val="18"/>
          <w:szCs w:val="18"/>
        </w:rPr>
      </w:pPr>
      <w:r>
        <w:rPr>
          <w:rFonts w:hint="eastAsia" w:hAnsi="宋体"/>
          <w:b/>
          <w:color w:val="auto"/>
          <w:sz w:val="18"/>
          <w:szCs w:val="18"/>
        </w:rPr>
        <w:t>（四）估值方法</w:t>
      </w:r>
    </w:p>
    <w:p>
      <w:pPr>
        <w:pStyle w:val="12"/>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12"/>
        <w:spacing w:line="360" w:lineRule="auto"/>
        <w:ind w:firstLine="36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债券类资产采用摊余成本法估值，即估值对象以买入成本列示，按票面利率或协议利率并考虑其买入时的溢价与折价，在其剩余存续期内按照实际利率法进行摊销，每日计提损益。</w:t>
      </w:r>
    </w:p>
    <w:p>
      <w:pPr>
        <w:pStyle w:val="12"/>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货币市场基金估值</w:t>
      </w:r>
    </w:p>
    <w:p>
      <w:pPr>
        <w:pStyle w:val="12"/>
        <w:spacing w:line="360" w:lineRule="auto"/>
        <w:ind w:firstLine="361"/>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）本产品投资的境内非上市货币市场基金，按所投资基金前一估值日后至估值日期间（含节假日）的万份收益计提估值日基金收益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12"/>
        <w:spacing w:line="360" w:lineRule="auto"/>
        <w:ind w:firstLine="361"/>
        <w:rPr>
          <w:rFonts w:asciiTheme="minorEastAsia" w:hAnsiTheme="minorEastAsia" w:eastAsiaTheme="minorEastAsia"/>
          <w:sz w:val="18"/>
          <w:szCs w:val="18"/>
        </w:rPr>
      </w:pPr>
      <w:r>
        <w:rPr>
          <w:rFonts w:asciiTheme="minorEastAsia" w:hAnsiTheme="minorEastAsia" w:eastAsiaTheme="minorEastAsia"/>
          <w:color w:val="auto"/>
          <w:sz w:val="18"/>
          <w:szCs w:val="18"/>
        </w:rPr>
        <w:t>（2)本产品投资的境内上市交易型货币市场基金，如所投资基金披露份额净值，则按所投资基金估值日的份额净值估值，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12"/>
        <w:spacing w:line="360" w:lineRule="auto"/>
        <w:ind w:firstLine="361"/>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其他资产管理产品的估值</w:t>
      </w:r>
    </w:p>
    <w:p>
      <w:pPr>
        <w:spacing w:line="360" w:lineRule="auto"/>
        <w:ind w:firstLine="360" w:firstLineChars="200"/>
        <w:rPr>
          <w:rFonts w:hAnsi="宋体"/>
          <w:sz w:val="18"/>
        </w:rPr>
      </w:pPr>
      <w:r>
        <w:rPr>
          <w:rFonts w:hint="eastAsia" w:hAnsi="宋体"/>
          <w:sz w:val="18"/>
        </w:rPr>
        <w:t>其他资产管理产品，指理财产品投资的除证券投资基金以外的其他资产管理产品，主要包括：</w:t>
      </w:r>
      <w:r>
        <w:rPr>
          <w:rFonts w:hAnsi="宋体"/>
          <w:sz w:val="18"/>
        </w:rPr>
        <w:t>信托公司</w:t>
      </w:r>
      <w:r>
        <w:rPr>
          <w:rFonts w:hint="eastAsia" w:hAnsi="宋体"/>
          <w:sz w:val="18"/>
        </w:rPr>
        <w:t>、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spacing w:line="360" w:lineRule="auto"/>
        <w:ind w:firstLine="360" w:firstLineChars="200"/>
        <w:rPr>
          <w:rFonts w:hAnsi="宋体"/>
          <w:sz w:val="18"/>
        </w:rPr>
      </w:pPr>
      <w:r>
        <w:rPr>
          <w:rFonts w:hint="eastAsia" w:asciiTheme="minorEastAsia" w:hAnsiTheme="minorEastAsia" w:eastAsiaTheme="minorEastAsia"/>
          <w:sz w:val="18"/>
          <w:szCs w:val="18"/>
        </w:rPr>
        <w:t>4</w:t>
      </w:r>
      <w:r>
        <w:rPr>
          <w:rFonts w:asciiTheme="minorEastAsia" w:hAnsiTheme="minorEastAsia" w:eastAsiaTheme="minorEastAsia"/>
          <w:sz w:val="18"/>
          <w:szCs w:val="18"/>
        </w:rPr>
        <w:t>.</w:t>
      </w:r>
      <w:r>
        <w:rPr>
          <w:rFonts w:hint="eastAsia" w:asciiTheme="minorEastAsia" w:hAnsiTheme="minorEastAsia" w:eastAsiaTheme="minorEastAsia"/>
          <w:sz w:val="18"/>
          <w:szCs w:val="18"/>
        </w:rPr>
        <w:t>存款、拆借、回购等货币市场工具的估值</w:t>
      </w:r>
    </w:p>
    <w:p>
      <w:pPr>
        <w:spacing w:line="360" w:lineRule="auto"/>
        <w:ind w:firstLine="360" w:firstLineChars="200"/>
        <w:rPr>
          <w:rFonts w:hAnsi="宋体"/>
          <w:sz w:val="18"/>
          <w:szCs w:val="18"/>
        </w:rPr>
      </w:pPr>
      <w:r>
        <w:rPr>
          <w:rFonts w:hint="eastAsia" w:hAnsi="宋体"/>
          <w:sz w:val="18"/>
          <w:szCs w:val="18"/>
        </w:rPr>
        <w:t>以本金列示，按商定利率在实际持有期间内逐日计提利息。</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5.为了避免采用</w:t>
      </w:r>
      <w:r>
        <w:rPr>
          <w:rFonts w:asciiTheme="minorEastAsia" w:hAnsiTheme="minorEastAsia" w:eastAsiaTheme="minorEastAsia"/>
          <w:sz w:val="18"/>
          <w:szCs w:val="18"/>
        </w:rPr>
        <w:t>“</w:t>
      </w:r>
      <w:r>
        <w:rPr>
          <w:rFonts w:hint="eastAsia" w:asciiTheme="minorEastAsia" w:hAnsiTheme="minorEastAsia" w:eastAsiaTheme="minorEastAsia"/>
          <w:sz w:val="18"/>
          <w:szCs w:val="18"/>
        </w:rPr>
        <w:t>摊余成本法</w:t>
      </w:r>
      <w:r>
        <w:rPr>
          <w:rFonts w:asciiTheme="minorEastAsia" w:hAnsiTheme="minorEastAsia" w:eastAsiaTheme="minorEastAsia"/>
          <w:sz w:val="18"/>
          <w:szCs w:val="18"/>
        </w:rPr>
        <w:t>”</w:t>
      </w:r>
      <w:r>
        <w:rPr>
          <w:rFonts w:hint="eastAsia" w:asciiTheme="minorEastAsia" w:hAnsiTheme="minorEastAsia" w:eastAsiaTheme="minorEastAsia"/>
          <w:sz w:val="18"/>
          <w:szCs w:val="18"/>
        </w:rPr>
        <w:t>计算的理财资产净值与按市场利率和交易市价计算的理财资产净值发生重大偏离，从而对理财份额持有人的利益产生稀释和不公平的结果，产品管理人于每一估值日，采用估值技术，对理财持有的估值对象进行重新评估，即</w:t>
      </w:r>
      <w:r>
        <w:rPr>
          <w:rFonts w:asciiTheme="minorEastAsia" w:hAnsiTheme="minorEastAsia" w:eastAsiaTheme="minorEastAsia"/>
          <w:sz w:val="18"/>
          <w:szCs w:val="18"/>
        </w:rPr>
        <w:t>“</w:t>
      </w:r>
      <w:r>
        <w:rPr>
          <w:rFonts w:hint="eastAsia" w:asciiTheme="minorEastAsia" w:hAnsiTheme="minorEastAsia" w:eastAsiaTheme="minorEastAsia"/>
          <w:sz w:val="18"/>
          <w:szCs w:val="18"/>
        </w:rPr>
        <w:t>影子定价</w:t>
      </w:r>
      <w:r>
        <w:rPr>
          <w:rFonts w:asciiTheme="minorEastAsia" w:hAnsiTheme="minorEastAsia" w:eastAsiaTheme="minorEastAsia"/>
          <w:sz w:val="18"/>
          <w:szCs w:val="18"/>
        </w:rPr>
        <w:t>”</w:t>
      </w:r>
      <w:r>
        <w:rPr>
          <w:rFonts w:hint="eastAsia" w:asciiTheme="minorEastAsia" w:hAnsiTheme="minorEastAsia" w:eastAsiaTheme="minorEastAsia"/>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当影子定价确定的资产净值与摊余成本法计算的资产净值正偏离度绝对值达到0.5%时，管理人将暂停接受认</w:t>
      </w:r>
      <w:r>
        <w:rPr>
          <w:rFonts w:asciiTheme="minorEastAsia" w:hAnsiTheme="minorEastAsia" w:eastAsiaTheme="minorEastAsia"/>
          <w:sz w:val="18"/>
          <w:szCs w:val="18"/>
        </w:rPr>
        <w:t>/申</w:t>
      </w:r>
      <w:r>
        <w:rPr>
          <w:rFonts w:hint="eastAsia" w:asciiTheme="minorEastAsia" w:hAnsiTheme="minorEastAsia" w:eastAsiaTheme="minorEastAsia"/>
          <w:sz w:val="18"/>
          <w:szCs w:val="18"/>
        </w:rPr>
        <w:t>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产品合同进行财产清算等措施。</w:t>
      </w:r>
      <w:r>
        <w:rPr>
          <w:rFonts w:asciiTheme="minorEastAsia" w:hAnsiTheme="minorEastAsia" w:eastAsiaTheme="minorEastAsia"/>
          <w:sz w:val="18"/>
          <w:szCs w:val="18"/>
        </w:rPr>
        <w:t xml:space="preserve"> </w:t>
      </w:r>
    </w:p>
    <w:p>
      <w:pPr>
        <w:spacing w:line="360" w:lineRule="auto"/>
        <w:ind w:firstLine="360" w:firstLineChars="200"/>
        <w:rPr>
          <w:rFonts w:asciiTheme="minorEastAsia" w:hAnsiTheme="minorEastAsia" w:eastAsiaTheme="minorEastAsia"/>
          <w:sz w:val="18"/>
          <w:szCs w:val="18"/>
        </w:rPr>
      </w:pPr>
      <w:r>
        <w:rPr>
          <w:rFonts w:hint="eastAsia" w:ascii="宋体" w:hAnsi="宋体"/>
          <w:bCs/>
          <w:sz w:val="18"/>
          <w:szCs w:val="18"/>
        </w:rPr>
        <w:t>6.</w:t>
      </w:r>
      <w:r>
        <w:rPr>
          <w:rFonts w:ascii="宋体" w:hAnsi="宋体"/>
          <w:bCs/>
          <w:sz w:val="18"/>
          <w:szCs w:val="18"/>
        </w:rPr>
        <w:t>如有确凿证据表明按上述方法进行估</w:t>
      </w:r>
      <w:r>
        <w:rPr>
          <w:rFonts w:hint="eastAsia" w:asciiTheme="minorEastAsia" w:hAnsiTheme="minorEastAsia"/>
          <w:sz w:val="18"/>
          <w:szCs w:val="18"/>
        </w:rPr>
        <w:t>值不能客观反映其公允价值的，产品管理人可根据具体情况与产品托管人商定后，</w:t>
      </w:r>
      <w:r>
        <w:rPr>
          <w:rFonts w:hint="eastAsia" w:hAnsi="宋体"/>
          <w:sz w:val="18"/>
          <w:szCs w:val="18"/>
        </w:rPr>
        <w:t>在综合考虑市场成交、市场报价、流动性、收益率曲线等因素基础上，</w:t>
      </w:r>
      <w:r>
        <w:rPr>
          <w:rFonts w:hint="eastAsia" w:asciiTheme="minorEastAsia" w:hAnsiTheme="minorEastAsia"/>
          <w:sz w:val="18"/>
          <w:szCs w:val="18"/>
        </w:rPr>
        <w:t>按最能反映公</w:t>
      </w:r>
      <w:r>
        <w:rPr>
          <w:rFonts w:hint="eastAsia" w:asciiTheme="minorEastAsia" w:hAnsiTheme="minorEastAsia" w:eastAsiaTheme="minorEastAsia"/>
          <w:sz w:val="18"/>
          <w:szCs w:val="18"/>
        </w:rPr>
        <w:t>允价值的价格估值。</w:t>
      </w:r>
    </w:p>
    <w:p>
      <w:pPr>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7</w:t>
      </w:r>
      <w:r>
        <w:rPr>
          <w:rFonts w:hint="eastAsia" w:asciiTheme="minorEastAsia" w:hAnsiTheme="minorEastAsia" w:eastAsiaTheme="minorEastAsia"/>
          <w:sz w:val="18"/>
          <w:szCs w:val="18"/>
        </w:rPr>
        <w:t>.估值方法的调整</w:t>
      </w:r>
    </w:p>
    <w:p>
      <w:pPr>
        <w:pStyle w:val="12"/>
        <w:spacing w:line="360" w:lineRule="auto"/>
        <w:ind w:firstLine="360"/>
        <w:rPr>
          <w:rFonts w:ascii="黑体" w:hAnsi="黑体" w:eastAsia="黑体"/>
          <w:color w:val="auto"/>
          <w:sz w:val="18"/>
          <w:szCs w:val="18"/>
        </w:rPr>
      </w:pPr>
      <w:r>
        <w:rPr>
          <w:rFonts w:hint="eastAsia" w:hAnsi="宋体"/>
          <w:color w:val="auto"/>
          <w:sz w:val="18"/>
          <w:szCs w:val="18"/>
        </w:rPr>
        <w:t>★</w:t>
      </w:r>
      <w:r>
        <w:rPr>
          <w:rFonts w:hint="eastAsia" w:ascii="黑体" w:hAnsi="黑体" w:eastAsia="黑体"/>
          <w:color w:val="auto"/>
          <w:sz w:val="18"/>
          <w:szCs w:val="18"/>
        </w:rPr>
        <w:t>相关法律法规以及监管部门有强制规定的，从其规定。如有新增事项，按国家最新规定估值。</w:t>
      </w:r>
    </w:p>
    <w:p>
      <w:pPr>
        <w:pStyle w:val="12"/>
        <w:spacing w:line="360" w:lineRule="auto"/>
        <w:ind w:firstLine="361"/>
        <w:rPr>
          <w:rFonts w:hAnsi="宋体"/>
          <w:b/>
          <w:color w:val="auto"/>
          <w:sz w:val="18"/>
          <w:szCs w:val="18"/>
        </w:rPr>
      </w:pPr>
      <w:r>
        <w:rPr>
          <w:rFonts w:hint="eastAsia" w:hAnsi="宋体"/>
          <w:b/>
          <w:color w:val="auto"/>
          <w:sz w:val="18"/>
          <w:szCs w:val="18"/>
        </w:rPr>
        <w:t>（五）估值程序</w:t>
      </w:r>
    </w:p>
    <w:p>
      <w:pPr>
        <w:pStyle w:val="12"/>
        <w:spacing w:line="360" w:lineRule="auto"/>
        <w:ind w:firstLine="360"/>
        <w:rPr>
          <w:rFonts w:hAnsi="宋体"/>
          <w:color w:val="auto"/>
          <w:sz w:val="18"/>
          <w:szCs w:val="18"/>
        </w:rPr>
      </w:pPr>
      <w:r>
        <w:rPr>
          <w:rFonts w:hint="eastAsia" w:hAnsi="宋体"/>
          <w:color w:val="auto"/>
          <w:sz w:val="18"/>
          <w:szCs w:val="18"/>
        </w:rPr>
        <w:t>1.每万份理财产品收益是每万份理财份额的日净收益，精确至小数点后第</w:t>
      </w:r>
      <w:r>
        <w:rPr>
          <w:rFonts w:hAnsi="宋体"/>
          <w:color w:val="auto"/>
          <w:sz w:val="18"/>
          <w:szCs w:val="18"/>
        </w:rPr>
        <w:t>4位，小数点后第5</w:t>
      </w:r>
      <w:r>
        <w:rPr>
          <w:rFonts w:hint="eastAsia" w:hAnsi="宋体"/>
          <w:color w:val="auto"/>
          <w:sz w:val="18"/>
          <w:szCs w:val="18"/>
        </w:rPr>
        <w:t>位按去尾原则处理。本产品的收益分配按日结转份额，</w:t>
      </w:r>
      <w:r>
        <w:rPr>
          <w:rFonts w:hAnsi="宋体"/>
          <w:color w:val="auto"/>
          <w:sz w:val="18"/>
          <w:szCs w:val="18"/>
        </w:rPr>
        <w:t>7</w:t>
      </w:r>
      <w:r>
        <w:rPr>
          <w:rFonts w:hint="eastAsia" w:hAnsi="宋体"/>
          <w:color w:val="auto"/>
          <w:sz w:val="18"/>
          <w:szCs w:val="18"/>
        </w:rPr>
        <w:t>日年化收益率是以最近</w:t>
      </w:r>
      <w:r>
        <w:rPr>
          <w:rFonts w:hAnsi="宋体"/>
          <w:color w:val="auto"/>
          <w:sz w:val="18"/>
          <w:szCs w:val="18"/>
        </w:rPr>
        <w:t>7</w:t>
      </w:r>
      <w:r>
        <w:rPr>
          <w:rFonts w:hint="eastAsia" w:hAnsi="宋体"/>
          <w:color w:val="auto"/>
          <w:sz w:val="18"/>
          <w:szCs w:val="18"/>
        </w:rPr>
        <w:t>日</w:t>
      </w:r>
      <w:r>
        <w:rPr>
          <w:rFonts w:hAnsi="宋体"/>
          <w:color w:val="auto"/>
          <w:sz w:val="18"/>
          <w:szCs w:val="18"/>
        </w:rPr>
        <w:t>(</w:t>
      </w:r>
      <w:r>
        <w:rPr>
          <w:rFonts w:hint="eastAsia" w:hAnsi="宋体"/>
          <w:color w:val="auto"/>
          <w:sz w:val="18"/>
          <w:szCs w:val="18"/>
        </w:rPr>
        <w:t>含节假日</w:t>
      </w:r>
      <w:r>
        <w:rPr>
          <w:rFonts w:hAnsi="宋体"/>
          <w:color w:val="auto"/>
          <w:sz w:val="18"/>
          <w:szCs w:val="18"/>
        </w:rPr>
        <w:t>)</w:t>
      </w:r>
      <w:r>
        <w:rPr>
          <w:rFonts w:hint="eastAsia" w:hAnsi="宋体"/>
          <w:color w:val="auto"/>
          <w:sz w:val="18"/>
          <w:szCs w:val="18"/>
        </w:rPr>
        <w:t>收益所折算的年资产收益率，精确到百分号内小数点后</w:t>
      </w:r>
      <w:r>
        <w:rPr>
          <w:rFonts w:hAnsi="宋体"/>
          <w:color w:val="auto"/>
          <w:sz w:val="18"/>
          <w:szCs w:val="18"/>
        </w:rPr>
        <w:t>3</w:t>
      </w:r>
      <w:r>
        <w:rPr>
          <w:rFonts w:hint="eastAsia" w:hAnsi="宋体"/>
          <w:color w:val="auto"/>
          <w:sz w:val="18"/>
          <w:szCs w:val="18"/>
        </w:rPr>
        <w:t>位，小数点后第</w:t>
      </w:r>
      <w:r>
        <w:rPr>
          <w:rFonts w:hAnsi="宋体"/>
          <w:color w:val="auto"/>
          <w:sz w:val="18"/>
          <w:szCs w:val="18"/>
        </w:rPr>
        <w:t>4</w:t>
      </w:r>
      <w:r>
        <w:rPr>
          <w:rFonts w:hint="eastAsia" w:hAnsi="宋体"/>
          <w:color w:val="auto"/>
          <w:sz w:val="18"/>
          <w:szCs w:val="18"/>
        </w:rPr>
        <w:t>位四舍五入。国家另有规定的，从其规定。</w:t>
      </w:r>
    </w:p>
    <w:p>
      <w:pPr>
        <w:pStyle w:val="12"/>
        <w:spacing w:line="360" w:lineRule="auto"/>
        <w:ind w:firstLine="360"/>
        <w:rPr>
          <w:rFonts w:hAnsi="宋体"/>
          <w:color w:val="auto"/>
          <w:sz w:val="18"/>
          <w:szCs w:val="18"/>
        </w:rPr>
      </w:pPr>
      <w:r>
        <w:rPr>
          <w:rFonts w:hint="eastAsia" w:hAnsi="宋体"/>
          <w:color w:val="auto"/>
          <w:sz w:val="18"/>
          <w:szCs w:val="18"/>
        </w:rPr>
        <w:t>2.产品管理人对理财资产估值后，将理财产品份额净值、</w:t>
      </w:r>
      <w:r>
        <w:rPr>
          <w:rFonts w:hint="eastAsia" w:asciiTheme="minorEastAsia" w:hAnsiTheme="minorEastAsia" w:eastAsiaTheme="minorEastAsia"/>
          <w:color w:val="auto"/>
          <w:sz w:val="18"/>
          <w:szCs w:val="18"/>
        </w:rPr>
        <w:t>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w:t>
      </w:r>
      <w:r>
        <w:rPr>
          <w:rFonts w:hint="eastAsia" w:hAnsi="宋体"/>
          <w:color w:val="auto"/>
          <w:sz w:val="18"/>
          <w:szCs w:val="18"/>
        </w:rPr>
        <w:t>结果发送产品托管人，经产品托管人复核无误后，由产品管理人按规定对外公布。</w:t>
      </w:r>
    </w:p>
    <w:p>
      <w:pPr>
        <w:pStyle w:val="12"/>
        <w:spacing w:line="360" w:lineRule="auto"/>
        <w:ind w:firstLine="360"/>
        <w:rPr>
          <w:rFonts w:hAnsi="宋体"/>
          <w:color w:val="auto"/>
          <w:sz w:val="18"/>
          <w:szCs w:val="18"/>
        </w:rPr>
      </w:pPr>
      <w:r>
        <w:rPr>
          <w:rFonts w:hAnsi="宋体"/>
          <w:color w:val="auto"/>
          <w:sz w:val="18"/>
          <w:szCs w:val="18"/>
        </w:rPr>
        <w:t xml:space="preserve">3. </w:t>
      </w:r>
      <w:r>
        <w:rPr>
          <w:rFonts w:hint="eastAsia" w:hAnsi="宋体"/>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12"/>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12"/>
        <w:spacing w:line="360" w:lineRule="auto"/>
        <w:ind w:firstLine="360"/>
        <w:rPr>
          <w:rFonts w:hAnsi="宋体"/>
          <w:color w:val="auto"/>
          <w:sz w:val="18"/>
          <w:szCs w:val="18"/>
        </w:rPr>
      </w:pPr>
      <w:r>
        <w:rPr>
          <w:rFonts w:hint="eastAsia" w:hAnsi="宋体"/>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12"/>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pStyle w:val="12"/>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71" w:name="_Hlt70481650"/>
      <w:bookmarkEnd w:id="71"/>
      <w:bookmarkStart w:id="72" w:name="_Toc123102454"/>
      <w:bookmarkStart w:id="73" w:name="_Toc29251"/>
      <w:bookmarkStart w:id="74" w:name="_Toc74065744"/>
      <w:bookmarkStart w:id="75" w:name="_Toc139991737"/>
      <w:bookmarkStart w:id="76" w:name="_Toc26207"/>
      <w:bookmarkStart w:id="77" w:name="_Toc31644"/>
      <w:bookmarkStart w:id="78" w:name="_Toc123051453"/>
      <w:bookmarkStart w:id="79" w:name="_Toc123112235"/>
      <w:bookmarkStart w:id="80" w:name="_Toc6810"/>
      <w:bookmarkStart w:id="81" w:name="_Toc15143"/>
      <w:bookmarkStart w:id="82" w:name="_Toc176189285"/>
      <w:bookmarkStart w:id="83" w:name="_Toc14835"/>
      <w:bookmarkStart w:id="84" w:name="_Toc98560353"/>
      <w:bookmarkStart w:id="85" w:name="_Toc3601"/>
      <w:bookmarkStart w:id="86" w:name="_Toc12245"/>
      <w:bookmarkStart w:id="87" w:name="_Toc31653"/>
      <w:bookmarkStart w:id="88" w:name="_Toc6405"/>
      <w:bookmarkStart w:id="89" w:name="_Toc141703887"/>
      <w:bookmarkStart w:id="90" w:name="_Toc31235"/>
      <w:bookmarkStart w:id="91" w:name="_Toc79154671"/>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Start w:id="92" w:name="_Hlt55355235"/>
      <w:bookmarkEnd w:id="92"/>
      <w:bookmarkStart w:id="93" w:name="_Toc15118234"/>
      <w:bookmarkStart w:id="94" w:name="_Toc79392580"/>
      <w:bookmarkStart w:id="95" w:name="_Toc523711668"/>
      <w:bookmarkStart w:id="96" w:name="_Toc57530239"/>
    </w:p>
    <w:p>
      <w:pPr>
        <w:pStyle w:val="12"/>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12"/>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12"/>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12"/>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12"/>
        <w:spacing w:line="360" w:lineRule="auto"/>
        <w:ind w:firstLine="360" w:firstLineChars="200"/>
        <w:rPr>
          <w:rFonts w:hAnsi="宋体"/>
          <w:color w:val="auto"/>
          <w:sz w:val="18"/>
          <w:szCs w:val="18"/>
        </w:rPr>
      </w:pPr>
      <w:r>
        <w:rPr>
          <w:rFonts w:hint="eastAsia" w:hAnsi="宋体"/>
          <w:color w:val="auto"/>
          <w:sz w:val="18"/>
          <w:szCs w:val="18"/>
        </w:rPr>
        <w:t>1</w:t>
      </w:r>
      <w:r>
        <w:rPr>
          <w:rFonts w:hAnsi="宋体"/>
          <w:color w:val="auto"/>
          <w:sz w:val="18"/>
          <w:szCs w:val="18"/>
        </w:rPr>
        <w:t>.</w:t>
      </w:r>
      <w:r>
        <w:rPr>
          <w:rFonts w:hint="eastAsia" w:hAnsi="宋体"/>
          <w:color w:val="auto"/>
          <w:sz w:val="18"/>
          <w:szCs w:val="18"/>
        </w:rPr>
        <w:t>本产品利益分配应遵循下列原则：</w:t>
      </w:r>
    </w:p>
    <w:p>
      <w:pPr>
        <w:pStyle w:val="12"/>
        <w:spacing w:line="360" w:lineRule="auto"/>
        <w:ind w:firstLine="360" w:firstLineChars="200"/>
        <w:rPr>
          <w:rFonts w:hAnsi="宋体"/>
          <w:color w:val="auto"/>
          <w:sz w:val="18"/>
          <w:szCs w:val="18"/>
        </w:rPr>
      </w:pPr>
      <w:r>
        <w:rPr>
          <w:rFonts w:hint="eastAsia" w:hAnsi="宋体"/>
          <w:color w:val="auto"/>
          <w:sz w:val="18"/>
          <w:szCs w:val="18"/>
        </w:rPr>
        <w:t>（1）每一产品份额</w:t>
      </w:r>
      <w:r>
        <w:rPr>
          <w:rFonts w:hAnsi="宋体"/>
          <w:color w:val="auto"/>
          <w:sz w:val="18"/>
          <w:szCs w:val="18"/>
        </w:rPr>
        <w:t>享有同等分配权</w:t>
      </w:r>
      <w:r>
        <w:rPr>
          <w:rFonts w:hint="eastAsia" w:hAnsi="宋体"/>
          <w:color w:val="auto"/>
          <w:sz w:val="18"/>
          <w:szCs w:val="18"/>
        </w:rPr>
        <w:t>。</w:t>
      </w:r>
    </w:p>
    <w:p>
      <w:pPr>
        <w:pStyle w:val="12"/>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本</w:t>
      </w:r>
      <w:r>
        <w:rPr>
          <w:rFonts w:hint="eastAsia" w:hAnsi="宋体"/>
          <w:color w:val="auto"/>
          <w:sz w:val="18"/>
          <w:szCs w:val="18"/>
        </w:rPr>
        <w:t>产品</w:t>
      </w:r>
      <w:r>
        <w:rPr>
          <w:rFonts w:hAnsi="宋体"/>
          <w:color w:val="auto"/>
          <w:sz w:val="18"/>
          <w:szCs w:val="18"/>
        </w:rPr>
        <w:t>收益分配方式为红利再投资，免收再投资的费用</w:t>
      </w:r>
      <w:r>
        <w:rPr>
          <w:rFonts w:hint="eastAsia" w:hAnsi="宋体"/>
          <w:color w:val="auto"/>
          <w:sz w:val="18"/>
          <w:szCs w:val="18"/>
        </w:rPr>
        <w:t>。</w:t>
      </w:r>
    </w:p>
    <w:p>
      <w:pPr>
        <w:pStyle w:val="12"/>
        <w:spacing w:line="360" w:lineRule="auto"/>
        <w:ind w:firstLine="360" w:firstLineChars="200"/>
        <w:rPr>
          <w:rFonts w:hAnsi="宋体"/>
          <w:color w:val="auto"/>
          <w:sz w:val="18"/>
          <w:szCs w:val="18"/>
        </w:rPr>
      </w:pPr>
      <w:r>
        <w:rPr>
          <w:rFonts w:hint="eastAsia" w:hAnsi="宋体"/>
          <w:color w:val="auto"/>
          <w:sz w:val="18"/>
          <w:szCs w:val="18"/>
        </w:rPr>
        <w:t>（3）</w:t>
      </w:r>
      <w:r>
        <w:rPr>
          <w:rFonts w:hAnsi="宋体"/>
          <w:color w:val="auto"/>
          <w:sz w:val="18"/>
          <w:szCs w:val="18"/>
        </w:rPr>
        <w:t>“</w:t>
      </w:r>
      <w:r>
        <w:rPr>
          <w:rFonts w:hint="eastAsia" w:hAnsi="宋体"/>
          <w:color w:val="auto"/>
          <w:sz w:val="18"/>
          <w:szCs w:val="18"/>
        </w:rPr>
        <w:t>每日分配、按日支付</w:t>
      </w:r>
      <w:r>
        <w:rPr>
          <w:rFonts w:hAnsi="宋体"/>
          <w:color w:val="auto"/>
          <w:sz w:val="18"/>
          <w:szCs w:val="18"/>
        </w:rPr>
        <w:t>”</w:t>
      </w:r>
      <w:r>
        <w:rPr>
          <w:rFonts w:hint="eastAsia" w:hAnsi="宋体"/>
          <w:color w:val="auto"/>
          <w:sz w:val="18"/>
          <w:szCs w:val="18"/>
        </w:rPr>
        <w:t>。本产品根据每日理财收益情况，以每万份理财收益为基准，为投资人每日计算当日收益并分配，且每日进行支付。投资者当日收益分配的计算保留到小数点后</w:t>
      </w:r>
      <w:r>
        <w:rPr>
          <w:rFonts w:hAnsi="宋体"/>
          <w:color w:val="auto"/>
          <w:sz w:val="18"/>
          <w:szCs w:val="18"/>
        </w:rPr>
        <w:t>2</w:t>
      </w:r>
      <w:r>
        <w:rPr>
          <w:rFonts w:hint="eastAsia" w:hAnsi="宋体"/>
          <w:color w:val="auto"/>
          <w:sz w:val="18"/>
          <w:szCs w:val="18"/>
        </w:rPr>
        <w:t>位，小数点后第</w:t>
      </w:r>
      <w:r>
        <w:rPr>
          <w:rFonts w:hAnsi="宋体"/>
          <w:color w:val="auto"/>
          <w:sz w:val="18"/>
          <w:szCs w:val="18"/>
        </w:rPr>
        <w:t>3</w:t>
      </w:r>
      <w:r>
        <w:rPr>
          <w:rFonts w:hint="eastAsia" w:hAnsi="宋体"/>
          <w:color w:val="auto"/>
          <w:sz w:val="18"/>
          <w:szCs w:val="18"/>
        </w:rPr>
        <w:t>位按去尾原则处理。</w:t>
      </w:r>
    </w:p>
    <w:p>
      <w:pPr>
        <w:pStyle w:val="12"/>
        <w:spacing w:line="360" w:lineRule="auto"/>
        <w:ind w:firstLine="360" w:firstLineChars="200"/>
        <w:rPr>
          <w:rFonts w:hAnsi="宋体"/>
          <w:color w:val="auto"/>
          <w:sz w:val="18"/>
          <w:szCs w:val="18"/>
        </w:rPr>
      </w:pPr>
      <w:r>
        <w:rPr>
          <w:rFonts w:hint="eastAsia" w:hAnsi="宋体"/>
          <w:color w:val="auto"/>
          <w:sz w:val="18"/>
          <w:szCs w:val="18"/>
        </w:rPr>
        <w:t>（4）</w:t>
      </w:r>
      <w:r>
        <w:rPr>
          <w:rFonts w:hAnsi="宋体"/>
          <w:color w:val="auto"/>
          <w:sz w:val="18"/>
          <w:szCs w:val="18"/>
        </w:rPr>
        <w:t>本</w:t>
      </w:r>
      <w:r>
        <w:rPr>
          <w:rFonts w:hint="eastAsia" w:hAnsi="宋体"/>
          <w:color w:val="auto"/>
          <w:sz w:val="18"/>
          <w:szCs w:val="18"/>
        </w:rPr>
        <w:t>产品</w:t>
      </w:r>
      <w:r>
        <w:rPr>
          <w:rFonts w:hAnsi="宋体"/>
          <w:color w:val="auto"/>
          <w:sz w:val="18"/>
          <w:szCs w:val="18"/>
        </w:rPr>
        <w:t>根据每日收益情况，将当日收益全部分配，若当日</w:t>
      </w:r>
      <w:r>
        <w:rPr>
          <w:rFonts w:hint="eastAsia" w:hAnsi="宋体"/>
          <w:color w:val="auto"/>
          <w:sz w:val="18"/>
          <w:szCs w:val="18"/>
        </w:rPr>
        <w:t>理财产品收益</w:t>
      </w:r>
      <w:r>
        <w:rPr>
          <w:rFonts w:hAnsi="宋体"/>
          <w:color w:val="auto"/>
          <w:sz w:val="18"/>
          <w:szCs w:val="18"/>
        </w:rPr>
        <w:t>大于零时，为投资</w:t>
      </w:r>
      <w:r>
        <w:rPr>
          <w:rFonts w:hint="eastAsia" w:hAnsi="宋体"/>
          <w:color w:val="auto"/>
          <w:sz w:val="18"/>
          <w:szCs w:val="18"/>
        </w:rPr>
        <w:t>者</w:t>
      </w:r>
      <w:r>
        <w:rPr>
          <w:rFonts w:hAnsi="宋体"/>
          <w:color w:val="auto"/>
          <w:sz w:val="18"/>
          <w:szCs w:val="18"/>
        </w:rPr>
        <w:t>记正收益；若当日</w:t>
      </w:r>
      <w:r>
        <w:rPr>
          <w:rFonts w:hint="eastAsia" w:hAnsi="宋体"/>
          <w:color w:val="auto"/>
          <w:sz w:val="18"/>
          <w:szCs w:val="18"/>
        </w:rPr>
        <w:t>理财产品收益</w:t>
      </w:r>
      <w:r>
        <w:rPr>
          <w:rFonts w:hAnsi="宋体"/>
          <w:color w:val="auto"/>
          <w:sz w:val="18"/>
          <w:szCs w:val="18"/>
        </w:rPr>
        <w:t>小于零时，为投资人记负收益；若当日</w:t>
      </w:r>
      <w:r>
        <w:rPr>
          <w:rFonts w:hint="eastAsia" w:hAnsi="宋体"/>
          <w:color w:val="auto"/>
          <w:sz w:val="18"/>
          <w:szCs w:val="18"/>
        </w:rPr>
        <w:t>理财产品收益</w:t>
      </w:r>
      <w:r>
        <w:rPr>
          <w:rFonts w:hAnsi="宋体"/>
          <w:color w:val="auto"/>
          <w:sz w:val="18"/>
          <w:szCs w:val="18"/>
        </w:rPr>
        <w:t>等于零时，当日投资</w:t>
      </w:r>
      <w:r>
        <w:rPr>
          <w:rFonts w:hint="eastAsia" w:hAnsi="宋体"/>
          <w:color w:val="auto"/>
          <w:sz w:val="18"/>
          <w:szCs w:val="18"/>
        </w:rPr>
        <w:t>者</w:t>
      </w:r>
      <w:r>
        <w:rPr>
          <w:rFonts w:hAnsi="宋体"/>
          <w:color w:val="auto"/>
          <w:sz w:val="18"/>
          <w:szCs w:val="18"/>
        </w:rPr>
        <w:t>不记收益</w:t>
      </w:r>
      <w:r>
        <w:rPr>
          <w:rFonts w:hint="eastAsia" w:hAnsi="宋体"/>
          <w:color w:val="auto"/>
          <w:sz w:val="18"/>
          <w:szCs w:val="18"/>
        </w:rPr>
        <w:t>。</w:t>
      </w:r>
    </w:p>
    <w:p>
      <w:pPr>
        <w:pStyle w:val="12"/>
        <w:spacing w:line="360" w:lineRule="auto"/>
        <w:ind w:firstLine="360" w:firstLineChars="200"/>
        <w:rPr>
          <w:rFonts w:hAnsi="宋体"/>
          <w:color w:val="auto"/>
          <w:sz w:val="18"/>
          <w:szCs w:val="18"/>
        </w:rPr>
      </w:pPr>
      <w:r>
        <w:rPr>
          <w:rFonts w:hint="eastAsia" w:hAnsi="宋体"/>
          <w:color w:val="auto"/>
          <w:sz w:val="18"/>
          <w:szCs w:val="18"/>
        </w:rPr>
        <w:t>（5）</w:t>
      </w:r>
      <w:r>
        <w:rPr>
          <w:rFonts w:hAnsi="宋体"/>
          <w:color w:val="auto"/>
          <w:sz w:val="18"/>
          <w:szCs w:val="18"/>
        </w:rPr>
        <w:t>本产品每日进行收益计算并分配时，</w:t>
      </w:r>
      <w:r>
        <w:rPr>
          <w:rFonts w:hint="eastAsia" w:asciiTheme="majorEastAsia" w:hAnsiTheme="majorEastAsia" w:eastAsiaTheme="majorEastAsia"/>
          <w:bCs/>
          <w:color w:val="auto"/>
          <w:sz w:val="18"/>
          <w:szCs w:val="18"/>
        </w:rPr>
        <w:t>产品管理人</w:t>
      </w:r>
      <w:r>
        <w:rPr>
          <w:rFonts w:hint="eastAsia" w:hAnsi="宋体"/>
          <w:color w:val="auto"/>
          <w:sz w:val="18"/>
          <w:szCs w:val="18"/>
        </w:rPr>
        <w:t>根据每日理财收益情况，以每万份理财收益为基准，为投资人每日计算当日收益并分配，且每日进行支付，</w:t>
      </w:r>
      <w:r>
        <w:rPr>
          <w:rFonts w:hAnsi="宋体"/>
          <w:color w:val="auto"/>
          <w:sz w:val="18"/>
          <w:szCs w:val="18"/>
        </w:rPr>
        <w:t>支付方式只采用红利再投资</w:t>
      </w:r>
      <w:r>
        <w:rPr>
          <w:rFonts w:hint="eastAsia" w:hAnsi="宋体"/>
          <w:color w:val="auto"/>
          <w:sz w:val="18"/>
          <w:szCs w:val="18"/>
        </w:rPr>
        <w:t>（</w:t>
      </w:r>
      <w:r>
        <w:rPr>
          <w:rFonts w:hAnsi="宋体"/>
          <w:color w:val="auto"/>
          <w:sz w:val="18"/>
          <w:szCs w:val="18"/>
        </w:rPr>
        <w:t>即红利转产品份额</w:t>
      </w:r>
      <w:r>
        <w:rPr>
          <w:rFonts w:hint="eastAsia" w:hAnsi="宋体"/>
          <w:color w:val="auto"/>
          <w:sz w:val="18"/>
          <w:szCs w:val="18"/>
        </w:rPr>
        <w:t>）</w:t>
      </w:r>
      <w:r>
        <w:rPr>
          <w:rFonts w:hAnsi="宋体"/>
          <w:color w:val="auto"/>
          <w:sz w:val="18"/>
          <w:szCs w:val="18"/>
        </w:rPr>
        <w:t>方式，</w:t>
      </w:r>
      <w:r>
        <w:rPr>
          <w:rFonts w:hint="eastAsia" w:hAnsi="宋体"/>
          <w:color w:val="auto"/>
          <w:sz w:val="18"/>
          <w:szCs w:val="18"/>
        </w:rPr>
        <w:t>收益按日结转份额，</w:t>
      </w:r>
      <w:r>
        <w:rPr>
          <w:rFonts w:hAnsi="宋体"/>
          <w:color w:val="auto"/>
          <w:sz w:val="18"/>
          <w:szCs w:val="18"/>
        </w:rPr>
        <w:t>投资</w:t>
      </w:r>
      <w:r>
        <w:rPr>
          <w:rFonts w:hint="eastAsia" w:hAnsi="宋体"/>
          <w:color w:val="auto"/>
          <w:sz w:val="18"/>
          <w:szCs w:val="18"/>
        </w:rPr>
        <w:t>者</w:t>
      </w:r>
      <w:r>
        <w:rPr>
          <w:rFonts w:hAnsi="宋体"/>
          <w:color w:val="auto"/>
          <w:sz w:val="18"/>
          <w:szCs w:val="18"/>
        </w:rPr>
        <w:t>可通过赎回理财产品份额获得现金收益；在当日收益支付时，若</w:t>
      </w:r>
      <w:r>
        <w:rPr>
          <w:rFonts w:hint="eastAsia" w:hAnsi="宋体"/>
          <w:color w:val="auto"/>
          <w:sz w:val="18"/>
          <w:szCs w:val="18"/>
        </w:rPr>
        <w:t>当日净收益</w:t>
      </w:r>
      <w:r>
        <w:rPr>
          <w:rFonts w:hAnsi="宋体"/>
          <w:color w:val="auto"/>
          <w:sz w:val="18"/>
          <w:szCs w:val="18"/>
        </w:rPr>
        <w:t>大于零时，则增加投资</w:t>
      </w:r>
      <w:r>
        <w:rPr>
          <w:rFonts w:hint="eastAsia" w:hAnsi="宋体"/>
          <w:color w:val="auto"/>
          <w:sz w:val="18"/>
          <w:szCs w:val="18"/>
        </w:rPr>
        <w:t>者产品</w:t>
      </w:r>
      <w:r>
        <w:rPr>
          <w:rFonts w:hAnsi="宋体"/>
          <w:color w:val="auto"/>
          <w:sz w:val="18"/>
          <w:szCs w:val="18"/>
        </w:rPr>
        <w:t>份额；若当日净收益等于零时，则保持投资</w:t>
      </w:r>
      <w:r>
        <w:rPr>
          <w:rFonts w:hint="eastAsia" w:hAnsi="宋体"/>
          <w:color w:val="auto"/>
          <w:sz w:val="18"/>
          <w:szCs w:val="18"/>
        </w:rPr>
        <w:t>者产品</w:t>
      </w:r>
      <w:r>
        <w:rPr>
          <w:rFonts w:hAnsi="宋体"/>
          <w:color w:val="auto"/>
          <w:sz w:val="18"/>
          <w:szCs w:val="18"/>
        </w:rPr>
        <w:t>份额不变；</w:t>
      </w:r>
      <w:r>
        <w:rPr>
          <w:rFonts w:hint="eastAsia" w:hAnsi="宋体"/>
          <w:color w:val="auto"/>
          <w:sz w:val="18"/>
          <w:szCs w:val="18"/>
        </w:rPr>
        <w:t>产品管理人</w:t>
      </w:r>
      <w:r>
        <w:rPr>
          <w:rFonts w:hAnsi="宋体"/>
          <w:color w:val="auto"/>
          <w:sz w:val="18"/>
          <w:szCs w:val="18"/>
        </w:rPr>
        <w:t>将采取必要措施尽量避免产品净收益小于零，若当日净收益小于零时，</w:t>
      </w:r>
      <w:r>
        <w:rPr>
          <w:rFonts w:hint="eastAsia" w:hAnsi="宋体"/>
          <w:color w:val="auto"/>
          <w:sz w:val="18"/>
          <w:szCs w:val="18"/>
        </w:rPr>
        <w:t>则</w:t>
      </w:r>
      <w:r>
        <w:rPr>
          <w:rFonts w:hAnsi="宋体"/>
          <w:color w:val="auto"/>
          <w:sz w:val="18"/>
          <w:szCs w:val="18"/>
        </w:rPr>
        <w:t>缩减投资</w:t>
      </w:r>
      <w:r>
        <w:rPr>
          <w:rFonts w:hint="eastAsia" w:hAnsi="宋体"/>
          <w:color w:val="auto"/>
          <w:sz w:val="18"/>
          <w:szCs w:val="18"/>
        </w:rPr>
        <w:t>者</w:t>
      </w:r>
      <w:r>
        <w:rPr>
          <w:rFonts w:hAnsi="宋体"/>
          <w:color w:val="auto"/>
          <w:sz w:val="18"/>
          <w:szCs w:val="18"/>
        </w:rPr>
        <w:t>产品份额</w:t>
      </w:r>
      <w:r>
        <w:rPr>
          <w:rFonts w:hint="eastAsia" w:hAnsi="宋体"/>
          <w:color w:val="auto"/>
          <w:sz w:val="18"/>
          <w:szCs w:val="18"/>
        </w:rPr>
        <w:t>。</w:t>
      </w:r>
    </w:p>
    <w:p>
      <w:pPr>
        <w:autoSpaceDE w:val="0"/>
        <w:autoSpaceDN w:val="0"/>
        <w:adjustRightInd w:val="0"/>
        <w:spacing w:line="360" w:lineRule="auto"/>
        <w:ind w:firstLine="360" w:firstLineChars="200"/>
        <w:jc w:val="left"/>
        <w:rPr>
          <w:rFonts w:ascii="宋体" w:hAnsi="宋体"/>
          <w:sz w:val="18"/>
          <w:szCs w:val="18"/>
        </w:rPr>
      </w:pPr>
      <w:r>
        <w:rPr>
          <w:rFonts w:hint="eastAsia" w:ascii="宋体" w:hAnsi="宋体"/>
          <w:bCs/>
          <w:sz w:val="18"/>
          <w:szCs w:val="18"/>
        </w:rPr>
        <w:t>（6）</w:t>
      </w:r>
      <w:r>
        <w:rPr>
          <w:rFonts w:ascii="宋体" w:hAnsi="宋体"/>
          <w:bCs/>
          <w:sz w:val="18"/>
          <w:szCs w:val="18"/>
        </w:rPr>
        <w:t>申购的</w:t>
      </w:r>
      <w:r>
        <w:rPr>
          <w:rFonts w:hint="eastAsia" w:ascii="宋体" w:hAnsi="宋体"/>
          <w:bCs/>
          <w:sz w:val="18"/>
          <w:szCs w:val="18"/>
        </w:rPr>
        <w:t>理财产品</w:t>
      </w:r>
      <w:r>
        <w:rPr>
          <w:rFonts w:ascii="宋体" w:hAnsi="宋体"/>
          <w:bCs/>
          <w:sz w:val="18"/>
          <w:szCs w:val="18"/>
        </w:rPr>
        <w:t>份额自申购确认之日起，享有</w:t>
      </w:r>
      <w:r>
        <w:rPr>
          <w:rFonts w:hint="eastAsia" w:ascii="宋体" w:hAnsi="宋体"/>
          <w:bCs/>
          <w:sz w:val="18"/>
          <w:szCs w:val="18"/>
        </w:rPr>
        <w:t>产品</w:t>
      </w:r>
      <w:r>
        <w:rPr>
          <w:rFonts w:ascii="宋体" w:hAnsi="宋体"/>
          <w:bCs/>
          <w:sz w:val="18"/>
          <w:szCs w:val="18"/>
        </w:rPr>
        <w:t>的收益分配权益；赎回的</w:t>
      </w:r>
      <w:r>
        <w:rPr>
          <w:rFonts w:hint="eastAsia" w:ascii="宋体" w:hAnsi="宋体"/>
          <w:bCs/>
          <w:sz w:val="18"/>
          <w:szCs w:val="18"/>
        </w:rPr>
        <w:t>理财产品</w:t>
      </w:r>
      <w:r>
        <w:rPr>
          <w:rFonts w:ascii="宋体" w:hAnsi="宋体"/>
          <w:bCs/>
          <w:sz w:val="18"/>
          <w:szCs w:val="18"/>
        </w:rPr>
        <w:t>份额自赎回确认之日起，不享有</w:t>
      </w:r>
      <w:r>
        <w:rPr>
          <w:rFonts w:hint="eastAsia" w:ascii="宋体" w:hAnsi="宋体"/>
          <w:bCs/>
          <w:sz w:val="18"/>
          <w:szCs w:val="18"/>
        </w:rPr>
        <w:t>产品</w:t>
      </w:r>
      <w:r>
        <w:rPr>
          <w:rFonts w:ascii="宋体" w:hAnsi="宋体"/>
          <w:bCs/>
          <w:sz w:val="18"/>
          <w:szCs w:val="18"/>
        </w:rPr>
        <w:t>的收益分配权益</w:t>
      </w:r>
      <w:r>
        <w:rPr>
          <w:rFonts w:hint="eastAsia" w:ascii="宋体" w:hAnsi="宋体"/>
          <w:bCs/>
          <w:sz w:val="18"/>
          <w:szCs w:val="18"/>
        </w:rPr>
        <w:t>。</w:t>
      </w:r>
    </w:p>
    <w:p>
      <w:pPr>
        <w:pStyle w:val="12"/>
        <w:spacing w:line="360" w:lineRule="auto"/>
        <w:ind w:firstLine="270" w:firstLineChars="150"/>
        <w:rPr>
          <w:rFonts w:hAnsi="宋体"/>
          <w:color w:val="auto"/>
          <w:sz w:val="18"/>
          <w:szCs w:val="18"/>
        </w:rPr>
      </w:pPr>
      <w:r>
        <w:rPr>
          <w:rFonts w:hAnsi="宋体"/>
          <w:color w:val="auto"/>
          <w:sz w:val="18"/>
          <w:szCs w:val="18"/>
        </w:rPr>
        <w:t>2</w:t>
      </w:r>
      <w:r>
        <w:rPr>
          <w:rFonts w:hint="eastAsia" w:hAnsi="宋体"/>
          <w:color w:val="auto"/>
          <w:sz w:val="18"/>
          <w:szCs w:val="18"/>
        </w:rPr>
        <w:t>.</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本产品利益</w:t>
      </w:r>
      <w:r>
        <w:rPr>
          <w:rFonts w:hAnsi="宋体"/>
          <w:color w:val="auto"/>
          <w:sz w:val="18"/>
          <w:szCs w:val="18"/>
        </w:rPr>
        <w:t>的分配原则和支付方式</w:t>
      </w:r>
      <w:r>
        <w:rPr>
          <w:rFonts w:hint="eastAsia" w:hAnsi="宋体"/>
          <w:color w:val="auto"/>
          <w:sz w:val="18"/>
          <w:szCs w:val="18"/>
        </w:rPr>
        <w:t>。法律法规或监管机构另有规定的从其规定。</w:t>
      </w:r>
    </w:p>
    <w:p>
      <w:pPr>
        <w:pStyle w:val="12"/>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12"/>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12"/>
        <w:spacing w:line="360" w:lineRule="auto"/>
        <w:ind w:firstLine="360" w:firstLineChars="200"/>
        <w:rPr>
          <w:rFonts w:hAnsi="宋体"/>
          <w:color w:val="auto"/>
          <w:sz w:val="18"/>
          <w:szCs w:val="18"/>
        </w:rPr>
      </w:pPr>
      <w:r>
        <w:rPr>
          <w:rFonts w:hint="eastAsia" w:hAnsi="宋体"/>
          <w:color w:val="auto"/>
          <w:sz w:val="18"/>
          <w:szCs w:val="18"/>
        </w:rPr>
        <w:t>（1）本产品的分配时点采取“期间分配”和“终止分配”。</w:t>
      </w:r>
    </w:p>
    <w:p>
      <w:pPr>
        <w:pStyle w:val="12"/>
        <w:spacing w:line="360" w:lineRule="auto"/>
        <w:ind w:firstLine="360" w:firstLineChars="200"/>
        <w:rPr>
          <w:rFonts w:hAnsi="宋体"/>
          <w:color w:val="auto"/>
          <w:sz w:val="18"/>
          <w:szCs w:val="18"/>
        </w:rPr>
      </w:pPr>
      <w:r>
        <w:rPr>
          <w:rFonts w:hint="eastAsia" w:hAnsi="宋体"/>
          <w:color w:val="auto"/>
          <w:sz w:val="18"/>
          <w:szCs w:val="18"/>
        </w:rPr>
        <w:t>（2）本产品的分配方式采取“现金分配”和“非现金分配”。</w:t>
      </w:r>
    </w:p>
    <w:p>
      <w:pPr>
        <w:pStyle w:val="12"/>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12"/>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本产品每日进行收益分配。每个开放日公告前一个开放日每万份理财收益和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日年化收益率。若遇法定节假日，应于节假日结束后第一个工作日，披露节假日期间的每万份理财收益和</w:t>
      </w: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日年化收益率。法律法规另有规定的，从其规定。</w:t>
      </w:r>
    </w:p>
    <w:p>
      <w:pPr>
        <w:pStyle w:val="12"/>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该收益仅供客户购买时决策参考，并不代表该理财产品未来的表现，也不构成产品管理人对本产品收益的任何承诺或保证。</w:t>
      </w:r>
    </w:p>
    <w:p>
      <w:pPr>
        <w:pStyle w:val="12"/>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本产品根据每日收益情况，以产品实际收益为基准，每日为投资者计提当日理财收益，每日结转份额(如遇节假日顺延)，每日例行的份额结转不再另行公告。</w:t>
      </w:r>
    </w:p>
    <w:p>
      <w:pPr>
        <w:pStyle w:val="12"/>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如发生需要</w:t>
      </w:r>
      <w:r>
        <w:rPr>
          <w:rFonts w:hint="eastAsia" w:hAnsi="宋体"/>
          <w:color w:val="auto"/>
          <w:sz w:val="18"/>
          <w:szCs w:val="18"/>
        </w:rPr>
        <w:t>延期</w:t>
      </w:r>
      <w:r>
        <w:rPr>
          <w:rFonts w:hAnsi="宋体"/>
          <w:color w:val="auto"/>
          <w:sz w:val="18"/>
          <w:szCs w:val="18"/>
        </w:rPr>
        <w:t>分配的特殊情况，产品管理人将对</w:t>
      </w:r>
      <w:r>
        <w:rPr>
          <w:rFonts w:hint="eastAsia" w:hAnsi="宋体"/>
          <w:color w:val="auto"/>
          <w:sz w:val="18"/>
          <w:szCs w:val="18"/>
        </w:rPr>
        <w:t>延期</w:t>
      </w:r>
      <w:r>
        <w:rPr>
          <w:rFonts w:hAnsi="宋体"/>
          <w:color w:val="auto"/>
          <w:sz w:val="18"/>
          <w:szCs w:val="18"/>
        </w:rPr>
        <w:t xml:space="preserve">分配的情况进行公告。 </w:t>
      </w:r>
    </w:p>
    <w:p>
      <w:pPr>
        <w:pStyle w:val="12"/>
        <w:spacing w:line="360" w:lineRule="auto"/>
        <w:ind w:firstLine="360" w:firstLineChars="200"/>
        <w:rPr>
          <w:rFonts w:hAnsi="宋体"/>
          <w:color w:val="auto"/>
          <w:sz w:val="18"/>
          <w:szCs w:val="18"/>
        </w:rPr>
      </w:pPr>
    </w:p>
    <w:p>
      <w:pPr>
        <w:widowControl/>
        <w:spacing w:line="360" w:lineRule="auto"/>
        <w:jc w:val="left"/>
        <w:rPr>
          <w:rFonts w:ascii="宋体" w:hAnsi="宋体"/>
          <w:kern w:val="0"/>
          <w:sz w:val="18"/>
          <w:szCs w:val="18"/>
        </w:rPr>
      </w:pPr>
      <w:r>
        <w:rPr>
          <w:rFonts w:hAnsi="宋体"/>
          <w:sz w:val="18"/>
          <w:szCs w:val="18"/>
        </w:rPr>
        <w:br w:type="page"/>
      </w:r>
    </w:p>
    <w:bookmarkEnd w:id="93"/>
    <w:bookmarkEnd w:id="94"/>
    <w:bookmarkEnd w:id="95"/>
    <w:bookmarkEnd w:id="96"/>
    <w:p>
      <w:pPr>
        <w:pStyle w:val="2"/>
        <w:spacing w:before="0" w:after="0" w:line="360" w:lineRule="auto"/>
        <w:jc w:val="center"/>
        <w:rPr>
          <w:rFonts w:ascii="Times New Roman"/>
          <w:sz w:val="30"/>
        </w:rPr>
      </w:pPr>
      <w:bookmarkStart w:id="97" w:name="_Hlt88825574"/>
      <w:bookmarkEnd w:id="97"/>
      <w:bookmarkStart w:id="98" w:name="_Hlt88897298"/>
      <w:bookmarkEnd w:id="98"/>
      <w:bookmarkStart w:id="99" w:name="_Toc74065745"/>
      <w:bookmarkStart w:id="100" w:name="_Toc10650"/>
      <w:bookmarkStart w:id="101" w:name="_Toc4559"/>
      <w:bookmarkStart w:id="102" w:name="_Toc25783"/>
      <w:bookmarkStart w:id="103" w:name="_Toc139991738"/>
      <w:bookmarkStart w:id="104" w:name="_Toc176189286"/>
      <w:bookmarkStart w:id="105" w:name="_Toc79154672"/>
      <w:bookmarkStart w:id="106" w:name="_Toc98560354"/>
      <w:bookmarkStart w:id="107" w:name="_Toc141703888"/>
      <w:bookmarkStart w:id="108" w:name="_Toc6447"/>
      <w:bookmarkStart w:id="109" w:name="_Toc27112"/>
      <w:bookmarkStart w:id="110" w:name="_Toc3321"/>
      <w:bookmarkStart w:id="111" w:name="_Toc3771"/>
      <w:bookmarkStart w:id="112" w:name="_Toc79392583"/>
      <w:bookmarkStart w:id="113" w:name="_Toc7058"/>
      <w:bookmarkStart w:id="114" w:name="_Toc18567"/>
      <w:bookmarkStart w:id="115" w:name="_Toc123112236"/>
      <w:bookmarkStart w:id="116" w:name="_Toc123051454"/>
      <w:bookmarkStart w:id="117" w:name="_Toc9706"/>
      <w:bookmarkStart w:id="118" w:name="_Toc11030"/>
      <w:bookmarkStart w:id="119" w:name="_Toc123102455"/>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bCs/>
          <w:sz w:val="18"/>
          <w:szCs w:val="18"/>
        </w:rPr>
      </w:pPr>
      <w:r>
        <w:rPr>
          <w:rFonts w:ascii="宋体" w:hAnsi="宋体"/>
          <w:kern w:val="0"/>
          <w:sz w:val="18"/>
          <w:szCs w:val="18"/>
        </w:rPr>
        <w:t>4）强制赎回费用</w:t>
      </w:r>
      <w:r>
        <w:rPr>
          <w:rFonts w:hint="eastAsia" w:ascii="宋体" w:hAnsi="宋体"/>
          <w:kern w:val="0"/>
          <w:sz w:val="18"/>
          <w:szCs w:val="18"/>
        </w:rPr>
        <w:t>：</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r>
        <w:rPr>
          <w:rFonts w:hint="eastAsia"/>
          <w:bCs/>
          <w:sz w:val="18"/>
          <w:szCs w:val="18"/>
        </w:rPr>
        <w:t>。</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（2）理财产品的销售服务费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本产品的销售服务费按当日理财产品的份额与销售服务费每日费率每日计提。销售服务费的计算方法如下：</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H＝E×销售服务费年费率÷365</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H为每日应计提的销售服务费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E为当日理财产品的份额</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销售服务费依照上述约定，从理财财产中支付。费率具体数值以《产品说明书》“第二条 理财产品基本情况”为准。</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（3）理财产品的投资管理费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本产品的投资管理费按当日理财产品的份额与投资管理费每日费率每日计提。投资管理费的计算方法如下：</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H＝E×投资管理费年费率÷365</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H为每日应计提的产品投资管理费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E为当日理财产品的份额</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投资管理费依照上述约定，从理财财产中支付。费率具体数值以《产品说明书》“第二条 理财产品基本情况”为准。</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（4）超额业绩报酬</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本产品不收取超额业绩报酬。</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（5）理财产品的产品托管费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本产品的产品托管费按当日理财产品的份额与产品托管费每日费率每日计提。产品托管费的计算方法如下：</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H＝E×产品托管费年费率÷365</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H为每日应计提的产品托管费</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r>
        <w:rPr>
          <w:rFonts w:hint="eastAsia" w:ascii="宋体" w:hAnsi="宋体"/>
          <w:sz w:val="18"/>
          <w:szCs w:val="18"/>
        </w:rPr>
        <w:t>E为当日理财产品的份额</w:t>
      </w: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hint="eastAsia" w:ascii="宋体" w:hAnsi="宋体"/>
          <w:sz w:val="18"/>
          <w:szCs w:val="18"/>
        </w:rPr>
      </w:pPr>
    </w:p>
    <w:p>
      <w:pPr>
        <w:keepNext w:val="0"/>
        <w:keepLines w:val="0"/>
        <w:pageBreakBefore w:val="0"/>
        <w:widowControl/>
        <w:kinsoku/>
        <w:wordWrap/>
        <w:overflowPunct/>
        <w:topLinePunct w:val="0"/>
        <w:autoSpaceDE/>
        <w:autoSpaceDN/>
        <w:bidi w:val="0"/>
        <w:adjustRightInd/>
        <w:snapToGrid/>
        <w:spacing w:line="360" w:lineRule="exact"/>
        <w:ind w:firstLine="360" w:firstLineChars="200"/>
        <w:jc w:val="both"/>
        <w:textAlignment w:val="auto"/>
        <w:rPr>
          <w:rFonts w:ascii="宋体" w:hAnsi="宋体"/>
          <w:sz w:val="18"/>
          <w:szCs w:val="18"/>
        </w:rPr>
      </w:pPr>
      <w:r>
        <w:rPr>
          <w:rFonts w:hint="eastAsia" w:ascii="宋体" w:hAnsi="宋体"/>
          <w:sz w:val="18"/>
          <w:szCs w:val="18"/>
        </w:rPr>
        <w:t>产品托管费依照上述约定，从理财财产中支付。费率具体数值以《产品说明书》“第二条 理财产品基本情况”为准。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12"/>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12"/>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12"/>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12"/>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20" w:name="_Toc3963"/>
      <w:bookmarkStart w:id="121" w:name="_Toc1745"/>
      <w:r>
        <w:br w:type="page"/>
      </w:r>
      <w:bookmarkStart w:id="122" w:name="_Toc725"/>
      <w:bookmarkStart w:id="123" w:name="_Toc123102456"/>
      <w:bookmarkStart w:id="124" w:name="_Toc18206"/>
      <w:bookmarkStart w:id="125" w:name="_Toc16164"/>
      <w:bookmarkStart w:id="126" w:name="_Toc141703889"/>
      <w:bookmarkStart w:id="127" w:name="_Toc31821"/>
      <w:bookmarkStart w:id="128" w:name="_Toc98560355"/>
      <w:bookmarkStart w:id="129" w:name="_Toc10398"/>
      <w:bookmarkStart w:id="130" w:name="_Toc176189287"/>
      <w:bookmarkStart w:id="131" w:name="_Toc123112237"/>
      <w:bookmarkStart w:id="132" w:name="_Toc79154673"/>
      <w:bookmarkStart w:id="133" w:name="_Toc3080"/>
      <w:bookmarkStart w:id="134" w:name="_Toc21735"/>
      <w:bookmarkStart w:id="135" w:name="_Toc3572"/>
      <w:bookmarkStart w:id="136" w:name="_Toc18383"/>
      <w:bookmarkStart w:id="137" w:name="_Toc139991739"/>
      <w:bookmarkStart w:id="138" w:name="_Toc123051455"/>
      <w:bookmarkStart w:id="139" w:name="_Toc74065746"/>
      <w:r>
        <w:rPr>
          <w:rFonts w:hint="eastAsia"/>
          <w:sz w:val="30"/>
        </w:rPr>
        <w:t>第十条</w:t>
      </w:r>
      <w:r>
        <w:rPr>
          <w:sz w:val="30"/>
        </w:rPr>
        <w:t xml:space="preserve">  </w:t>
      </w:r>
      <w:r>
        <w:rPr>
          <w:rFonts w:hint="eastAsia"/>
          <w:sz w:val="30"/>
        </w:rPr>
        <w:t>理财产品的终止与清算</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spacing w:line="360" w:lineRule="auto"/>
        <w:ind w:firstLine="361" w:firstLineChars="200"/>
        <w:rPr>
          <w:rFonts w:asciiTheme="majorEastAsia" w:hAnsiTheme="majorEastAsia" w:eastAsiaTheme="majorEastAsia"/>
          <w:b/>
          <w:bCs/>
          <w:sz w:val="18"/>
          <w:szCs w:val="18"/>
        </w:rPr>
      </w:pPr>
      <w:bookmarkStart w:id="140" w:name="_Toc15118245"/>
      <w:bookmarkStart w:id="141" w:name="_Toc57530252"/>
      <w:bookmarkStart w:id="14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40"/>
    <w:bookmarkEnd w:id="141"/>
    <w:bookmarkEnd w:id="142"/>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30"/>
        </w:rPr>
      </w:pPr>
      <w:r>
        <w:rPr>
          <w:rFonts w:ascii="Times New Roman"/>
          <w:b w:val="0"/>
          <w:bCs w:val="0"/>
          <w:kern w:val="2"/>
        </w:rPr>
        <w:br w:type="page"/>
      </w:r>
      <w:bookmarkStart w:id="143" w:name="_Toc48649708"/>
      <w:bookmarkStart w:id="144" w:name="_Toc3329"/>
      <w:bookmarkStart w:id="145" w:name="_Toc8791"/>
      <w:bookmarkStart w:id="146" w:name="_Toc29408"/>
      <w:bookmarkStart w:id="147" w:name="_Toc123102457"/>
      <w:bookmarkStart w:id="148" w:name="_Toc5170"/>
      <w:bookmarkStart w:id="149" w:name="_Toc17198"/>
      <w:bookmarkStart w:id="150" w:name="_Toc739"/>
      <w:bookmarkStart w:id="151" w:name="_Toc74065747"/>
      <w:bookmarkStart w:id="152" w:name="_Toc123051456"/>
      <w:bookmarkStart w:id="153" w:name="_Toc32092"/>
      <w:bookmarkStart w:id="154" w:name="_Toc98560356"/>
      <w:bookmarkStart w:id="155" w:name="_Toc32584"/>
      <w:bookmarkStart w:id="156" w:name="_Toc141703890"/>
      <w:bookmarkStart w:id="157" w:name="_Toc26192"/>
      <w:bookmarkStart w:id="158" w:name="_Toc79154674"/>
      <w:bookmarkStart w:id="159" w:name="_Toc139991740"/>
      <w:bookmarkStart w:id="160" w:name="_Toc17920"/>
      <w:bookmarkStart w:id="161" w:name="_Toc123112238"/>
      <w:bookmarkStart w:id="162" w:name="_Toc176189288"/>
      <w:bookmarkStart w:id="163" w:name="_Toc21237"/>
      <w:bookmarkStart w:id="164" w:name="_Toc79392622"/>
      <w:r>
        <w:rPr>
          <w:rFonts w:ascii="Times New Roman"/>
          <w:sz w:val="30"/>
        </w:rPr>
        <w:t>第十</w:t>
      </w:r>
      <w:r>
        <w:rPr>
          <w:rFonts w:hint="eastAsia" w:ascii="Times New Roman"/>
          <w:sz w:val="30"/>
        </w:rPr>
        <w:t>一条</w:t>
      </w:r>
      <w:r>
        <w:rPr>
          <w:rFonts w:ascii="Times New Roman"/>
          <w:sz w:val="30"/>
        </w:rPr>
        <w:t xml:space="preserve">  </w:t>
      </w:r>
      <w:r>
        <w:rPr>
          <w:rFonts w:hint="eastAsia" w:ascii="Times New Roman"/>
          <w:sz w:val="30"/>
        </w:rPr>
        <w:t>理财产品的信息披露</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pPr>
        <w:spacing w:line="360" w:lineRule="auto"/>
        <w:ind w:firstLine="361" w:firstLineChars="200"/>
        <w:rPr>
          <w:rFonts w:ascii="宋体" w:hAnsi="宋体"/>
          <w:b/>
          <w:bCs/>
          <w:sz w:val="18"/>
          <w:szCs w:val="18"/>
        </w:rPr>
      </w:pPr>
      <w:bookmarkStart w:id="165" w:name="_Toc85201647"/>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本理财产品认购期和存续期间，产品管理人将通过产品管理人或销售机构的信息披露渠道开展理财产品的信息披露工作。请</w:t>
      </w:r>
      <w:r>
        <w:rPr>
          <w:rFonts w:ascii="宋体" w:hAnsi="宋体"/>
          <w:bCs/>
          <w:sz w:val="18"/>
          <w:szCs w:val="18"/>
        </w:rPr>
        <w:t>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投资者应定期通过约定的信息披露渠道获知有关理财产品相关信息。以上相关信息自披露之日即视为已送达投资者，也视为产品管理人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.在保障投资者知情权的前提下，产品管理人保留变更信息披露渠道的权利。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w:t>
      </w:r>
      <w:r>
        <w:rPr>
          <w:rFonts w:hint="eastAsia" w:asciiTheme="minorEastAsia" w:hAnsiTheme="minorEastAsia"/>
          <w:bCs/>
          <w:sz w:val="18"/>
          <w:szCs w:val="18"/>
        </w:rPr>
        <w:t>每万份理财产品份额收益及</w:t>
      </w:r>
      <w:r>
        <w:rPr>
          <w:rFonts w:asciiTheme="minorEastAsia" w:hAnsiTheme="minorEastAsia"/>
          <w:bCs/>
          <w:sz w:val="18"/>
          <w:szCs w:val="18"/>
        </w:rPr>
        <w:t>7日年化收益率</w:t>
      </w:r>
      <w:r>
        <w:rPr>
          <w:rFonts w:hint="eastAsia" w:asciiTheme="minorEastAsia" w:hAnsiTheme="minorEastAsia"/>
          <w:bCs/>
          <w:sz w:val="18"/>
          <w:szCs w:val="18"/>
        </w:rPr>
        <w:t>、</w:t>
      </w:r>
      <w:r>
        <w:rPr>
          <w:rFonts w:asciiTheme="minorEastAsia" w:hAnsiTheme="minorEastAsia"/>
          <w:bCs/>
          <w:sz w:val="18"/>
          <w:szCs w:val="18"/>
        </w:rPr>
        <w:t>前</w:t>
      </w:r>
      <w:r>
        <w:rPr>
          <w:rFonts w:hint="eastAsia" w:asciiTheme="minorEastAsia" w:hAnsiTheme="minorEastAsia"/>
          <w:bCs/>
          <w:sz w:val="18"/>
          <w:szCs w:val="18"/>
        </w:rPr>
        <w:t>1</w:t>
      </w:r>
      <w:r>
        <w:rPr>
          <w:rFonts w:asciiTheme="minorEastAsia" w:hAnsiTheme="minorEastAsia"/>
          <w:bCs/>
          <w:sz w:val="18"/>
          <w:szCs w:val="18"/>
        </w:rPr>
        <w:t>0名投资者类别</w:t>
      </w:r>
      <w:r>
        <w:rPr>
          <w:rFonts w:hint="eastAsia" w:asciiTheme="minorEastAsia" w:hAnsiTheme="minorEastAsia"/>
          <w:bCs/>
          <w:sz w:val="18"/>
          <w:szCs w:val="18"/>
        </w:rPr>
        <w:t>和</w:t>
      </w:r>
      <w:r>
        <w:rPr>
          <w:rFonts w:asciiTheme="minorEastAsia" w:hAnsiTheme="minorEastAsia"/>
          <w:bCs/>
          <w:sz w:val="18"/>
          <w:szCs w:val="18"/>
        </w:rPr>
        <w:t>持有份额及</w:t>
      </w:r>
      <w:r>
        <w:rPr>
          <w:rFonts w:hint="eastAsia" w:asciiTheme="minorEastAsia" w:hAnsiTheme="minorEastAsia"/>
          <w:bCs/>
          <w:sz w:val="18"/>
          <w:szCs w:val="18"/>
        </w:rPr>
        <w:t>占总份额比例</w:t>
      </w:r>
      <w:r>
        <w:rPr>
          <w:rFonts w:hint="eastAsia" w:ascii="宋体" w:hAnsi="宋体"/>
          <w:bCs/>
          <w:sz w:val="18"/>
          <w:szCs w:val="18"/>
        </w:rPr>
        <w:t>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w:t>
      </w:r>
      <w:r>
        <w:rPr>
          <w:rFonts w:ascii="宋体" w:hAnsi="宋体"/>
          <w:bCs/>
          <w:sz w:val="18"/>
          <w:szCs w:val="18"/>
        </w:rPr>
        <w:t>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w:t>
      </w:r>
      <w:r>
        <w:rPr>
          <w:rFonts w:ascii="宋体" w:hAnsi="宋体"/>
          <w:bCs/>
          <w:sz w:val="18"/>
          <w:szCs w:val="18"/>
        </w:rPr>
        <w:t>重大事项公告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w:t>
      </w:r>
      <w:r>
        <w:rPr>
          <w:rFonts w:hint="eastAsia" w:ascii="宋体" w:hAnsi="宋体"/>
          <w:bCs/>
          <w:sz w:val="18"/>
          <w:szCs w:val="18"/>
        </w:rPr>
        <w:t>.</w:t>
      </w:r>
      <w:r>
        <w:rPr>
          <w:rFonts w:ascii="宋体" w:hAnsi="宋体"/>
          <w:bCs/>
          <w:sz w:val="18"/>
          <w:szCs w:val="18"/>
        </w:rPr>
        <w:t>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hint="eastAsia" w:ascii="宋体" w:hAnsi="宋体"/>
          <w:bCs/>
          <w:sz w:val="18"/>
          <w:szCs w:val="18"/>
        </w:rPr>
        <w:t>产品存续期间如出现单一投资者持有产品份额达到或者超过产品总份额20%的情形,为保障其他投资者的权益，管理人将在定期报告中披露该投资者的类别、持有份额及占比、持有份额变化情况及产品风险等信息，监管部门认定的特殊情形除外。</w:t>
      </w:r>
    </w:p>
    <w:p>
      <w:pPr>
        <w:spacing w:line="360" w:lineRule="auto"/>
        <w:ind w:firstLine="360" w:firstLineChars="200"/>
        <w:rPr>
          <w:rFonts w:ascii="宋体" w:hAnsi="宋体"/>
          <w:bCs/>
          <w:sz w:val="18"/>
          <w:szCs w:val="18"/>
        </w:rPr>
      </w:pPr>
      <w:r>
        <w:rPr>
          <w:rFonts w:ascii="宋体" w:hAnsi="宋体"/>
          <w:bCs/>
          <w:sz w:val="18"/>
          <w:szCs w:val="18"/>
        </w:rPr>
        <w:t>4</w:t>
      </w:r>
      <w:r>
        <w:rPr>
          <w:rFonts w:hint="eastAsia" w:ascii="宋体" w:hAnsi="宋体"/>
          <w:bCs/>
          <w:sz w:val="18"/>
          <w:szCs w:val="18"/>
        </w:rPr>
        <w:t>.</w:t>
      </w:r>
      <w:r>
        <w:rPr>
          <w:rFonts w:ascii="宋体" w:hAnsi="宋体"/>
          <w:bCs/>
          <w:sz w:val="18"/>
          <w:szCs w:val="18"/>
        </w:rPr>
        <w:t>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w:t>
      </w:r>
      <w:r>
        <w:rPr>
          <w:rFonts w:hint="eastAsia" w:ascii="宋体" w:hAnsi="宋体"/>
          <w:bCs/>
          <w:sz w:val="18"/>
          <w:szCs w:val="18"/>
        </w:rPr>
        <w:t>.</w:t>
      </w:r>
      <w:r>
        <w:rPr>
          <w:rFonts w:ascii="宋体" w:hAnsi="宋体"/>
          <w:bCs/>
          <w:sz w:val="18"/>
          <w:szCs w:val="18"/>
        </w:rPr>
        <w:t>开放日</w:t>
      </w:r>
      <w:r>
        <w:rPr>
          <w:rFonts w:hint="eastAsia" w:ascii="宋体" w:hAnsi="宋体"/>
          <w:bCs/>
          <w:sz w:val="18"/>
          <w:szCs w:val="18"/>
        </w:rPr>
        <w:t>/</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产品管理人在每个开放日公告前一个开放日每万份理财收益和</w:t>
      </w:r>
      <w:r>
        <w:rPr>
          <w:rFonts w:ascii="宋体" w:hAnsi="宋体"/>
          <w:bCs/>
          <w:sz w:val="18"/>
          <w:szCs w:val="18"/>
        </w:rPr>
        <w:t>7</w:t>
      </w:r>
      <w:r>
        <w:rPr>
          <w:rFonts w:hint="eastAsia" w:ascii="宋体" w:hAnsi="宋体"/>
          <w:bCs/>
          <w:sz w:val="18"/>
          <w:szCs w:val="18"/>
        </w:rPr>
        <w:t>日年化收益率。如遇法定节假日顺延。</w:t>
      </w:r>
    </w:p>
    <w:p>
      <w:pPr>
        <w:spacing w:line="360" w:lineRule="auto"/>
        <w:ind w:firstLine="360" w:firstLineChars="200"/>
        <w:rPr>
          <w:rFonts w:ascii="宋体" w:hAnsi="宋体"/>
          <w:bCs/>
          <w:sz w:val="18"/>
          <w:szCs w:val="18"/>
        </w:rPr>
      </w:pPr>
      <w:r>
        <w:rPr>
          <w:rFonts w:ascii="宋体" w:hAnsi="宋体"/>
          <w:bCs/>
          <w:sz w:val="18"/>
          <w:szCs w:val="18"/>
        </w:rPr>
        <w:t>6.临时公告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65"/>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66" w:name="_Toc20251"/>
      <w:bookmarkStart w:id="167" w:name="_Toc176189289"/>
      <w:bookmarkStart w:id="168" w:name="_Toc7915467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66"/>
      <w:bookmarkEnd w:id="167"/>
      <w:bookmarkEnd w:id="168"/>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448" w:firstLineChars="249"/>
        <w:rPr>
          <w:rFonts w:cs="仿宋_GB2312" w:asciiTheme="minorEastAsia" w:hAnsiTheme="minorEastAsia"/>
          <w:kern w:val="0"/>
          <w:sz w:val="18"/>
          <w:szCs w:val="18"/>
        </w:rPr>
      </w:pPr>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spacing w:line="360" w:lineRule="auto"/>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spacing w:line="360" w:lineRule="auto"/>
        <w:ind w:firstLine="448" w:firstLineChars="249"/>
        <w:rPr>
          <w:rFonts w:ascii="宋体" w:hAnsi="宋体"/>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r>
        <w:rPr>
          <w:rFonts w:hint="eastAsia" w:ascii="宋体" w:hAnsi="宋体"/>
          <w:sz w:val="18"/>
          <w:szCs w:val="18"/>
        </w:rPr>
        <w:t>】</w:t>
      </w:r>
    </w:p>
    <w:p>
      <w:pPr>
        <w:pStyle w:val="14"/>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sz w:val="18"/>
          <w:szCs w:val="18"/>
        </w:rPr>
        <w:t>。</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8"/>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hint="eastAsia"/>
                <w:sz w:val="18"/>
                <w:szCs w:val="18"/>
              </w:rPr>
              <w:t>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12"/>
        <w:spacing w:line="360" w:lineRule="auto"/>
        <w:rPr>
          <w:rFonts w:hAnsi="宋体"/>
          <w:sz w:val="18"/>
          <w:szCs w:val="18"/>
        </w:rPr>
      </w:pPr>
    </w:p>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4"/>
      <w:jc w:val="right"/>
    </w:pPr>
    <w:r>
      <w:rPr>
        <w:rFonts w:hint="eastAsia" w:ascii="Times New Roman" w:hAnsi="Times New Roman"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411566"/>
    <w:rsid w:val="1B412BE8"/>
    <w:rsid w:val="63411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widowControl/>
      <w:spacing w:after="100" w:line="276" w:lineRule="auto"/>
      <w:jc w:val="left"/>
    </w:pPr>
    <w:rPr>
      <w:kern w:val="0"/>
      <w:sz w:val="22"/>
    </w:rPr>
  </w:style>
  <w:style w:type="paragraph" w:styleId="6">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customStyle="1" w:styleId="1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2025-12-23T06:21:00Z</dcterms:created>
  <dc:creator>熊征斯</dc:creator>
  <cp:lastModifiedBy>熊征斯</cp:lastModifiedBy>
  <dcterms:modified xsi:type="dcterms:W3CDTF">2025-12-23T06:25:50Z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