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苏银理财恒源封闭纯债187期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恒源封闭纯债187期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苏银理财恒源封闭纯债187期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Z7003126000010，</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A份额：苏银理财恒源封闭纯债187期A/J12932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B份额：苏银理财恒源封闭纯债187期B/J12933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C份额：苏银理财恒源封闭纯债187期C/J12934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D份额：苏银理财恒源封闭纯债187期D/J12935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E份额：苏银理财恒源封闭纯债187期E/J12936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G份额：苏银理财恒源封闭纯债187期G/J12937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A/B/C/D/E份额：1元/0.01元的整数倍；G份额：10万元/1万元的整数倍。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13</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2026年1月21日，如管理人调整募集期，则产品成立日将相应调整，以管理人公告为准。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7</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24</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184</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2"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参考过往投资经验，依据近期货币市场工具、银行存款、存单、债券（含永续债）等资产投资收益水平，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A份额：2.03%；B份额：2.03%；C份额：1.98%；D份额：1.88%；E份额：1.80%；G份额：2.05%。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0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w:t>
            </w:r>
            <w:r>
              <w:rPr>
                <w:rFonts w:hint="eastAsia" w:ascii="楷体" w:hAnsi="楷体" w:eastAsia="楷体" w:cs="楷体"/>
                <w:color w:val="auto"/>
                <w:spacing w:val="-2"/>
                <w:sz w:val="18"/>
                <w:szCs w:val="18"/>
                <w:lang w:val="en-US" w:eastAsia="zh-CN"/>
              </w:rPr>
              <w:t>15</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B</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15</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20</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D</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30</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E</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35</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G</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15</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B</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D</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E</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13</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G</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08</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lang w:val="en-US" w:eastAsia="zh-CN"/>
        </w:rPr>
      </w:pPr>
      <w:r>
        <w:rPr>
          <w:rFonts w:hint="eastAsia" w:ascii="楷体" w:hAnsi="楷体" w:eastAsia="楷体" w:cs="楷体"/>
          <w:b w:val="0"/>
          <w:bCs w:val="0"/>
          <w:sz w:val="21"/>
          <w:szCs w:val="21"/>
          <w:highlight w:val="none"/>
          <w:u w:val="none"/>
          <w:lang w:val="en-US" w:eastAsia="zh-CN"/>
        </w:rPr>
        <w:t>A份额：江苏银行股份有限公司/宁夏银行股份有限公司/江苏洪泽农村商业银行股份有限公司/江苏金湖农村商业银行股份有限公司/江苏淮安农村商业银行股份有限公司/连云港东方农村商业银行股份有限公司/江苏沭阳农村商业银行股份有限公司/江苏泗阳农村商业银行股份有限公司/江苏盱眙农村商业银行股份有限公司/江苏泗洪农村商业银行股份有限公司/江苏启东农村商业银行股份有限公司/江苏海安农村商业银行股份有限公司/江苏民丰农村商业银行股份有限公司/江苏高淳农村商业银行股份有限公司/江苏赣榆农村商业银行股份有限公司/江苏建湖农村商业银行股份有限公司/浙江网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B份额：上海银行股份有限公司/甘肃银行股份有限公司/浙江网商银行股份有限公司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青岛银行股份有限公司/江苏张家港农村商业银行股份有限公司/兰州银行股份有限公司/江苏扬州农村商业银行股份有限公司/江苏江都农村商业银行股份有限公司/江苏紫金农村商业银行股份有限公司/江苏宜兴农村商业银行股份有限公司/江苏仪征农村商业银行股份有限公司/江苏太仓农村商业银行股份有限公司/威海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D份额：/北京农村商业银行股份有限公司/江苏苏州农村商业银行股份有限公司/九江银行股份有限公司/江苏东海农村商业银行股份有限公司/浙江网商银行股份有限公司/江苏常熟农村商业银行股份有限公司</w:t>
      </w:r>
      <w:bookmarkStart w:id="0" w:name="_GoBack"/>
      <w:bookmarkEnd w:id="0"/>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E份额：重庆农村商业银行股份有限公司</w:t>
      </w:r>
    </w:p>
    <w:p>
      <w:pPr>
        <w:numPr>
          <w:ilvl w:val="-1"/>
          <w:numId w:val="0"/>
        </w:numPr>
        <w:tabs>
          <w:tab w:val="left" w:pos="993"/>
        </w:tabs>
        <w:ind w:left="0" w:leftChars="0" w:firstLine="420" w:firstLineChars="200"/>
        <w:rPr>
          <w:rFonts w:hint="default"/>
          <w:lang w:val="en-US" w:eastAsia="zh-CN"/>
        </w:rPr>
      </w:pPr>
      <w:r>
        <w:rPr>
          <w:rFonts w:hint="eastAsia" w:ascii="楷体" w:hAnsi="楷体" w:eastAsia="楷体" w:cs="楷体"/>
          <w:b w:val="0"/>
          <w:bCs w:val="0"/>
          <w:sz w:val="21"/>
          <w:szCs w:val="21"/>
          <w:highlight w:val="none"/>
          <w:u w:val="none"/>
          <w:lang w:val="en-US" w:eastAsia="zh-CN"/>
        </w:rPr>
        <w:t>G份额：江苏银行股份有限公司/江苏扬州农村商业银行股份有限公司/连云港东方农村商业银行股份有限公司/江苏海安农村商业银行股份有限公司/江苏民丰农村商业银行股份有限公司/江苏高淳农村商业银行股份有限公司/江苏建湖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理财产品直接或间接投资于货币市场工具、银行存款、存单、债券（含永续债）和监管机构允许投资的其他标准化类资产。具体资产投资比例为：货币市场工具、银行存款、存单占产品资产总值比例为0-100%，债券以及符合监管要求的标准化类资产占产品资产总值比例为0-80%。</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lang w:eastAsia="zh-CN"/>
        </w:rPr>
      </w:pPr>
      <w:r>
        <w:rPr>
          <w:rFonts w:hint="eastAsia" w:ascii="楷体" w:hAnsi="楷体" w:eastAsia="楷体" w:cs="楷体"/>
          <w:sz w:val="21"/>
          <w:szCs w:val="21"/>
          <w:lang w:eastAsia="zh-CN"/>
        </w:rPr>
        <w:t>①</w:t>
      </w:r>
      <w:r>
        <w:rPr>
          <w:rFonts w:hint="eastAsia" w:ascii="楷体" w:hAnsi="楷体" w:eastAsia="楷体" w:cs="楷体"/>
          <w:sz w:val="21"/>
          <w:szCs w:val="21"/>
        </w:rPr>
        <w:t>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江苏省国际信托有限责任公司是经江苏省人民政府和中国银行业监督管理委员会批准设立的非银行金融机构，是江苏省国信集团的主要成员企业之一，专业从事金融信托业务。②创金合信基金管理有限公司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w:t>
      </w:r>
      <w:r>
        <w:rPr>
          <w:rFonts w:hint="eastAsia" w:ascii="楷体" w:hAnsi="楷体" w:eastAsia="楷体"/>
          <w:b w:val="0"/>
          <w:bCs w:val="0"/>
          <w:sz w:val="20"/>
          <w:szCs w:val="20"/>
        </w:rPr>
        <w:t>国投泰康信托有限公司</w:t>
      </w:r>
      <w:r>
        <w:rPr>
          <w:rFonts w:hint="eastAsia" w:ascii="楷体" w:hAnsi="楷体" w:eastAsia="楷体"/>
          <w:b w:val="0"/>
          <w:bCs w:val="0"/>
          <w:sz w:val="20"/>
          <w:szCs w:val="20"/>
          <w:lang w:eastAsia="zh-CN"/>
        </w:rPr>
        <w:t>：</w:t>
      </w:r>
      <w:r>
        <w:rPr>
          <w:rFonts w:hint="eastAsia" w:ascii="楷体" w:hAnsi="楷体" w:eastAsia="楷体"/>
          <w:b w:val="0"/>
          <w:bCs w:val="0"/>
          <w:sz w:val="20"/>
          <w:szCs w:val="20"/>
        </w:rPr>
        <w:t>国投泰康信托有限公司是国家开发投资集团有限公司下属的混合所有制非银行金融机构，成立于1986年8月26日，总部位于北京，企业性质为中央国有企业，注册资本为26.71亿元人民币</w:t>
      </w:r>
      <w:r>
        <w:rPr>
          <w:rFonts w:hint="eastAsia" w:ascii="楷体" w:hAnsi="楷体" w:eastAsia="楷体" w:cs="楷体"/>
          <w:sz w:val="21"/>
          <w:szCs w:val="21"/>
        </w:rPr>
        <w:t>。④</w:t>
      </w:r>
      <w:r>
        <w:rPr>
          <w:rFonts w:hint="eastAsia" w:ascii="楷体" w:hAnsi="楷体" w:eastAsia="楷体"/>
          <w:b w:val="0"/>
          <w:bCs w:val="0"/>
          <w:sz w:val="20"/>
          <w:szCs w:val="20"/>
        </w:rPr>
        <w:t>国联信托股份有限公司</w:t>
      </w:r>
      <w:r>
        <w:rPr>
          <w:rFonts w:hint="eastAsia" w:ascii="楷体" w:hAnsi="楷体" w:eastAsia="楷体" w:cs="楷体"/>
          <w:sz w:val="21"/>
          <w:szCs w:val="21"/>
          <w:lang w:eastAsia="zh-CN"/>
        </w:rPr>
        <w:t>：</w:t>
      </w:r>
      <w:r>
        <w:rPr>
          <w:rFonts w:hint="eastAsia" w:ascii="楷体" w:hAnsi="楷体" w:eastAsia="楷体"/>
          <w:b w:val="0"/>
          <w:bCs w:val="0"/>
          <w:sz w:val="20"/>
          <w:szCs w:val="20"/>
        </w:rPr>
        <w:t>国联信托股份有限公司是经中国银保监会批准设立的地方国有企业，成立于1987年1月13日，总部位于江苏省无锡市，注册资本为30亿元人民币</w:t>
      </w:r>
      <w:r>
        <w:rPr>
          <w:rFonts w:hint="eastAsia" w:ascii="楷体" w:hAnsi="楷体" w:eastAsia="楷体" w:cs="楷体"/>
          <w:sz w:val="21"/>
          <w:szCs w:val="21"/>
        </w:rPr>
        <w:t>。⑤</w:t>
      </w:r>
      <w:r>
        <w:rPr>
          <w:rFonts w:hint="eastAsia" w:ascii="楷体" w:hAnsi="楷体" w:eastAsia="楷体"/>
          <w:b w:val="0"/>
          <w:bCs w:val="0"/>
          <w:sz w:val="20"/>
          <w:szCs w:val="20"/>
        </w:rPr>
        <w:t>国联证券资产管理有限公司</w:t>
      </w:r>
      <w:r>
        <w:rPr>
          <w:rFonts w:hint="eastAsia" w:ascii="楷体" w:hAnsi="楷体" w:eastAsia="楷体"/>
          <w:b w:val="0"/>
          <w:bCs w:val="0"/>
          <w:sz w:val="20"/>
          <w:szCs w:val="20"/>
          <w:lang w:eastAsia="zh-CN"/>
        </w:rPr>
        <w:t>：</w:t>
      </w:r>
      <w:r>
        <w:rPr>
          <w:rFonts w:hint="eastAsia" w:ascii="楷体" w:hAnsi="楷体" w:eastAsia="楷体"/>
          <w:b w:val="0"/>
          <w:bCs w:val="0"/>
          <w:sz w:val="20"/>
          <w:szCs w:val="20"/>
        </w:rPr>
        <w:t>国联证券资产管理有限公司成立于2023年9月20日，注册资本为10亿元人民币，法定代表人为葛小波，注册地址位于山东省青岛市，经营范围包括证券业务及证券财务顾问服务。</w:t>
      </w:r>
      <w:r>
        <w:rPr>
          <w:rFonts w:hint="eastAsia" w:ascii="楷体" w:hAnsi="楷体" w:eastAsia="楷体" w:cs="楷体"/>
          <w:b w:val="0"/>
          <w:bCs w:val="0"/>
          <w:sz w:val="20"/>
          <w:szCs w:val="20"/>
        </w:rPr>
        <w:fldChar w:fldCharType="begin"/>
      </w:r>
      <w:r>
        <w:rPr>
          <w:rFonts w:hint="eastAsia" w:ascii="楷体" w:hAnsi="楷体" w:eastAsia="楷体" w:cs="楷体"/>
          <w:b w:val="0"/>
          <w:bCs w:val="0"/>
          <w:sz w:val="20"/>
          <w:szCs w:val="20"/>
        </w:rPr>
        <w:instrText xml:space="preserve"> = 6 \* GB3 \* MERGEFORMAT </w:instrText>
      </w:r>
      <w:r>
        <w:rPr>
          <w:rFonts w:hint="eastAsia" w:ascii="楷体" w:hAnsi="楷体" w:eastAsia="楷体" w:cs="楷体"/>
          <w:b w:val="0"/>
          <w:bCs w:val="0"/>
          <w:sz w:val="20"/>
          <w:szCs w:val="20"/>
        </w:rPr>
        <w:fldChar w:fldCharType="separate"/>
      </w:r>
      <w:r>
        <w:rPr>
          <w:rFonts w:hint="eastAsia" w:ascii="楷体" w:hAnsi="楷体" w:eastAsia="楷体" w:cs="楷体"/>
        </w:rPr>
        <w:t>⑥</w:t>
      </w:r>
      <w:r>
        <w:rPr>
          <w:rFonts w:hint="eastAsia" w:ascii="楷体" w:hAnsi="楷体" w:eastAsia="楷体" w:cs="楷体"/>
          <w:b w:val="0"/>
          <w:bCs w:val="0"/>
          <w:sz w:val="20"/>
          <w:szCs w:val="20"/>
        </w:rPr>
        <w:fldChar w:fldCharType="end"/>
      </w:r>
      <w:r>
        <w:rPr>
          <w:rFonts w:hint="eastAsia" w:ascii="楷体" w:hAnsi="楷体" w:eastAsia="楷体" w:cs="楷体"/>
          <w:b w:val="0"/>
          <w:bCs w:val="0"/>
          <w:sz w:val="20"/>
          <w:szCs w:val="20"/>
        </w:rPr>
        <w:t>紫金信托有限责任公司</w:t>
      </w:r>
      <w:r>
        <w:rPr>
          <w:rFonts w:hint="eastAsia" w:ascii="楷体" w:hAnsi="楷体" w:eastAsia="楷体" w:cs="楷体"/>
          <w:b w:val="0"/>
          <w:bCs w:val="0"/>
          <w:sz w:val="20"/>
          <w:szCs w:val="20"/>
          <w:lang w:eastAsia="zh-CN"/>
        </w:rPr>
        <w:t>：</w:t>
      </w:r>
      <w:r>
        <w:rPr>
          <w:rFonts w:hint="eastAsia" w:ascii="楷体" w:hAnsi="楷体" w:eastAsia="楷体" w:cs="楷体"/>
          <w:b w:val="0"/>
          <w:bCs w:val="0"/>
          <w:sz w:val="20"/>
          <w:szCs w:val="20"/>
        </w:rPr>
        <w:t>紫金信托有限责任公司是一家经中国银保监会批准设立的信托公司，注册资本为32.71亿元人民币，总部位于南京。</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销售服务费：每日计提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29122E"/>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139A0"/>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47A16"/>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D909B2"/>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5F3034"/>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1F6852"/>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89382E"/>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C0972"/>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22E2C"/>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EC3CAF"/>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0D50B8"/>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03E56"/>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14138</Words>
  <Characters>15064</Characters>
  <Lines>243</Lines>
  <Paragraphs>68</Paragraphs>
  <TotalTime>2</TotalTime>
  <ScaleCrop>false</ScaleCrop>
  <LinksUpToDate>false</LinksUpToDate>
  <CharactersWithSpaces>15067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2026-01-09T06:45:29Z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