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C1459" w14:textId="77777777" w:rsidR="00D63056" w:rsidRPr="006C4F77" w:rsidRDefault="00D63056" w:rsidP="006C4F77">
      <w:pPr>
        <w:widowControl/>
        <w:adjustRightInd w:val="0"/>
        <w:snapToGrid w:val="0"/>
        <w:spacing w:line="560" w:lineRule="exact"/>
        <w:jc w:val="center"/>
        <w:rPr>
          <w:rFonts w:ascii="宋体" w:eastAsia="宋体" w:hAnsi="宋体" w:cs="Times New Roman"/>
          <w:b/>
          <w:sz w:val="36"/>
          <w:szCs w:val="36"/>
        </w:rPr>
      </w:pPr>
      <w:r w:rsidRPr="006C4F77">
        <w:rPr>
          <w:rFonts w:ascii="宋体" w:eastAsia="宋体" w:hAnsi="宋体" w:cs="Times New Roman" w:hint="eastAsia"/>
          <w:b/>
          <w:sz w:val="36"/>
          <w:szCs w:val="36"/>
        </w:rPr>
        <w:t>关于华夏理财固定收益</w:t>
      </w:r>
      <w:proofErr w:type="gramStart"/>
      <w:r w:rsidRPr="006C4F77">
        <w:rPr>
          <w:rFonts w:ascii="宋体" w:eastAsia="宋体" w:hAnsi="宋体" w:cs="Times New Roman" w:hint="eastAsia"/>
          <w:b/>
          <w:sz w:val="36"/>
          <w:szCs w:val="36"/>
        </w:rPr>
        <w:t>纯债型</w:t>
      </w:r>
      <w:proofErr w:type="gramEnd"/>
      <w:r w:rsidRPr="006C4F77">
        <w:rPr>
          <w:rFonts w:ascii="宋体" w:eastAsia="宋体" w:hAnsi="宋体" w:cs="Times New Roman" w:hint="eastAsia"/>
          <w:b/>
          <w:sz w:val="36"/>
          <w:szCs w:val="36"/>
        </w:rPr>
        <w:t>四个月定开理财产品1号调整开放日以及增设C份额并公布下一封闭</w:t>
      </w:r>
      <w:proofErr w:type="gramStart"/>
      <w:r w:rsidRPr="006C4F77">
        <w:rPr>
          <w:rFonts w:ascii="宋体" w:eastAsia="宋体" w:hAnsi="宋体" w:cs="Times New Roman" w:hint="eastAsia"/>
          <w:b/>
          <w:sz w:val="36"/>
          <w:szCs w:val="36"/>
        </w:rPr>
        <w:t>期业绩</w:t>
      </w:r>
      <w:proofErr w:type="gramEnd"/>
      <w:r w:rsidRPr="006C4F77">
        <w:rPr>
          <w:rFonts w:ascii="宋体" w:eastAsia="宋体" w:hAnsi="宋体" w:cs="Times New Roman" w:hint="eastAsia"/>
          <w:b/>
          <w:sz w:val="36"/>
          <w:szCs w:val="36"/>
        </w:rPr>
        <w:t>基准的公告</w:t>
      </w:r>
    </w:p>
    <w:p w14:paraId="01AA7C8C" w14:textId="77777777" w:rsidR="00340D36" w:rsidRDefault="00340D36" w:rsidP="006C4F77">
      <w:pPr>
        <w:widowControl/>
        <w:adjustRightInd w:val="0"/>
        <w:snapToGrid w:val="0"/>
        <w:spacing w:line="560" w:lineRule="exact"/>
        <w:rPr>
          <w:rFonts w:ascii="宋体" w:eastAsia="宋体" w:hAnsi="宋体" w:cs="Times New Roman" w:hint="eastAsia"/>
          <w:sz w:val="24"/>
          <w:szCs w:val="24"/>
        </w:rPr>
      </w:pPr>
    </w:p>
    <w:p w14:paraId="074D103F" w14:textId="77777777" w:rsidR="00D63056" w:rsidRPr="006C4F77" w:rsidRDefault="00D63056" w:rsidP="006C4F77">
      <w:pPr>
        <w:widowControl/>
        <w:adjustRightInd w:val="0"/>
        <w:snapToGrid w:val="0"/>
        <w:spacing w:line="560" w:lineRule="exact"/>
        <w:rPr>
          <w:rFonts w:ascii="宋体" w:eastAsia="宋体" w:hAnsi="宋体" w:cs="Times New Roman"/>
          <w:sz w:val="24"/>
          <w:szCs w:val="24"/>
        </w:rPr>
      </w:pPr>
      <w:bookmarkStart w:id="0" w:name="_GoBack"/>
      <w:bookmarkEnd w:id="0"/>
      <w:r w:rsidRPr="006C4F77">
        <w:rPr>
          <w:rFonts w:ascii="宋体" w:eastAsia="宋体" w:hAnsi="宋体" w:cs="Times New Roman"/>
          <w:sz w:val="24"/>
          <w:szCs w:val="24"/>
        </w:rPr>
        <w:t>尊敬的投资者：</w:t>
      </w:r>
    </w:p>
    <w:p w14:paraId="3274F99C" w14:textId="36F51BAA" w:rsidR="00D63056" w:rsidRPr="006C4F77" w:rsidRDefault="00D63056" w:rsidP="006C4F77">
      <w:pPr>
        <w:widowControl/>
        <w:adjustRightInd w:val="0"/>
        <w:snapToGrid w:val="0"/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6C4F77">
        <w:rPr>
          <w:rFonts w:ascii="宋体" w:eastAsia="宋体" w:hAnsi="宋体" w:cs="Times New Roman"/>
          <w:sz w:val="24"/>
          <w:szCs w:val="24"/>
        </w:rPr>
        <w:t>自2022年6月15日起，华夏理财固定收益</w:t>
      </w:r>
      <w:proofErr w:type="gramStart"/>
      <w:r w:rsidRPr="006C4F77">
        <w:rPr>
          <w:rFonts w:ascii="宋体" w:eastAsia="宋体" w:hAnsi="宋体" w:cs="Times New Roman"/>
          <w:sz w:val="24"/>
          <w:szCs w:val="24"/>
        </w:rPr>
        <w:t>纯债型</w:t>
      </w:r>
      <w:proofErr w:type="gramEnd"/>
      <w:r w:rsidRPr="006C4F77">
        <w:rPr>
          <w:rFonts w:ascii="宋体" w:eastAsia="宋体" w:hAnsi="宋体" w:cs="Times New Roman"/>
          <w:sz w:val="24"/>
          <w:szCs w:val="24"/>
        </w:rPr>
        <w:t>四个月定开理财产品1号（产品代码：21113001）拟调整开放日，由“每年2月、6月、10月15日（含）起连续3个工作日”调整为“每年2月、6月、10月15日（含）起连续5个工作日”，开放日</w:t>
      </w:r>
      <w:proofErr w:type="gramStart"/>
      <w:r w:rsidRPr="006C4F77">
        <w:rPr>
          <w:rFonts w:ascii="宋体" w:eastAsia="宋体" w:hAnsi="宋体" w:cs="Times New Roman"/>
          <w:sz w:val="24"/>
          <w:szCs w:val="24"/>
        </w:rPr>
        <w:t>如遇非工作日</w:t>
      </w:r>
      <w:proofErr w:type="gramEnd"/>
      <w:r w:rsidRPr="006C4F77">
        <w:rPr>
          <w:rFonts w:ascii="宋体" w:eastAsia="宋体" w:hAnsi="宋体" w:cs="Times New Roman"/>
          <w:sz w:val="24"/>
          <w:szCs w:val="24"/>
        </w:rPr>
        <w:t>则顺延至下一个工作日。</w:t>
      </w:r>
    </w:p>
    <w:p w14:paraId="4C989C67" w14:textId="74331748" w:rsidR="00D63056" w:rsidRPr="006C4F77" w:rsidRDefault="00D63056" w:rsidP="006C4F77">
      <w:pPr>
        <w:widowControl/>
        <w:adjustRightInd w:val="0"/>
        <w:snapToGrid w:val="0"/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6C4F77">
        <w:rPr>
          <w:rFonts w:ascii="宋体" w:eastAsia="宋体" w:hAnsi="宋体" w:cs="Times New Roman"/>
          <w:sz w:val="24"/>
          <w:szCs w:val="24"/>
        </w:rPr>
        <w:t>自2022年6月15日起，本产品拟增设C份额，销售代码为21113001C；为提升客户投资体验，该份额的销售手续费率阶段性优惠为0.00%/年，从2022年6月15日（含）起至2022年10月21日（含）止。</w:t>
      </w:r>
    </w:p>
    <w:p w14:paraId="15B5073E" w14:textId="67110CC8" w:rsidR="00D63056" w:rsidRPr="006C4F77" w:rsidRDefault="00D63056" w:rsidP="006C4F77">
      <w:pPr>
        <w:widowControl/>
        <w:adjustRightInd w:val="0"/>
        <w:snapToGrid w:val="0"/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6C4F77">
        <w:rPr>
          <w:rFonts w:ascii="宋体" w:eastAsia="宋体" w:hAnsi="宋体" w:cs="Times New Roman"/>
          <w:sz w:val="24"/>
          <w:szCs w:val="24"/>
        </w:rPr>
        <w:t>自2022年6月22日起，本产品将进入下一封闭期。下一封闭期的业绩基准为：A类份额3.35%-3.95%（年化）；B类份额3.45%-4.05%；C类份额3.75%-4.35%，测算依据详见更新后的产品说明书。产品扣除各项费用后，当期实现</w:t>
      </w:r>
      <w:proofErr w:type="gramStart"/>
      <w:r w:rsidRPr="006C4F77">
        <w:rPr>
          <w:rFonts w:ascii="宋体" w:eastAsia="宋体" w:hAnsi="宋体" w:cs="Times New Roman"/>
          <w:sz w:val="24"/>
          <w:szCs w:val="24"/>
        </w:rPr>
        <w:t>的年化收益率</w:t>
      </w:r>
      <w:proofErr w:type="gramEnd"/>
      <w:r w:rsidRPr="006C4F77">
        <w:rPr>
          <w:rFonts w:ascii="宋体" w:eastAsia="宋体" w:hAnsi="宋体" w:cs="Times New Roman"/>
          <w:sz w:val="24"/>
          <w:szCs w:val="24"/>
        </w:rPr>
        <w:t>超过业绩基准上限的部分，50%作为管理人的超额管理费。本理财产品为净值型产品，其业绩表现将随市场情况变化而波动，具有不确定性。</w:t>
      </w:r>
      <w:proofErr w:type="gramStart"/>
      <w:r w:rsidRPr="006C4F77">
        <w:rPr>
          <w:rFonts w:ascii="宋体" w:eastAsia="宋体" w:hAnsi="宋体" w:cs="Times New Roman"/>
          <w:sz w:val="24"/>
          <w:szCs w:val="24"/>
        </w:rPr>
        <w:t>该业绩</w:t>
      </w:r>
      <w:proofErr w:type="gramEnd"/>
      <w:r w:rsidRPr="006C4F77">
        <w:rPr>
          <w:rFonts w:ascii="宋体" w:eastAsia="宋体" w:hAnsi="宋体" w:cs="Times New Roman"/>
          <w:sz w:val="24"/>
          <w:szCs w:val="24"/>
        </w:rPr>
        <w:t>基准不构成华夏理财有限责任公司对本理财产品的任何收益承诺。</w:t>
      </w:r>
    </w:p>
    <w:p w14:paraId="5CE3979C" w14:textId="14243697" w:rsidR="00D63056" w:rsidRPr="006C4F77" w:rsidRDefault="00D63056" w:rsidP="006C4F77">
      <w:pPr>
        <w:widowControl/>
        <w:adjustRightInd w:val="0"/>
        <w:snapToGrid w:val="0"/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6C4F77">
        <w:rPr>
          <w:rFonts w:ascii="宋体" w:eastAsia="宋体" w:hAnsi="宋体" w:cs="Times New Roman"/>
          <w:sz w:val="24"/>
          <w:szCs w:val="24"/>
        </w:rPr>
        <w:t>若本理财产品的投资者不接受上述公告内容，请于2022年6月15日至2022年6月17日、2022年6月20日至2022年6月21日通过销售渠道赎回本理财产品；逾期未赎回的，则视为对上述公告内容无异议且同意继续持有本理财产品。</w:t>
      </w:r>
    </w:p>
    <w:p w14:paraId="223C1D75" w14:textId="4C4F01D7" w:rsidR="00D63056" w:rsidRPr="006C4F77" w:rsidRDefault="00D63056" w:rsidP="006C4F77">
      <w:pPr>
        <w:widowControl/>
        <w:adjustRightInd w:val="0"/>
        <w:snapToGrid w:val="0"/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6C4F77">
        <w:rPr>
          <w:rFonts w:ascii="宋体" w:eastAsia="宋体" w:hAnsi="宋体" w:cs="Times New Roman"/>
          <w:sz w:val="24"/>
          <w:szCs w:val="24"/>
        </w:rPr>
        <w:t>感谢您一直以来对华夏理财有限责任公司的支持，欢迎继续关注华夏理财净值型理财产品。</w:t>
      </w:r>
    </w:p>
    <w:p w14:paraId="57C80023" w14:textId="1AA9E8A2" w:rsidR="00D63056" w:rsidRPr="006C4F77" w:rsidRDefault="00D63056" w:rsidP="006C4F77">
      <w:pPr>
        <w:widowControl/>
        <w:adjustRightInd w:val="0"/>
        <w:snapToGrid w:val="0"/>
        <w:spacing w:line="560" w:lineRule="exact"/>
        <w:ind w:firstLineChars="200" w:firstLine="480"/>
        <w:jc w:val="right"/>
        <w:rPr>
          <w:rFonts w:ascii="宋体" w:eastAsia="宋体" w:hAnsi="宋体" w:cs="Times New Roman"/>
          <w:sz w:val="24"/>
          <w:szCs w:val="24"/>
        </w:rPr>
      </w:pPr>
      <w:r w:rsidRPr="006C4F77">
        <w:rPr>
          <w:rFonts w:ascii="宋体" w:eastAsia="宋体" w:hAnsi="宋体" w:cs="Times New Roman"/>
          <w:sz w:val="24"/>
          <w:szCs w:val="24"/>
        </w:rPr>
        <w:t> 华夏理财有限责任公司</w:t>
      </w:r>
    </w:p>
    <w:p w14:paraId="756320CC" w14:textId="34AB9EBA" w:rsidR="00A6799E" w:rsidRPr="006C4F77" w:rsidRDefault="00D63056" w:rsidP="006C4F77">
      <w:pPr>
        <w:widowControl/>
        <w:adjustRightInd w:val="0"/>
        <w:snapToGrid w:val="0"/>
        <w:spacing w:line="560" w:lineRule="exact"/>
        <w:ind w:firstLineChars="200" w:firstLine="480"/>
        <w:jc w:val="right"/>
        <w:rPr>
          <w:rFonts w:ascii="宋体" w:eastAsia="宋体" w:hAnsi="宋体"/>
          <w:b/>
          <w:bCs/>
          <w:sz w:val="24"/>
          <w:szCs w:val="24"/>
        </w:rPr>
      </w:pPr>
      <w:r w:rsidRPr="006C4F77">
        <w:rPr>
          <w:rFonts w:ascii="宋体" w:eastAsia="宋体" w:hAnsi="宋体" w:cs="Times New Roman"/>
          <w:sz w:val="24"/>
          <w:szCs w:val="24"/>
        </w:rPr>
        <w:t xml:space="preserve">　　2022年6月10日</w:t>
      </w:r>
    </w:p>
    <w:sectPr w:rsidR="00A6799E" w:rsidRPr="006C4F77" w:rsidSect="006C4F77">
      <w:pgSz w:w="11906" w:h="16838"/>
      <w:pgMar w:top="1304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6E818A" w14:textId="77777777" w:rsidR="00A60751" w:rsidRDefault="00A60751" w:rsidP="00D63056">
      <w:r>
        <w:separator/>
      </w:r>
    </w:p>
  </w:endnote>
  <w:endnote w:type="continuationSeparator" w:id="0">
    <w:p w14:paraId="70D4D157" w14:textId="77777777" w:rsidR="00A60751" w:rsidRDefault="00A60751" w:rsidP="00D63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0F325B" w14:textId="77777777" w:rsidR="00A60751" w:rsidRDefault="00A60751" w:rsidP="00D63056">
      <w:r>
        <w:separator/>
      </w:r>
    </w:p>
  </w:footnote>
  <w:footnote w:type="continuationSeparator" w:id="0">
    <w:p w14:paraId="1F3F7508" w14:textId="77777777" w:rsidR="00A60751" w:rsidRDefault="00A60751" w:rsidP="00D63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FE"/>
    <w:rsid w:val="00340D36"/>
    <w:rsid w:val="003D5F4B"/>
    <w:rsid w:val="006C4F77"/>
    <w:rsid w:val="00A60751"/>
    <w:rsid w:val="00A6799E"/>
    <w:rsid w:val="00D63056"/>
    <w:rsid w:val="00ED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30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30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30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305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630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D630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30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30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30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305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630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D630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4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10596">
          <w:marLeft w:val="0"/>
          <w:marRight w:val="0"/>
          <w:marTop w:val="0"/>
          <w:marBottom w:val="450"/>
          <w:divBdr>
            <w:top w:val="dotted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Zishu</dc:creator>
  <cp:keywords/>
  <dc:description/>
  <cp:lastModifiedBy>刘云飞</cp:lastModifiedBy>
  <cp:revision>4</cp:revision>
  <dcterms:created xsi:type="dcterms:W3CDTF">2022-06-13T07:02:00Z</dcterms:created>
  <dcterms:modified xsi:type="dcterms:W3CDTF">2022-06-14T01:05:00Z</dcterms:modified>
</cp:coreProperties>
</file>